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80" w:after="200" w:line="259" w:lineRule="auto"/>
      </w:pPr>
      <w:r>
        <w:rPr>
          <w:rFonts w:ascii="Noto Serif" w:hAnsi="Noto Serif"/>
          <w:b/>
          <w:color w:val="C79318"/>
          <w:sz w:val="26"/>
        </w:rPr>
        <w:t>CERBERUS</w:t>
      </w:r>
    </w:p>
    <w:p>
      <w:pPr>
        <w:spacing w:before="0" w:after="60" w:line="259" w:lineRule="auto"/>
      </w:pPr>
      <w:r>
        <w:rPr>
          <w:rFonts w:ascii="Noto Serif" w:hAnsi="Noto Serif"/>
          <w:b/>
          <w:color w:val="17344B"/>
          <w:sz w:val="68"/>
        </w:rPr>
        <w:t>PATCH</w:t>
      </w:r>
    </w:p>
    <w:p>
      <w:pPr>
        <w:spacing w:before="0" w:after="140" w:line="259" w:lineRule="auto"/>
      </w:pPr>
      <w:r>
        <w:rPr>
          <w:rFonts w:ascii="Noto Serif" w:hAnsi="Noto Serif"/>
          <w:color w:val="17344B"/>
          <w:sz w:val="36"/>
        </w:rPr>
        <w:t>Procedural AI Transmission Communication Handbook</w:t>
      </w:r>
    </w:p>
    <w:p>
      <w:pPr>
        <w:spacing w:before="0" w:after="200" w:line="259" w:lineRule="auto"/>
      </w:pPr>
      <w:r>
        <w:rPr>
          <w:rFonts w:ascii="Noto Sans" w:hAnsi="Noto Sans"/>
          <w:b/>
          <w:color w:val="138B8B"/>
          <w:sz w:val="21"/>
        </w:rPr>
        <w:t>Scaffolding • Human-AI • Governance • Transformation • Portability</w:t>
      </w:r>
    </w:p>
    <w:tbl>
      <w:tblPr>
        <w:tblW w:type="auto" w:w="0"/>
        <w:jc w:val="center"/>
        <w:tblLayout w:type="fixed"/>
        <w:tblLook w:firstColumn="1" w:firstRow="1" w:lastColumn="0" w:lastRow="0" w:noHBand="0" w:noVBand="1" w:val="04A0"/>
      </w:tblPr>
      <w:tblGrid>
        <w:gridCol w:w="5083"/>
        <w:gridCol w:w="5083"/>
      </w:tblGrid>
      <w:tr>
        <w:tc>
          <w:tcPr>
            <w:tcW w:type="dxa" w:w="4536"/>
            <w:shd w:fill="17344B"/>
            <w:tcMar>
              <w:top w:w="130" w:type="dxa"/>
              <w:start w:w="150" w:type="dxa"/>
              <w:bottom w:w="130" w:type="dxa"/>
              <w:end w:w="150" w:type="dxa"/>
            </w:tcMar>
          </w:tcPr>
          <w:p>
            <w:r>
              <w:rPr>
                <w:rFonts w:ascii="Noto Sans" w:hAnsi="Noto Sans"/>
                <w:b/>
                <w:color w:val="FFFFFF"/>
                <w:sz w:val="20"/>
              </w:rPr>
              <w:t>CORE SYSTEM STATEMENT</w:t>
            </w:r>
          </w:p>
        </w:tc>
        <w:tc>
          <w:tcPr>
            <w:tcW w:type="dxa" w:w="5328"/>
            <w:shd w:fill="EEF2F5"/>
            <w:tcMar>
              <w:top w:w="130" w:type="dxa"/>
              <w:start w:w="150" w:type="dxa"/>
              <w:bottom w:w="130" w:type="dxa"/>
              <w:end w:w="150" w:type="dxa"/>
            </w:tcMar>
          </w:tcPr>
          <w:p>
            <w:r>
              <w:rPr>
                <w:rFonts w:ascii="Noto Serif" w:hAnsi="Noto Serif"/>
                <w:color w:val="1B2733"/>
                <w:sz w:val="20"/>
              </w:rPr>
              <w:t>PATCH is a temporary, machine-legible communication and reasoning layer for inspecting, describing, proposing, comparing, routing, and staging change around a canonical system without making the proposal canonical.</w:t>
            </w:r>
          </w:p>
        </w:tc>
      </w:tr>
    </w:tbl>
    <w:p>
      <w:pPr>
        <w:spacing w:before="140" w:after="40" w:line="259" w:lineRule="auto"/>
        <w:jc w:val="center"/>
      </w:pPr>
      <w:r>
        <w:rPr>
          <w:rFonts w:ascii="Noto Sans" w:hAnsi="Noto Sans"/>
          <w:b/>
          <w:color w:val="C79318"/>
          <w:sz w:val="18"/>
        </w:rPr>
        <w:t>SHORT FORM</w:t>
      </w:r>
    </w:p>
    <w:p>
      <w:pPr>
        <w:spacing w:before="0" w:after="100" w:line="259" w:lineRule="auto"/>
        <w:jc w:val="center"/>
      </w:pPr>
      <w:r>
        <w:rPr>
          <w:rFonts w:ascii="Noto Serif" w:hAnsi="Noto Serif"/>
          <w:b/>
          <w:color w:val="1B2733"/>
          <w:sz w:val="23"/>
        </w:rPr>
        <w:t>Express the change. Gate the change. Commit the change. Remove the conversation.</w:t>
      </w:r>
    </w:p>
    <w:p>
      <w:pPr>
        <w:spacing w:after="60"/>
        <w:jc w:val="center"/>
      </w:pPr>
      <w:r>
        <w:drawing>
          <wp:inline xmlns:a="http://schemas.openxmlformats.org/drawingml/2006/main" xmlns:pic="http://schemas.openxmlformats.org/drawingml/2006/picture">
            <wp:extent cx="2371378" cy="4251960"/>
            <wp:docPr id="1" name="Picture 1" title="Figure 1 - PATCH: The Temporary Bridge" descr="Temporary PATCH scaffolding bridges current canonical state and a proposed change, with a human gate before any canonical commit."/>
            <wp:cNvGraphicFramePr>
              <a:graphicFrameLocks noChangeAspect="1"/>
            </wp:cNvGraphicFramePr>
            <a:graphic>
              <a:graphicData uri="http://schemas.openxmlformats.org/drawingml/2006/picture">
                <pic:pic>
                  <pic:nvPicPr>
                    <pic:cNvPr id="0" name="F01.png"/>
                    <pic:cNvPicPr/>
                  </pic:nvPicPr>
                  <pic:blipFill>
                    <a:blip r:embed="rId10"/>
                    <a:stretch>
                      <a:fillRect/>
                    </a:stretch>
                  </pic:blipFill>
                  <pic:spPr>
                    <a:xfrm>
                      <a:off x="0" y="0"/>
                      <a:ext cx="2371378" cy="4251960"/>
                    </a:xfrm>
                    <a:prstGeom prst="rect"/>
                  </pic:spPr>
                </pic:pic>
              </a:graphicData>
            </a:graphic>
          </wp:inline>
        </w:drawing>
      </w:r>
    </w:p>
    <w:p>
      <w:pPr>
        <w:spacing w:before="40" w:after="0" w:line="259" w:lineRule="auto"/>
        <w:jc w:val="center"/>
      </w:pPr>
      <w:r>
        <w:rPr>
          <w:rFonts w:ascii="Noto Serif" w:hAnsi="Noto Serif"/>
          <w:b/>
          <w:color w:val="586979"/>
          <w:sz w:val="18"/>
        </w:rPr>
        <w:t>Version 0.1  •  7 September 2026  •  Pass 8 Verified Release</w:t>
      </w:r>
    </w:p>
    <w:p>
      <w:pPr>
        <w:pageBreakBefore/>
        <w:spacing w:after="0" w:line="12" w:lineRule="auto"/>
      </w:pPr>
      <w:r>
        <w:rPr>
          <w:rFonts w:ascii="Noto Sans" w:hAnsi="Noto Sans"/>
          <w:color w:val="FFFFFF"/>
          <w:sz w:val="2"/>
        </w:rPr>
        <w:t>​</w:t>
      </w:r>
    </w:p>
    <w:p>
      <w:pPr>
        <w:pStyle w:val="Heading1"/>
        <w:keepNext/>
      </w:pPr>
      <w:r>
        <w:t>Abstract</w:t>
      </w:r>
    </w:p>
    <w:p>
      <w:pPr>
        <w:spacing w:before="0" w:after="120" w:line="259" w:lineRule="auto"/>
      </w:pPr>
      <w:r>
        <w:rPr>
          <w:rFonts w:ascii="Noto Serif" w:hAnsi="Noto Serif"/>
          <w:color w:val="1B2733"/>
          <w:sz w:val="20"/>
        </w:rPr>
        <w:t>PATCH formalizes a practical class of temporary work that often appears during human-AI system building: inspection notes, migration cues, candidate links, approval checkboxes, comparison fields, routing instructions, connector workarounds, and other scaffolds that are useful while a change is being reasoned about but should not become part of the finished architecture. The system gives these temporary structures an explicit grammar, a bounded semantic habitat, a human-gated lifecycle, and a deletion invariant.</w:t>
      </w:r>
    </w:p>
    <w:p>
      <w:pPr>
        <w:spacing w:before="0" w:after="120" w:line="259" w:lineRule="auto"/>
      </w:pPr>
      <w:r>
        <w:rPr>
          <w:rFonts w:ascii="Noto Serif" w:hAnsi="Noto Serif"/>
          <w:color w:val="1B2733"/>
          <w:sz w:val="20"/>
        </w:rPr>
        <w:t>The central safety claim is deliberately narrow: deleting a PATCH may destroy temporary reasoning, review progress, or coordination state, but it must not change canonical Base state. PATCH is therefore disposable with respect to the Base, even when it is valuable to the current work. This separation makes aggressive analysis compatible with restrained execution.</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LOSSY TO THOUGHT. HARMLESS TO STATE.</w:t>
            </w:r>
          </w:p>
        </w:tc>
      </w:tr>
    </w:tbl>
    <w:p>
      <w:pPr>
        <w:spacing w:after="20"/>
      </w:pPr>
    </w:p>
    <w:p>
      <w:pPr>
        <w:pStyle w:val="Heading2"/>
        <w:keepNext/>
      </w:pPr>
      <w:r>
        <w:t>Reader destination</w:t>
      </w:r>
    </w:p>
    <w:p>
      <w:pPr>
        <w:pStyle w:val="ListBullet"/>
        <w:spacing w:after="50"/>
        <w:ind w:left="317" w:hanging="144"/>
      </w:pPr>
      <w:r>
        <w:rPr>
          <w:rFonts w:ascii="Noto Serif" w:hAnsi="Noto Serif"/>
          <w:color w:val="1B2733"/>
          <w:sz w:val="20"/>
        </w:rPr>
        <w:t>Understand what PATCH is, what it is not, and why it exists.</w:t>
      </w:r>
    </w:p>
    <w:p>
      <w:pPr>
        <w:pStyle w:val="ListBullet"/>
        <w:spacing w:after="50"/>
        <w:ind w:left="317" w:hanging="144"/>
      </w:pPr>
      <w:r>
        <w:rPr>
          <w:rFonts w:ascii="Noto Serif" w:hAnsi="Noto Serif"/>
          <w:color w:val="1B2733"/>
          <w:sz w:val="20"/>
        </w:rPr>
        <w:t>Read and write the P1, P2, and P3 notation.</w:t>
      </w:r>
    </w:p>
    <w:p>
      <w:pPr>
        <w:pStyle w:val="ListBullet"/>
        <w:spacing w:after="50"/>
        <w:ind w:left="317" w:hanging="144"/>
      </w:pPr>
      <w:r>
        <w:rPr>
          <w:rFonts w:ascii="Noto Serif" w:hAnsi="Noto Serif"/>
          <w:color w:val="1B2733"/>
          <w:sz w:val="20"/>
        </w:rPr>
        <w:t>Resolve a PATCH Habitat from context and narrow the available P1 vocabulary.</w:t>
      </w:r>
    </w:p>
    <w:p>
      <w:pPr>
        <w:pStyle w:val="ListBullet"/>
        <w:spacing w:after="50"/>
        <w:ind w:left="317" w:hanging="144"/>
      </w:pPr>
      <w:r>
        <w:rPr>
          <w:rFonts w:ascii="Noto Serif" w:hAnsi="Noto Serif"/>
          <w:color w:val="1B2733"/>
          <w:sz w:val="20"/>
        </w:rPr>
        <w:t>Reuse BOSS Structural Operators inside temporary PATCH relations without creating canonical edges.</w:t>
      </w:r>
    </w:p>
    <w:p>
      <w:pPr>
        <w:pStyle w:val="ListBullet"/>
        <w:spacing w:after="50"/>
        <w:ind w:left="317" w:hanging="144"/>
      </w:pPr>
      <w:r>
        <w:rPr>
          <w:rFonts w:ascii="Noto Serif" w:hAnsi="Noto Serif"/>
          <w:color w:val="1B2733"/>
          <w:sz w:val="20"/>
        </w:rPr>
        <w:t>Use human gates to separate proposal from mutation.</w:t>
      </w:r>
    </w:p>
    <w:p>
      <w:pPr>
        <w:pStyle w:val="ListBullet"/>
        <w:spacing w:after="50"/>
        <w:ind w:left="317" w:hanging="144"/>
      </w:pPr>
      <w:r>
        <w:rPr>
          <w:rFonts w:ascii="Noto Serif" w:hAnsi="Noto Serif"/>
          <w:color w:val="1B2733"/>
          <w:sz w:val="20"/>
        </w:rPr>
        <w:t>Apply PATCH Waves to table cleanup, migration, porting, and other bounded transformations.</w:t>
      </w:r>
    </w:p>
    <w:p>
      <w:pPr>
        <w:pStyle w:val="ListBullet"/>
        <w:spacing w:after="50"/>
        <w:ind w:left="317" w:hanging="144"/>
      </w:pPr>
      <w:r>
        <w:rPr>
          <w:rFonts w:ascii="Noto Serif" w:hAnsi="Noto Serif"/>
          <w:color w:val="1B2733"/>
          <w:sz w:val="20"/>
        </w:rPr>
        <w:t>Implement the first PATCH System Tables without prematurely freezing recurring P2/P3 groupings.</w:t>
      </w:r>
    </w:p>
    <w:p>
      <w:pPr>
        <w:pageBreakBefore/>
        <w:spacing w:after="0" w:line="12" w:lineRule="auto"/>
      </w:pPr>
      <w:r>
        <w:rPr>
          <w:rFonts w:ascii="Noto Sans" w:hAnsi="Noto Sans"/>
          <w:color w:val="FFFFFF"/>
          <w:sz w:val="2"/>
        </w:rPr>
        <w:t>​</w:t>
      </w:r>
    </w:p>
    <w:p>
      <w:pPr>
        <w:pStyle w:val="Heading2"/>
        <w:keepNext/>
      </w:pPr>
      <w:r>
        <w:t>Contents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1007"/>
            <w:shd w:fill="17344B"/>
            <w:tcMar>
              <w:top w:w="120" w:type="dxa"/>
              <w:start w:w="100" w:type="dxa"/>
              <w:bottom w:w="120" w:type="dxa"/>
              <w:end w:w="100" w:type="dxa"/>
            </w:tcMar>
            <w:vAlign w:val="center"/>
          </w:tcPr>
          <w:p>
            <w:pPr>
              <w:jc w:val="center"/>
            </w:pPr>
            <w:r>
              <w:rPr>
                <w:rFonts w:ascii="Noto Sans" w:hAnsi="Noto Sans"/>
                <w:b/>
                <w:color w:val="FFFFFF"/>
                <w:sz w:val="18"/>
              </w:rPr>
              <w:t>Section</w:t>
            </w:r>
          </w:p>
        </w:tc>
        <w:tc>
          <w:tcPr>
            <w:tcW w:type="dxa" w:w="8784"/>
            <w:shd w:fill="17344B"/>
            <w:tcMar>
              <w:top w:w="120" w:type="dxa"/>
              <w:start w:w="100" w:type="dxa"/>
              <w:bottom w:w="120" w:type="dxa"/>
              <w:end w:w="100" w:type="dxa"/>
            </w:tcMar>
            <w:vAlign w:val="center"/>
          </w:tcPr>
          <w:p>
            <w:pPr>
              <w:jc w:val="center"/>
            </w:pPr>
            <w:r>
              <w:rPr>
                <w:rFonts w:ascii="Noto Sans" w:hAnsi="Noto Sans"/>
                <w:b/>
                <w:color w:val="FFFFFF"/>
                <w:sz w:val="18"/>
              </w:rPr>
              <w:t>Topic</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w:t>
            </w:r>
          </w:p>
        </w:tc>
        <w:tc>
          <w:tcPr>
            <w:tcW w:type="dxa" w:w="8784"/>
            <w:tcMar>
              <w:top w:w="95" w:type="dxa"/>
              <w:start w:w="100" w:type="dxa"/>
              <w:bottom w:w="95" w:type="dxa"/>
              <w:end w:w="100" w:type="dxa"/>
            </w:tcMar>
            <w:vAlign w:val="center"/>
          </w:tcPr>
          <w:p>
            <w:pPr>
              <w:jc w:val="left"/>
            </w:pPr>
            <w:r>
              <w:rPr>
                <w:rFonts w:ascii="Noto Serif" w:hAnsi="Noto Serif"/>
                <w:color w:val="1B2733"/>
                <w:sz w:val="18"/>
              </w:rPr>
              <w:t>System proposition and safety boundary</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2</w:t>
            </w:r>
          </w:p>
        </w:tc>
        <w:tc>
          <w:tcPr>
            <w:tcW w:type="dxa" w:w="8784"/>
            <w:tcMar>
              <w:top w:w="95" w:type="dxa"/>
              <w:start w:w="100" w:type="dxa"/>
              <w:bottom w:w="95" w:type="dxa"/>
              <w:end w:w="100" w:type="dxa"/>
            </w:tcMar>
            <w:vAlign w:val="center"/>
          </w:tcPr>
          <w:p>
            <w:pPr>
              <w:jc w:val="left"/>
            </w:pPr>
            <w:r>
              <w:rPr>
                <w:rFonts w:ascii="Noto Serif" w:hAnsi="Noto Serif"/>
                <w:color w:val="1B2733"/>
                <w:sz w:val="18"/>
              </w:rPr>
              <w:t>Natural habitat and contextual resolution</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3</w:t>
            </w:r>
          </w:p>
        </w:tc>
        <w:tc>
          <w:tcPr>
            <w:tcW w:type="dxa" w:w="8784"/>
            <w:tcMar>
              <w:top w:w="95" w:type="dxa"/>
              <w:start w:w="100" w:type="dxa"/>
              <w:bottom w:w="95" w:type="dxa"/>
              <w:end w:w="100" w:type="dxa"/>
            </w:tcMar>
            <w:vAlign w:val="center"/>
          </w:tcPr>
          <w:p>
            <w:pPr>
              <w:jc w:val="left"/>
            </w:pPr>
            <w:r>
              <w:rPr>
                <w:rFonts w:ascii="Noto Serif" w:hAnsi="Noto Serif"/>
                <w:color w:val="1B2733"/>
                <w:sz w:val="18"/>
              </w:rPr>
              <w:t>P1/P2/P3 grammar</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4</w:t>
            </w:r>
          </w:p>
        </w:tc>
        <w:tc>
          <w:tcPr>
            <w:tcW w:type="dxa" w:w="8784"/>
            <w:tcMar>
              <w:top w:w="95" w:type="dxa"/>
              <w:start w:w="100" w:type="dxa"/>
              <w:bottom w:w="95" w:type="dxa"/>
              <w:end w:w="100" w:type="dxa"/>
            </w:tcMar>
            <w:vAlign w:val="center"/>
          </w:tcPr>
          <w:p>
            <w:pPr>
              <w:jc w:val="left"/>
            </w:pPr>
            <w:r>
              <w:rPr>
                <w:rFonts w:ascii="Noto Serif" w:hAnsi="Noto Serif"/>
                <w:color w:val="1B2733"/>
                <w:sz w:val="18"/>
              </w:rPr>
              <w:t>Structural operators and relational PATCHes</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5</w:t>
            </w:r>
          </w:p>
        </w:tc>
        <w:tc>
          <w:tcPr>
            <w:tcW w:type="dxa" w:w="8784"/>
            <w:tcMar>
              <w:top w:w="95" w:type="dxa"/>
              <w:start w:w="100" w:type="dxa"/>
              <w:bottom w:w="95" w:type="dxa"/>
              <w:end w:w="100" w:type="dxa"/>
            </w:tcMar>
            <w:vAlign w:val="center"/>
          </w:tcPr>
          <w:p>
            <w:pPr>
              <w:jc w:val="left"/>
            </w:pPr>
            <w:r>
              <w:rPr>
                <w:rFonts w:ascii="Noto Serif" w:hAnsi="Noto Serif"/>
                <w:color w:val="1B2733"/>
                <w:sz w:val="18"/>
              </w:rPr>
              <w:t>Human gates and the PURGE pattern</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6</w:t>
            </w:r>
          </w:p>
        </w:tc>
        <w:tc>
          <w:tcPr>
            <w:tcW w:type="dxa" w:w="8784"/>
            <w:tcMar>
              <w:top w:w="95" w:type="dxa"/>
              <w:start w:w="100" w:type="dxa"/>
              <w:bottom w:w="95" w:type="dxa"/>
              <w:end w:w="100" w:type="dxa"/>
            </w:tcMar>
            <w:vAlign w:val="center"/>
          </w:tcPr>
          <w:p>
            <w:pPr>
              <w:jc w:val="left"/>
            </w:pPr>
            <w:r>
              <w:rPr>
                <w:rFonts w:ascii="Noto Serif" w:hAnsi="Noto Serif"/>
                <w:color w:val="1B2733"/>
                <w:sz w:val="18"/>
              </w:rPr>
              <w:t>PATCH Waves and temporal co-presence</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7</w:t>
            </w:r>
          </w:p>
        </w:tc>
        <w:tc>
          <w:tcPr>
            <w:tcW w:type="dxa" w:w="8784"/>
            <w:tcMar>
              <w:top w:w="95" w:type="dxa"/>
              <w:start w:w="100" w:type="dxa"/>
              <w:bottom w:w="95" w:type="dxa"/>
              <w:end w:w="100" w:type="dxa"/>
            </w:tcMar>
            <w:vAlign w:val="center"/>
          </w:tcPr>
          <w:p>
            <w:pPr>
              <w:jc w:val="left"/>
            </w:pPr>
            <w:r>
              <w:rPr>
                <w:rFonts w:ascii="Noto Serif" w:hAnsi="Noto Serif"/>
                <w:color w:val="1B2733"/>
                <w:sz w:val="18"/>
              </w:rPr>
              <w:t>Routing across Habitats</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8</w:t>
            </w:r>
          </w:p>
        </w:tc>
        <w:tc>
          <w:tcPr>
            <w:tcW w:type="dxa" w:w="8784"/>
            <w:tcMar>
              <w:top w:w="95" w:type="dxa"/>
              <w:start w:w="100" w:type="dxa"/>
              <w:bottom w:w="95" w:type="dxa"/>
              <w:end w:w="100" w:type="dxa"/>
            </w:tcMar>
            <w:vAlign w:val="center"/>
          </w:tcPr>
          <w:p>
            <w:pPr>
              <w:jc w:val="left"/>
            </w:pPr>
            <w:r>
              <w:rPr>
                <w:rFonts w:ascii="Noto Serif" w:hAnsi="Noto Serif"/>
                <w:color w:val="1B2733"/>
                <w:sz w:val="18"/>
              </w:rPr>
              <w:t>PORT: Airtable to SQLite</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9</w:t>
            </w:r>
          </w:p>
        </w:tc>
        <w:tc>
          <w:tcPr>
            <w:tcW w:type="dxa" w:w="8784"/>
            <w:tcMar>
              <w:top w:w="95" w:type="dxa"/>
              <w:start w:w="100" w:type="dxa"/>
              <w:bottom w:w="95" w:type="dxa"/>
              <w:end w:w="100" w:type="dxa"/>
            </w:tcMar>
            <w:vAlign w:val="center"/>
          </w:tcPr>
          <w:p>
            <w:pPr>
              <w:jc w:val="left"/>
            </w:pPr>
            <w:r>
              <w:rPr>
                <w:rFonts w:ascii="Noto Serif" w:hAnsi="Noto Serif"/>
                <w:color w:val="1B2733"/>
                <w:sz w:val="18"/>
              </w:rPr>
              <w:t>Complete lifecycle</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10</w:t>
            </w:r>
          </w:p>
        </w:tc>
        <w:tc>
          <w:tcPr>
            <w:tcW w:type="dxa" w:w="8784"/>
            <w:tcMar>
              <w:top w:w="95" w:type="dxa"/>
              <w:start w:w="100" w:type="dxa"/>
              <w:bottom w:w="95" w:type="dxa"/>
              <w:end w:w="100" w:type="dxa"/>
            </w:tcMar>
            <w:vAlign w:val="center"/>
          </w:tcPr>
          <w:p>
            <w:pPr>
              <w:jc w:val="left"/>
            </w:pPr>
            <w:r>
              <w:rPr>
                <w:rFonts w:ascii="Noto Serif" w:hAnsi="Noto Serif"/>
                <w:color w:val="1B2733"/>
                <w:sz w:val="18"/>
              </w:rPr>
              <w:t>Implementation handoff</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11</w:t>
            </w:r>
          </w:p>
        </w:tc>
        <w:tc>
          <w:tcPr>
            <w:tcW w:type="dxa" w:w="8784"/>
            <w:tcMar>
              <w:top w:w="95" w:type="dxa"/>
              <w:start w:w="100" w:type="dxa"/>
              <w:bottom w:w="95" w:type="dxa"/>
              <w:end w:w="100" w:type="dxa"/>
            </w:tcMar>
            <w:vAlign w:val="center"/>
          </w:tcPr>
          <w:p>
            <w:pPr>
              <w:jc w:val="left"/>
            </w:pPr>
            <w:r>
              <w:rPr>
                <w:rFonts w:ascii="Noto Serif" w:hAnsi="Noto Serif"/>
                <w:color w:val="1B2733"/>
                <w:sz w:val="18"/>
              </w:rPr>
              <w:t>Starter P1 and Habitat registries</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12</w:t>
            </w:r>
          </w:p>
        </w:tc>
        <w:tc>
          <w:tcPr>
            <w:tcW w:type="dxa" w:w="8784"/>
            <w:tcMar>
              <w:top w:w="95" w:type="dxa"/>
              <w:start w:w="100" w:type="dxa"/>
              <w:bottom w:w="95" w:type="dxa"/>
              <w:end w:w="100" w:type="dxa"/>
            </w:tcMar>
            <w:vAlign w:val="center"/>
          </w:tcPr>
          <w:p>
            <w:pPr>
              <w:jc w:val="left"/>
            </w:pPr>
            <w:r>
              <w:rPr>
                <w:rFonts w:ascii="Noto Serif" w:hAnsi="Noto Serif"/>
                <w:color w:val="1B2733"/>
                <w:sz w:val="18"/>
              </w:rPr>
              <w:t>Normative rules and conformance</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13</w:t>
            </w:r>
          </w:p>
        </w:tc>
        <w:tc>
          <w:tcPr>
            <w:tcW w:type="dxa" w:w="8784"/>
            <w:tcMar>
              <w:top w:w="95" w:type="dxa"/>
              <w:start w:w="100" w:type="dxa"/>
              <w:bottom w:w="95" w:type="dxa"/>
              <w:end w:w="100" w:type="dxa"/>
            </w:tcMar>
            <w:vAlign w:val="center"/>
          </w:tcPr>
          <w:p>
            <w:pPr>
              <w:jc w:val="left"/>
            </w:pPr>
            <w:r>
              <w:rPr>
                <w:rFonts w:ascii="Noto Serif" w:hAnsi="Noto Serif"/>
                <w:color w:val="1B2733"/>
                <w:sz w:val="18"/>
              </w:rPr>
              <w:t>Evolution, pruning, and teleological use</w:t>
            </w:r>
          </w:p>
        </w:tc>
      </w:tr>
      <w:tr>
        <w:tc>
          <w:tcPr>
            <w:tcW w:type="dxa" w:w="1007"/>
            <w:tcMar>
              <w:top w:w="95" w:type="dxa"/>
              <w:start w:w="100" w:type="dxa"/>
              <w:bottom w:w="95" w:type="dxa"/>
              <w:end w:w="100" w:type="dxa"/>
            </w:tcMar>
            <w:vAlign w:val="center"/>
          </w:tcPr>
          <w:p>
            <w:pPr>
              <w:jc w:val="center"/>
            </w:pPr>
            <w:r>
              <w:rPr>
                <w:rFonts w:ascii="Noto Serif" w:hAnsi="Noto Serif"/>
                <w:color w:val="1B2733"/>
                <w:sz w:val="18"/>
              </w:rPr>
              <w:t>14</w:t>
            </w:r>
          </w:p>
        </w:tc>
        <w:tc>
          <w:tcPr>
            <w:tcW w:type="dxa" w:w="8784"/>
            <w:tcMar>
              <w:top w:w="95" w:type="dxa"/>
              <w:start w:w="100" w:type="dxa"/>
              <w:bottom w:w="95" w:type="dxa"/>
              <w:end w:w="100" w:type="dxa"/>
            </w:tcMar>
            <w:vAlign w:val="center"/>
          </w:tcPr>
          <w:p>
            <w:pPr>
              <w:jc w:val="left"/>
            </w:pPr>
            <w:r>
              <w:rPr>
                <w:rFonts w:ascii="Noto Serif" w:hAnsi="Noto Serif"/>
                <w:color w:val="1B2733"/>
                <w:sz w:val="18"/>
              </w:rPr>
              <w:t>Conclusion</w:t>
            </w:r>
          </w:p>
        </w:tc>
      </w:tr>
    </w:tbl>
    <w:p>
      <w:pPr>
        <w:spacing w:after="20"/>
      </w:pP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NON-AUTHORITY</w:t>
            </w:r>
          </w:p>
          <w:p>
            <w:pPr>
              <w:spacing w:after="0"/>
            </w:pPr>
            <w:r>
              <w:rPr>
                <w:rFonts w:ascii="Noto Serif" w:hAnsi="Noto Serif"/>
                <w:color w:val="1B2733"/>
                <w:sz w:val="20"/>
              </w:rPr>
              <w:t>PATCH can matter to the work without becoming a truth layer or runtime dependency.</w:t>
            </w:r>
          </w:p>
        </w:tc>
      </w:tr>
    </w:tbl>
    <w:p>
      <w:pPr>
        <w:spacing w:after="20"/>
      </w:pPr>
    </w:p>
    <w:p>
      <w:pPr>
        <w:pStyle w:val="Heading1"/>
        <w:keepNext/>
      </w:pPr>
      <w:r>
        <w:t>1. System proposition and safety boundary</w:t>
      </w:r>
    </w:p>
    <w:p>
      <w:pPr>
        <w:spacing w:before="0" w:after="120" w:line="259" w:lineRule="auto"/>
      </w:pPr>
      <w:r>
        <w:rPr>
          <w:rFonts w:ascii="Noto Serif" w:hAnsi="Noto Serif"/>
          <w:color w:val="1B2733"/>
          <w:sz w:val="20"/>
        </w:rPr>
        <w:t>PATCH exists to make proposed transformation visible before it becomes state. A human and an AI can inspect the same operational surface, attach temporary notes or structured fields, compare old and proposed structures, express uncertainty, stage candidate actions, and record approval without immediately rewriting the canonical Base.</w:t>
      </w:r>
    </w:p>
    <w:p>
      <w:pPr>
        <w:spacing w:before="0" w:after="120" w:line="259" w:lineRule="auto"/>
      </w:pPr>
      <w:r>
        <w:rPr>
          <w:rFonts w:ascii="Noto Serif" w:hAnsi="Noto Serif"/>
          <w:color w:val="1B2733"/>
          <w:sz w:val="20"/>
        </w:rPr>
        <w:t>This creates a clean separation between thought and state. The PATCH layer may be richly structured and machine-legible, but the finished system must remain able to operate when the entire PATCH layer is removed.</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A PATCH is disposable with respect to the Base, not necessarily disposable with respect to the current work.</w:t>
            </w:r>
          </w:p>
        </w:tc>
      </w:tr>
    </w:tbl>
    <w:p>
      <w:pPr>
        <w:spacing w:after="20"/>
      </w:pPr>
    </w:p>
    <w:p>
      <w:pPr>
        <w:pStyle w:val="Heading2"/>
        <w:keepNext/>
      </w:pPr>
      <w:r>
        <w:t>1.1 Deletion safety</w:t>
      </w:r>
    </w:p>
    <w:p>
      <w:pPr>
        <w:spacing w:before="0" w:after="120" w:line="259" w:lineRule="auto"/>
      </w:pPr>
      <w:r>
        <w:rPr>
          <w:rFonts w:ascii="Noto Serif" w:hAnsi="Noto Serif"/>
          <w:color w:val="1B2733"/>
          <w:sz w:val="20"/>
        </w:rPr>
        <w:t>Deleting a PATCH can be operationally lossy. It may erase an AI recommendation, a comparison, a candidate mapping, a human selection, or the record of how far a review had progressed. That loss can force the work to be repeated. What deletion must not do is alter canonical records, break canonical links, change governed Models, remove authoritative values, or change runtime behavior.</w:t>
      </w:r>
    </w:p>
    <w:p>
      <w:pPr>
        <w:pStyle w:val="ListBullet"/>
        <w:spacing w:after="50"/>
        <w:ind w:left="317" w:hanging="144"/>
      </w:pPr>
      <w:r>
        <w:rPr>
          <w:rFonts w:ascii="Noto Serif" w:hAnsi="Noto Serif"/>
          <w:color w:val="1B2733"/>
          <w:sz w:val="20"/>
        </w:rPr>
        <w:t>Allowed loss: temporary analysis, recommendations, candidate mappings, review status, human notes, and PATCH-to-PATCH coordination.</w:t>
      </w:r>
    </w:p>
    <w:p>
      <w:pPr>
        <w:pStyle w:val="ListBullet"/>
        <w:spacing w:after="50"/>
        <w:ind w:left="317" w:hanging="144"/>
      </w:pPr>
      <w:r>
        <w:rPr>
          <w:rFonts w:ascii="Noto Serif" w:hAnsi="Noto Serif"/>
          <w:color w:val="1B2733"/>
          <w:sz w:val="20"/>
        </w:rPr>
        <w:t>Forbidden consequence: any change to canonical Base state merely because PATCH scaffolding was removed.</w:t>
      </w:r>
    </w:p>
    <w:p>
      <w:pPr>
        <w:pStyle w:val="ListBullet"/>
        <w:spacing w:after="50"/>
        <w:ind w:left="317" w:hanging="144"/>
      </w:pPr>
      <w:r>
        <w:rPr>
          <w:rFonts w:ascii="Noto Serif" w:hAnsi="Noto Serif"/>
          <w:color w:val="1B2733"/>
          <w:sz w:val="20"/>
        </w:rPr>
        <w:t>Conformance test: delete the PATCH. If canonical state or canonical behavior changes, the scaffold was not a valid PATCH.</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261992" cy="7269480"/>
            <wp:docPr id="2" name="Picture 2" title="Figure 2 - Lossy to Thought, Harmless to State" descr="Deleting PATCH fields removes temporary reasoning and coordination while leaving canonical records, links, models, and runtime behavior unchanged."/>
            <wp:cNvGraphicFramePr>
              <a:graphicFrameLocks noChangeAspect="1"/>
            </wp:cNvGraphicFramePr>
            <a:graphic>
              <a:graphicData uri="http://schemas.openxmlformats.org/drawingml/2006/picture">
                <pic:pic>
                  <pic:nvPicPr>
                    <pic:cNvPr id="0" name="F02.png"/>
                    <pic:cNvPicPr/>
                  </pic:nvPicPr>
                  <pic:blipFill>
                    <a:blip r:embed="rId11"/>
                    <a:stretch>
                      <a:fillRect/>
                    </a:stretch>
                  </pic:blipFill>
                  <pic:spPr>
                    <a:xfrm>
                      <a:off x="0" y="0"/>
                      <a:ext cx="4261992" cy="7269480"/>
                    </a:xfrm>
                    <a:prstGeom prst="rect"/>
                  </pic:spPr>
                </pic:pic>
              </a:graphicData>
            </a:graphic>
          </wp:inline>
        </w:drawing>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087524" cy="7269480"/>
            <wp:docPr id="3" name="Picture 3" title="Figure 3 - PATCH Is Not Another Truth Layer" descr="PATCH surrounds the canonical Base as temporary scaffolding. Canonical systems may be inspected or referenced by PATCH but must not depend on PATCH."/>
            <wp:cNvGraphicFramePr>
              <a:graphicFrameLocks noChangeAspect="1"/>
            </wp:cNvGraphicFramePr>
            <a:graphic>
              <a:graphicData uri="http://schemas.openxmlformats.org/drawingml/2006/picture">
                <pic:pic>
                  <pic:nvPicPr>
                    <pic:cNvPr id="0" name="F03.png"/>
                    <pic:cNvPicPr/>
                  </pic:nvPicPr>
                  <pic:blipFill>
                    <a:blip r:embed="rId12"/>
                    <a:stretch>
                      <a:fillRect/>
                    </a:stretch>
                  </pic:blipFill>
                  <pic:spPr>
                    <a:xfrm>
                      <a:off x="0" y="0"/>
                      <a:ext cx="4087524" cy="7269480"/>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HABITAT BOUNDING</w:t>
            </w:r>
          </w:p>
          <w:p>
            <w:pPr>
              <w:spacing w:after="0"/>
            </w:pPr>
            <w:r>
              <w:rPr>
                <w:rFonts w:ascii="Noto Serif" w:hAnsi="Noto Serif"/>
                <w:color w:val="1B2733"/>
                <w:sz w:val="20"/>
              </w:rPr>
              <w:t>PATCHes live where their problem lives; context determines which temporary tools are sensible.</w:t>
            </w:r>
          </w:p>
        </w:tc>
      </w:tr>
    </w:tbl>
    <w:p>
      <w:pPr>
        <w:spacing w:after="20"/>
      </w:pPr>
    </w:p>
    <w:p>
      <w:pPr>
        <w:pStyle w:val="Heading1"/>
        <w:keepNext/>
      </w:pPr>
      <w:r>
        <w:t>2. Natural habitat and contextual resolution</w:t>
      </w:r>
    </w:p>
    <w:p>
      <w:pPr>
        <w:spacing w:before="0" w:after="120" w:line="259" w:lineRule="auto"/>
      </w:pPr>
      <w:r>
        <w:rPr>
          <w:rFonts w:ascii="Noto Serif" w:hAnsi="Noto Serif"/>
          <w:color w:val="1B2733"/>
          <w:sz w:val="20"/>
        </w:rPr>
        <w:t>PATCH is not a single undifferentiated toolbox. A table-to-table structural problem belongs in different semantic territory from a Reader decoding problem or an Airtable-to-SQLite port. PATCH therefore separates what an operation does from where that operation makes sense.</w:t>
      </w:r>
    </w:p>
    <w:p>
      <w:pPr>
        <w:spacing w:before="0" w:after="120" w:line="259" w:lineRule="auto"/>
      </w:pPr>
      <w:r>
        <w:rPr>
          <w:rFonts w:ascii="Noto Serif" w:hAnsi="Noto Serif"/>
          <w:color w:val="1B2733"/>
          <w:sz w:val="20"/>
        </w:rPr>
        <w:t>PATCH Class describes the temporary operational meaning. PATCH Habitat describes the semantic environment in which that operation is valid, useful, or restricted. This lets the system derive a bounded list of available PATCHes from context before matching the list against intent.</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3223495" cy="7269480"/>
            <wp:docPr id="4" name="Picture 4" title="Figure 4 - The Natural Habitat of PATCH" descr="PATCH sits in operational gaps such as human to AI, field to field, table to table, schema transitions, and system ports, which resolve into bounded Habitats."/>
            <wp:cNvGraphicFramePr>
              <a:graphicFrameLocks noChangeAspect="1"/>
            </wp:cNvGraphicFramePr>
            <a:graphic>
              <a:graphicData uri="http://schemas.openxmlformats.org/drawingml/2006/picture">
                <pic:pic>
                  <pic:nvPicPr>
                    <pic:cNvPr id="0" name="F04.png"/>
                    <pic:cNvPicPr/>
                  </pic:nvPicPr>
                  <pic:blipFill>
                    <a:blip r:embed="rId13"/>
                    <a:stretch>
                      <a:fillRect/>
                    </a:stretch>
                  </pic:blipFill>
                  <pic:spPr>
                    <a:xfrm>
                      <a:off x="0" y="0"/>
                      <a:ext cx="3223495" cy="7269480"/>
                    </a:xfrm>
                    <a:prstGeom prst="rect"/>
                  </pic:spPr>
                </pic:pic>
              </a:graphicData>
            </a:graphic>
          </wp:inline>
        </w:drawing>
      </w:r>
    </w:p>
    <w:p>
      <w:pPr>
        <w:pStyle w:val="Heading2"/>
        <w:keepNext/>
      </w:pPr>
      <w:r>
        <w:t>2.1 Initial Habitats</w:t>
      </w:r>
    </w:p>
    <w:p>
      <w:pPr>
        <w:spacing w:before="0" w:after="120" w:line="259" w:lineRule="auto"/>
      </w:pPr>
      <w:r>
        <w:rPr>
          <w:rFonts w:ascii="Noto Serif" w:hAnsi="Noto Serif"/>
          <w:color w:val="1B2733"/>
          <w:sz w:val="20"/>
        </w:rPr>
        <w:t>The first Habitat map is intentionally provisional. It is a starting topology for real use, not a claim that the list is eternally exhaustive. The important invariant is the bounding mechanism: specialized PATCHes remain close to the Stack or boundary that already owns the underlying meaning.</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088"/>
            <w:shd w:fill="17344B"/>
            <w:tcMar>
              <w:top w:w="120" w:type="dxa"/>
              <w:start w:w="100" w:type="dxa"/>
              <w:bottom w:w="120" w:type="dxa"/>
              <w:end w:w="100" w:type="dxa"/>
            </w:tcMar>
            <w:vAlign w:val="center"/>
          </w:tcPr>
          <w:p>
            <w:pPr>
              <w:jc w:val="center"/>
            </w:pPr>
            <w:r>
              <w:rPr>
                <w:rFonts w:ascii="Noto Sans" w:hAnsi="Noto Sans"/>
                <w:b/>
                <w:color w:val="FFFFFF"/>
                <w:sz w:val="17"/>
              </w:rPr>
              <w:t>Habitat</w:t>
            </w:r>
          </w:p>
        </w:tc>
        <w:tc>
          <w:tcPr>
            <w:tcW w:type="dxa" w:w="7703"/>
            <w:shd w:fill="17344B"/>
            <w:tcMar>
              <w:top w:w="120" w:type="dxa"/>
              <w:start w:w="100" w:type="dxa"/>
              <w:bottom w:w="120" w:type="dxa"/>
              <w:end w:w="100" w:type="dxa"/>
            </w:tcMar>
            <w:vAlign w:val="center"/>
          </w:tcPr>
          <w:p>
            <w:pPr>
              <w:jc w:val="center"/>
            </w:pPr>
            <w:r>
              <w:rPr>
                <w:rFonts w:ascii="Noto Sans" w:hAnsi="Noto Sans"/>
                <w:b/>
                <w:color w:val="FFFFFF"/>
                <w:sz w:val="17"/>
              </w:rPr>
              <w:t>Natural territory</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GENERAL</w:t>
            </w:r>
          </w:p>
        </w:tc>
        <w:tc>
          <w:tcPr>
            <w:tcW w:type="dxa" w:w="7703"/>
            <w:tcMar>
              <w:top w:w="95" w:type="dxa"/>
              <w:start w:w="100" w:type="dxa"/>
              <w:bottom w:w="95" w:type="dxa"/>
              <w:end w:w="100" w:type="dxa"/>
            </w:tcMar>
            <w:vAlign w:val="center"/>
          </w:tcPr>
          <w:p>
            <w:pPr>
              <w:jc w:val="left"/>
            </w:pPr>
            <w:r>
              <w:rPr>
                <w:rFonts w:ascii="Noto Serif" w:hAnsi="Noto Serif"/>
                <w:color w:val="1B2733"/>
                <w:sz w:val="17"/>
              </w:rPr>
              <w:t>Local fields, records, notes, verification, selection, temporary governance.</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VISOR</w:t>
            </w:r>
          </w:p>
        </w:tc>
        <w:tc>
          <w:tcPr>
            <w:tcW w:type="dxa" w:w="7703"/>
            <w:tcMar>
              <w:top w:w="95" w:type="dxa"/>
              <w:start w:w="100" w:type="dxa"/>
              <w:bottom w:w="95" w:type="dxa"/>
              <w:end w:w="100" w:type="dxa"/>
            </w:tcMar>
            <w:vAlign w:val="center"/>
          </w:tcPr>
          <w:p>
            <w:pPr>
              <w:jc w:val="left"/>
            </w:pPr>
            <w:r>
              <w:rPr>
                <w:rFonts w:ascii="Noto Serif" w:hAnsi="Noto Serif"/>
                <w:color w:val="1B2733"/>
                <w:sz w:val="17"/>
              </w:rPr>
              <w:t>Table-to-table, Stack-to-Stack, and other explicit structural relationships.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QUIVER</w:t>
            </w:r>
          </w:p>
        </w:tc>
        <w:tc>
          <w:tcPr>
            <w:tcW w:type="dxa" w:w="7703"/>
            <w:tcMar>
              <w:top w:w="95" w:type="dxa"/>
              <w:start w:w="100" w:type="dxa"/>
              <w:bottom w:w="95" w:type="dxa"/>
              <w:end w:w="100" w:type="dxa"/>
            </w:tcMar>
            <w:vAlign w:val="center"/>
          </w:tcPr>
          <w:p>
            <w:pPr>
              <w:jc w:val="left"/>
            </w:pPr>
            <w:r>
              <w:rPr>
                <w:rFonts w:ascii="Noto Serif" w:hAnsi="Noto Serif"/>
                <w:color w:val="1B2733"/>
                <w:sz w:val="17"/>
              </w:rPr>
              <w:t>Interface bindings, controls, display surfaces, and human interaction structures.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SOLAR</w:t>
            </w:r>
          </w:p>
        </w:tc>
        <w:tc>
          <w:tcPr>
            <w:tcW w:type="dxa" w:w="7703"/>
            <w:tcMar>
              <w:top w:w="95" w:type="dxa"/>
              <w:start w:w="100" w:type="dxa"/>
              <w:bottom w:w="95" w:type="dxa"/>
              <w:end w:w="100" w:type="dxa"/>
            </w:tcMar>
            <w:vAlign w:val="center"/>
          </w:tcPr>
          <w:p>
            <w:pPr>
              <w:jc w:val="left"/>
            </w:pPr>
            <w:r>
              <w:rPr>
                <w:rFonts w:ascii="Noto Serif" w:hAnsi="Noto Serif"/>
                <w:color w:val="1B2733"/>
                <w:sz w:val="17"/>
              </w:rPr>
              <w:t>Lexical routes, aliases, names, and human-facing references.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BIGFOOT / BOSS</w:t>
            </w:r>
          </w:p>
        </w:tc>
        <w:tc>
          <w:tcPr>
            <w:tcW w:type="dxa" w:w="7703"/>
            <w:tcMar>
              <w:top w:w="95" w:type="dxa"/>
              <w:start w:w="100" w:type="dxa"/>
              <w:bottom w:w="95" w:type="dxa"/>
              <w:end w:w="100" w:type="dxa"/>
            </w:tcMar>
            <w:vAlign w:val="center"/>
          </w:tcPr>
          <w:p>
            <w:pPr>
              <w:jc w:val="left"/>
            </w:pPr>
            <w:r>
              <w:rPr>
                <w:rFonts w:ascii="Noto Serif" w:hAnsi="Noto Serif"/>
                <w:color w:val="1B2733"/>
                <w:sz w:val="17"/>
              </w:rPr>
              <w:t>Semantic construction, symbolic placement, and governed structural operators.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DRAGON</w:t>
            </w:r>
          </w:p>
        </w:tc>
        <w:tc>
          <w:tcPr>
            <w:tcW w:type="dxa" w:w="7703"/>
            <w:tcMar>
              <w:top w:w="95" w:type="dxa"/>
              <w:start w:w="100" w:type="dxa"/>
              <w:bottom w:w="95" w:type="dxa"/>
              <w:end w:w="100" w:type="dxa"/>
            </w:tcMar>
            <w:vAlign w:val="center"/>
          </w:tcPr>
          <w:p>
            <w:pPr>
              <w:jc w:val="left"/>
            </w:pPr>
            <w:r>
              <w:rPr>
                <w:rFonts w:ascii="Noto Serif" w:hAnsi="Noto Serif"/>
                <w:color w:val="1B2733"/>
                <w:sz w:val="17"/>
              </w:rPr>
              <w:t>Registration, Determination, Models, operations, and values.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READER</w:t>
            </w:r>
          </w:p>
        </w:tc>
        <w:tc>
          <w:tcPr>
            <w:tcW w:type="dxa" w:w="7703"/>
            <w:tcMar>
              <w:top w:w="95" w:type="dxa"/>
              <w:start w:w="100" w:type="dxa"/>
              <w:bottom w:w="95" w:type="dxa"/>
              <w:end w:w="100" w:type="dxa"/>
            </w:tcMar>
            <w:vAlign w:val="center"/>
          </w:tcPr>
          <w:p>
            <w:pPr>
              <w:jc w:val="left"/>
            </w:pPr>
            <w:r>
              <w:rPr>
                <w:rFonts w:ascii="Noto Serif" w:hAnsi="Noto Serif"/>
                <w:color w:val="1B2733"/>
                <w:sz w:val="17"/>
              </w:rPr>
              <w:t>BitWord interpretation, bindings, validation, width, version, and decode behavior.</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MIRROR</w:t>
            </w:r>
          </w:p>
        </w:tc>
        <w:tc>
          <w:tcPr>
            <w:tcW w:type="dxa" w:w="7703"/>
            <w:tcMar>
              <w:top w:w="95" w:type="dxa"/>
              <w:start w:w="100" w:type="dxa"/>
              <w:bottom w:w="95" w:type="dxa"/>
              <w:end w:w="100" w:type="dxa"/>
            </w:tcMar>
            <w:vAlign w:val="center"/>
          </w:tcPr>
          <w:p>
            <w:pPr>
              <w:jc w:val="left"/>
            </w:pPr>
            <w:r>
              <w:rPr>
                <w:rFonts w:ascii="Noto Serif" w:hAnsi="Noto Serif"/>
                <w:color w:val="1B2733"/>
                <w:sz w:val="17"/>
              </w:rPr>
              <w:t>Bounded graph membership, edges, branches, and graph limits.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DARTBOARD</w:t>
            </w:r>
          </w:p>
        </w:tc>
        <w:tc>
          <w:tcPr>
            <w:tcW w:type="dxa" w:w="7703"/>
            <w:tcMar>
              <w:top w:w="95" w:type="dxa"/>
              <w:start w:w="100" w:type="dxa"/>
              <w:bottom w:w="95" w:type="dxa"/>
              <w:end w:w="100" w:type="dxa"/>
            </w:tcMar>
            <w:vAlign w:val="center"/>
          </w:tcPr>
          <w:p>
            <w:pPr>
              <w:jc w:val="left"/>
            </w:pPr>
            <w:r>
              <w:rPr>
                <w:rFonts w:ascii="Noto Serif" w:hAnsi="Noto Serif"/>
                <w:color w:val="1B2733"/>
                <w:sz w:val="17"/>
              </w:rPr>
              <w:t>Runtime route selection, fallbacks, redirects, and resolution.</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PIECE / EDIFICE</w:t>
            </w:r>
          </w:p>
        </w:tc>
        <w:tc>
          <w:tcPr>
            <w:tcW w:type="dxa" w:w="7703"/>
            <w:tcMar>
              <w:top w:w="95" w:type="dxa"/>
              <w:start w:w="100" w:type="dxa"/>
              <w:bottom w:w="95" w:type="dxa"/>
              <w:end w:w="100" w:type="dxa"/>
            </w:tcMar>
            <w:vAlign w:val="center"/>
          </w:tcPr>
          <w:p>
            <w:pPr>
              <w:jc w:val="left"/>
            </w:pPr>
            <w:r>
              <w:rPr>
                <w:rFonts w:ascii="Noto Serif" w:hAnsi="Noto Serif"/>
                <w:color w:val="1B2733"/>
                <w:sz w:val="17"/>
              </w:rPr>
              <w:t>Composition, placement, component replacement, and assembly.</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BOOTSTRAP</w:t>
            </w:r>
          </w:p>
        </w:tc>
        <w:tc>
          <w:tcPr>
            <w:tcW w:type="dxa" w:w="7703"/>
            <w:tcMar>
              <w:top w:w="95" w:type="dxa"/>
              <w:start w:w="100" w:type="dxa"/>
              <w:bottom w:w="95" w:type="dxa"/>
              <w:end w:w="100" w:type="dxa"/>
            </w:tcMar>
            <w:vAlign w:val="center"/>
          </w:tcPr>
          <w:p>
            <w:pPr>
              <w:jc w:val="left"/>
            </w:pPr>
            <w:r>
              <w:rPr>
                <w:rFonts w:ascii="Noto Serif" w:hAnsi="Noto Serif"/>
                <w:color w:val="1B2733"/>
                <w:sz w:val="17"/>
              </w:rPr>
              <w:t>Learning sequence, resources, instructions, and navigation.</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PORT</w:t>
            </w:r>
          </w:p>
        </w:tc>
        <w:tc>
          <w:tcPr>
            <w:tcW w:type="dxa" w:w="7703"/>
            <w:tcMar>
              <w:top w:w="95" w:type="dxa"/>
              <w:start w:w="100" w:type="dxa"/>
              <w:bottom w:w="95" w:type="dxa"/>
              <w:end w:w="100" w:type="dxa"/>
            </w:tcMar>
            <w:vAlign w:val="center"/>
          </w:tcPr>
          <w:p>
            <w:pPr>
              <w:jc w:val="left"/>
            </w:pPr>
            <w:r>
              <w:rPr>
                <w:rFonts w:ascii="Noto Serif" w:hAnsi="Noto Serif"/>
                <w:color w:val="1B2733"/>
                <w:sz w:val="17"/>
              </w:rPr>
              <w:t>Representation-to-representation or system-to-system translation.</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CONNECTOR</w:t>
            </w:r>
          </w:p>
        </w:tc>
        <w:tc>
          <w:tcPr>
            <w:tcW w:type="dxa" w:w="7703"/>
            <w:tcMar>
              <w:top w:w="95" w:type="dxa"/>
              <w:start w:w="100" w:type="dxa"/>
              <w:bottom w:w="95" w:type="dxa"/>
              <w:end w:w="100" w:type="dxa"/>
            </w:tcMar>
            <w:vAlign w:val="center"/>
          </w:tcPr>
          <w:p>
            <w:pPr>
              <w:jc w:val="left"/>
            </w:pPr>
            <w:r>
              <w:rPr>
                <w:rFonts w:ascii="Noto Serif" w:hAnsi="Noto Serif"/>
                <w:color w:val="1B2733"/>
                <w:sz w:val="17"/>
              </w:rPr>
              <w:t>Tool/API capability gaps and operational workarounds.</w:t>
            </w:r>
          </w:p>
        </w:tc>
      </w:tr>
      <w:tr>
        <w:tc>
          <w:tcPr>
            <w:tcW w:type="dxa" w:w="2088"/>
            <w:tcMar>
              <w:top w:w="95" w:type="dxa"/>
              <w:start w:w="100" w:type="dxa"/>
              <w:bottom w:w="95" w:type="dxa"/>
              <w:end w:w="100" w:type="dxa"/>
            </w:tcMar>
            <w:vAlign w:val="center"/>
          </w:tcPr>
          <w:p>
            <w:pPr>
              <w:jc w:val="center"/>
            </w:pPr>
            <w:r>
              <w:rPr>
                <w:rFonts w:ascii="Noto Serif" w:hAnsi="Noto Serif"/>
                <w:color w:val="1B2733"/>
                <w:sz w:val="17"/>
              </w:rPr>
              <w:t>HUMAN</w:t>
            </w:r>
          </w:p>
        </w:tc>
        <w:tc>
          <w:tcPr>
            <w:tcW w:type="dxa" w:w="7703"/>
            <w:tcMar>
              <w:top w:w="95" w:type="dxa"/>
              <w:start w:w="100" w:type="dxa"/>
              <w:bottom w:w="95" w:type="dxa"/>
              <w:end w:w="100" w:type="dxa"/>
            </w:tcMar>
            <w:vAlign w:val="center"/>
          </w:tcPr>
          <w:p>
            <w:pPr>
              <w:jc w:val="left"/>
            </w:pPr>
            <w:r>
              <w:rPr>
                <w:rFonts w:ascii="Noto Serif" w:hAnsi="Noto Serif"/>
                <w:color w:val="1B2733"/>
                <w:sz w:val="17"/>
              </w:rPr>
              <w:t>Authorization, semantic adjudication, preference, and bounded choice.</w:t>
            </w:r>
          </w:p>
        </w:tc>
      </w:tr>
    </w:tbl>
    <w:p>
      <w:pPr>
        <w:spacing w:after="20"/>
      </w:pP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2999179" cy="7269480"/>
            <wp:docPr id="5" name="Picture 5" title="Figure 5 - Habitat Bounds the Toolbox" descr="Different contexts expose different eligible P1 operations: VISOR for table relationships and PORT for Airtable-to-SQLite translation."/>
            <wp:cNvGraphicFramePr>
              <a:graphicFrameLocks noChangeAspect="1"/>
            </wp:cNvGraphicFramePr>
            <a:graphic>
              <a:graphicData uri="http://schemas.openxmlformats.org/drawingml/2006/picture">
                <pic:pic>
                  <pic:nvPicPr>
                    <pic:cNvPr id="0" name="F05.png"/>
                    <pic:cNvPicPr/>
                  </pic:nvPicPr>
                  <pic:blipFill>
                    <a:blip r:embed="rId14"/>
                    <a:stretch>
                      <a:fillRect/>
                    </a:stretch>
                  </pic:blipFill>
                  <pic:spPr>
                    <a:xfrm>
                      <a:off x="0" y="0"/>
                      <a:ext cx="2999179" cy="7269480"/>
                    </a:xfrm>
                    <a:prstGeom prst="rect"/>
                  </pic:spPr>
                </pic:pic>
              </a:graphicData>
            </a:graphic>
          </wp:inline>
        </w:drawing>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3015795" cy="7269480"/>
            <wp:docPr id="6" name="Picture 6" title="Figure 6 - Context-Bounded PATCH Resolution" descr="Resolution pipeline from observed context to entity type, Habitat, eligible P1 set, user intent, and the matched PATCH."/>
            <wp:cNvGraphicFramePr>
              <a:graphicFrameLocks noChangeAspect="1"/>
            </wp:cNvGraphicFramePr>
            <a:graphic>
              <a:graphicData uri="http://schemas.openxmlformats.org/drawingml/2006/picture">
                <pic:pic>
                  <pic:nvPicPr>
                    <pic:cNvPr id="0" name="F06.png"/>
                    <pic:cNvPicPr/>
                  </pic:nvPicPr>
                  <pic:blipFill>
                    <a:blip r:embed="rId15"/>
                    <a:stretch>
                      <a:fillRect/>
                    </a:stretch>
                  </pic:blipFill>
                  <pic:spPr>
                    <a:xfrm>
                      <a:off x="0" y="0"/>
                      <a:ext cx="3015795" cy="7269480"/>
                    </a:xfrm>
                    <a:prstGeom prst="rect"/>
                  </pic:spPr>
                </pic:pic>
              </a:graphicData>
            </a:graphic>
          </wp:inline>
        </w:drawing>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3165339" cy="7269480"/>
            <wp:docPr id="7" name="Picture 7" title="Figure 7 - P1 Atomic Operational Meaning" descr="Representative P1 operations surround a standalone PATCH field, emphasizing one temporary operational meaning per P1."/>
            <wp:cNvGraphicFramePr>
              <a:graphicFrameLocks noChangeAspect="1"/>
            </wp:cNvGraphicFramePr>
            <a:graphic>
              <a:graphicData uri="http://schemas.openxmlformats.org/drawingml/2006/picture">
                <pic:pic>
                  <pic:nvPicPr>
                    <pic:cNvPr id="0" name="F07.png"/>
                    <pic:cNvPicPr/>
                  </pic:nvPicPr>
                  <pic:blipFill>
                    <a:blip r:embed="rId16"/>
                    <a:stretch>
                      <a:fillRect/>
                    </a:stretch>
                  </pic:blipFill>
                  <pic:spPr>
                    <a:xfrm>
                      <a:off x="0" y="0"/>
                      <a:ext cx="3165339" cy="7269480"/>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COMPRESSION GRAMMAR</w:t>
            </w:r>
          </w:p>
          <w:p>
            <w:pPr>
              <w:spacing w:after="0"/>
            </w:pPr>
            <w:r>
              <w:rPr>
                <w:rFonts w:ascii="Noto Serif" w:hAnsi="Noto Serif"/>
                <w:color w:val="1B2733"/>
                <w:sz w:val="20"/>
              </w:rPr>
              <w:t>P1 carries one meaning; P2 and P3 are composition boundaries, not new semantic primitives.</w:t>
            </w:r>
          </w:p>
        </w:tc>
      </w:tr>
    </w:tbl>
    <w:p>
      <w:pPr>
        <w:spacing w:after="20"/>
      </w:pPr>
    </w:p>
    <w:p>
      <w:pPr>
        <w:pStyle w:val="Heading1"/>
        <w:keepNext/>
      </w:pPr>
      <w:r>
        <w:t>3. P1, P2, and P3 grammar</w:t>
      </w:r>
    </w:p>
    <w:p>
      <w:pPr>
        <w:spacing w:before="0" w:after="120" w:line="259" w:lineRule="auto"/>
      </w:pPr>
      <w:r>
        <w:rPr>
          <w:rFonts w:ascii="Noto Serif" w:hAnsi="Noto Serif"/>
          <w:color w:val="1B2733"/>
          <w:sz w:val="20"/>
        </w:rPr>
        <w:t>PATCH begins with P1. A P1 expresses one temporary operational meaning. Richer structures emerge by placing P1s together. The system does not need to invent a second meaning layer for P2 or P3: a PATCH Group is simply a useful composition of P1s, and a PATCH Cluster is a useful boundary around multiple Groups.</w:t>
      </w:r>
    </w:p>
    <w:p>
      <w:pPr>
        <w:spacing w:before="0" w:after="120" w:line="259" w:lineRule="auto"/>
      </w:pPr>
      <w:r>
        <w:rPr>
          <w:rFonts w:ascii="Noto Serif" w:hAnsi="Noto Serif"/>
          <w:color w:val="1B2733"/>
          <w:sz w:val="20"/>
        </w:rPr>
        <w:t>The notation makes those boundaries visible directly in field names. This reduces metadata, helps humans scan the table, and lets an AI recover the temporary sentence structure mechanically.</w:t>
      </w:r>
    </w:p>
    <w:tbl>
      <w:tblPr>
        <w:tblW w:type="auto" w:w="0"/>
        <w:jc w:val="center"/>
        <w:tblLayout w:type="fixed"/>
        <w:tblLook w:firstColumn="1" w:firstRow="1" w:lastColumn="0" w:lastRow="0" w:noHBand="0" w:noVBand="1" w:val="04A0"/>
      </w:tblPr>
      <w:tblGrid>
        <w:gridCol w:w="10166"/>
      </w:tblGrid>
      <w:tr>
        <w:tc>
          <w:tcPr>
            <w:tcW w:type="dxa" w:w="9864"/>
            <w:shd w:fill="FBF4DF"/>
            <w:tcMar>
              <w:top w:w="140" w:type="dxa"/>
              <w:start w:w="180" w:type="dxa"/>
              <w:bottom w:w="140" w:type="dxa"/>
              <w:end w:w="180" w:type="dxa"/>
            </w:tcMar>
          </w:tcPr>
          <w:p>
            <w:pPr>
              <w:jc w:val="center"/>
            </w:pPr>
            <w:r>
              <w:rPr>
                <w:rFonts w:ascii="Noto Serif" w:hAnsi="Noto Serif"/>
                <w:b/>
                <w:i/>
                <w:color w:val="C79318"/>
                <w:sz w:val="22"/>
              </w:rPr>
              <w:t>X = interior. XX = Group boundary. XXX = Cluster boundary.</w:t>
            </w:r>
          </w:p>
        </w:tc>
      </w:tr>
    </w:tbl>
    <w:p>
      <w:pPr>
        <w:spacing w:after="20"/>
      </w:pP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153988" cy="7269480"/>
            <wp:docPr id="8" name="Picture 8" title="Figure 8 - X, XX, XXX Compression Grammar" descr="Notation hierarchy showing P1 atomic fields, P2 PATCH Groups, and P3 PATCH Clusters using X, XX, and XXX boundaries."/>
            <wp:cNvGraphicFramePr>
              <a:graphicFrameLocks noChangeAspect="1"/>
            </wp:cNvGraphicFramePr>
            <a:graphic>
              <a:graphicData uri="http://schemas.openxmlformats.org/drawingml/2006/picture">
                <pic:pic>
                  <pic:nvPicPr>
                    <pic:cNvPr id="0" name="F08.png"/>
                    <pic:cNvPicPr/>
                  </pic:nvPicPr>
                  <pic:blipFill>
                    <a:blip r:embed="rId17"/>
                    <a:stretch>
                      <a:fillRect/>
                    </a:stretch>
                  </pic:blipFill>
                  <pic:spPr>
                    <a:xfrm>
                      <a:off x="0" y="0"/>
                      <a:ext cx="4153988" cy="7269480"/>
                    </a:xfrm>
                    <a:prstGeom prst="rect"/>
                  </pic:spPr>
                </pic:pic>
              </a:graphicData>
            </a:graphic>
          </wp:inline>
        </w:drawing>
      </w:r>
    </w:p>
    <w:p>
      <w:pPr>
        <w:pStyle w:val="Heading2"/>
        <w:keepNext/>
      </w:pPr>
      <w:r>
        <w:t>3.1 P2 - PATCH Group</w:t>
      </w:r>
    </w:p>
    <w:p>
      <w:pPr>
        <w:spacing w:before="0" w:after="120" w:line="259" w:lineRule="auto"/>
      </w:pPr>
      <w:r>
        <w:rPr>
          <w:rFonts w:ascii="Noto Serif" w:hAnsi="Noto Serif"/>
          <w:color w:val="1B2733"/>
          <w:sz w:val="20"/>
        </w:rPr>
        <w:t>A P2 does not deserve a registry entry merely because a combination is possible. The initial system should allow arbitrary useful P1 composition and observe which combinations recur. Stable P2 templates are harvested from actual work rather than designed in advance.</w:t>
      </w:r>
    </w:p>
    <w:p>
      <w:pPr>
        <w:spacing w:before="0" w:after="120" w:line="259" w:lineRule="auto"/>
      </w:pPr>
      <w:r>
        <w:rPr>
          <w:rFonts w:ascii="Noto Serif" w:hAnsi="Noto Serif"/>
          <w:color w:val="1B2733"/>
          <w:sz w:val="20"/>
        </w:rPr>
        <w:t>A relational Group such as |XX| Legacy Field | / |X| COMPARE |X| / | Proposed Field |XX| is already a complete temporary statement. The first and last fields mark the group boundary; middle fields carry operators, gates, notes, or additional operands.</w:t>
      </w:r>
    </w:p>
    <w:p>
      <w:pPr>
        <w:spacing w:after="60"/>
        <w:jc w:val="center"/>
      </w:pPr>
      <w:r>
        <w:drawing>
          <wp:inline xmlns:a="http://schemas.openxmlformats.org/drawingml/2006/main" xmlns:pic="http://schemas.openxmlformats.org/drawingml/2006/picture">
            <wp:extent cx="4120756" cy="7269480"/>
            <wp:docPr id="9" name="Picture 9" title="Figure 9 - Composing a PATCH Group" descr="A P2 relational statement composes Operand A, COMPARE, and Operand B inside explicit group boundaries."/>
            <wp:cNvGraphicFramePr>
              <a:graphicFrameLocks noChangeAspect="1"/>
            </wp:cNvGraphicFramePr>
            <a:graphic>
              <a:graphicData uri="http://schemas.openxmlformats.org/drawingml/2006/picture">
                <pic:pic>
                  <pic:nvPicPr>
                    <pic:cNvPr id="0" name="F09.png"/>
                    <pic:cNvPicPr/>
                  </pic:nvPicPr>
                  <pic:blipFill>
                    <a:blip r:embed="rId18"/>
                    <a:stretch>
                      <a:fillRect/>
                    </a:stretch>
                  </pic:blipFill>
                  <pic:spPr>
                    <a:xfrm>
                      <a:off x="0" y="0"/>
                      <a:ext cx="4120756" cy="7269480"/>
                    </a:xfrm>
                    <a:prstGeom prst="rect"/>
                  </pic:spPr>
                </pic:pic>
              </a:graphicData>
            </a:graphic>
          </wp:inline>
        </w:drawing>
      </w:r>
    </w:p>
    <w:p>
      <w:pPr>
        <w:pStyle w:val="Heading2"/>
        <w:keepNext/>
      </w:pPr>
      <w:r>
        <w:t>3.2 P3 - PATCH Cluster</w:t>
      </w:r>
    </w:p>
    <w:p>
      <w:pPr>
        <w:spacing w:before="0" w:after="120" w:line="259" w:lineRule="auto"/>
      </w:pPr>
      <w:r>
        <w:rPr>
          <w:rFonts w:ascii="Noto Serif" w:hAnsi="Noto Serif"/>
          <w:color w:val="1B2733"/>
          <w:sz w:val="20"/>
        </w:rPr>
        <w:t>P3 applies the same idea one level outward. The first opening XX boundary becomes XXX and the final closing XX boundary becomes XXX. Everything inside remains ordinary P2 grammar. This is enough to mark a larger bounded transformation Wave without inventing separate Cluster semantics.</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153988" cy="7269480"/>
            <wp:docPr id="10" name="Picture 10" title="Figure 10 - Composing a PATCH Cluster" descr="A P3 cluster encloses multiple P2 groups for field mapping and verification using promoted XXX outer boundaries."/>
            <wp:cNvGraphicFramePr>
              <a:graphicFrameLocks noChangeAspect="1"/>
            </wp:cNvGraphicFramePr>
            <a:graphic>
              <a:graphicData uri="http://schemas.openxmlformats.org/drawingml/2006/picture">
                <pic:pic>
                  <pic:nvPicPr>
                    <pic:cNvPr id="0" name="F10.png"/>
                    <pic:cNvPicPr/>
                  </pic:nvPicPr>
                  <pic:blipFill>
                    <a:blip r:embed="rId19"/>
                    <a:stretch>
                      <a:fillRect/>
                    </a:stretch>
                  </pic:blipFill>
                  <pic:spPr>
                    <a:xfrm>
                      <a:off x="0" y="0"/>
                      <a:ext cx="4153988" cy="7269480"/>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OPERATOR REUSE</w:t>
            </w:r>
          </w:p>
          <w:p>
            <w:pPr>
              <w:spacing w:after="0"/>
            </w:pPr>
            <w:r>
              <w:rPr>
                <w:rFonts w:ascii="Noto Serif" w:hAnsi="Noto Serif"/>
                <w:color w:val="1B2733"/>
                <w:sz w:val="20"/>
              </w:rPr>
              <w:t>PATCH can temporarily use the existing CERBERUS language rather than inventing another relational vocabulary.</w:t>
            </w:r>
          </w:p>
        </w:tc>
      </w:tr>
    </w:tbl>
    <w:p>
      <w:pPr>
        <w:spacing w:after="20"/>
      </w:pPr>
    </w:p>
    <w:p>
      <w:pPr>
        <w:pStyle w:val="Heading1"/>
        <w:keepNext/>
      </w:pPr>
      <w:r>
        <w:t>4. Structural operators and relational PATCHes</w:t>
      </w:r>
    </w:p>
    <w:p>
      <w:pPr>
        <w:spacing w:before="0" w:after="120" w:line="259" w:lineRule="auto"/>
      </w:pPr>
      <w:r>
        <w:rPr>
          <w:rFonts w:ascii="Noto Serif" w:hAnsi="Noto Serif"/>
          <w:color w:val="1B2733"/>
          <w:sz w:val="20"/>
        </w:rPr>
        <w:t>Where a PATCH is relational, BOSS can supply the structural verb. The canonical meaning of COMPARE, REPLACE, LINK, MAP, VERIFY, TRANSLATE, or another registered operator remains owned by BOSS. PATCH merely applies that meaning temporarily to bounded operands.</w:t>
      </w:r>
    </w:p>
    <w:p>
      <w:pPr>
        <w:spacing w:before="0" w:after="120" w:line="259" w:lineRule="auto"/>
      </w:pPr>
      <w:r>
        <w:rPr>
          <w:rFonts w:ascii="Noto Serif" w:hAnsi="Noto Serif"/>
          <w:color w:val="1B2733"/>
          <w:sz w:val="20"/>
        </w:rPr>
        <w:t>This distinction matters: a canonical operator does not make the temporary relation instance canonical. The PATCH relation can be deleted, rejected, or replaced without altering the operator definition or the Base.</w:t>
      </w:r>
    </w:p>
    <w:p>
      <w:pPr>
        <w:pStyle w:val="ListBullet"/>
        <w:spacing w:after="50"/>
        <w:ind w:left="317" w:hanging="144"/>
      </w:pPr>
      <w:r>
        <w:rPr>
          <w:rFonts w:ascii="Noto Serif" w:hAnsi="Noto Serif"/>
          <w:color w:val="1B2733"/>
          <w:sz w:val="20"/>
        </w:rPr>
        <w:t>BOSS owns operator semantics.</w:t>
      </w:r>
    </w:p>
    <w:p>
      <w:pPr>
        <w:pStyle w:val="ListBullet"/>
        <w:spacing w:after="50"/>
        <w:ind w:left="317" w:hanging="144"/>
      </w:pPr>
      <w:r>
        <w:rPr>
          <w:rFonts w:ascii="Noto Serif" w:hAnsi="Noto Serif"/>
          <w:color w:val="1B2733"/>
          <w:sz w:val="20"/>
        </w:rPr>
        <w:t>PATCH owns only the temporary invocation and its local operands.</w:t>
      </w:r>
    </w:p>
    <w:p>
      <w:pPr>
        <w:pStyle w:val="ListBullet"/>
        <w:spacing w:after="50"/>
        <w:ind w:left="317" w:hanging="144"/>
      </w:pPr>
      <w:r>
        <w:rPr>
          <w:rFonts w:ascii="Noto Serif" w:hAnsi="Noto Serif"/>
          <w:color w:val="1B2733"/>
          <w:sz w:val="20"/>
        </w:rPr>
        <w:t>A PATCH reference or operand pointer is scaffolding, not a permanent graph edge.</w:t>
      </w:r>
    </w:p>
    <w:p>
      <w:pPr>
        <w:pStyle w:val="ListBullet"/>
        <w:spacing w:after="50"/>
        <w:ind w:left="317" w:hanging="144"/>
      </w:pPr>
      <w:r>
        <w:rPr>
          <w:rFonts w:ascii="Noto Serif" w:hAnsi="Noto Serif"/>
          <w:color w:val="1B2733"/>
          <w:sz w:val="20"/>
        </w:rPr>
        <w:t>If a temporary relation becomes approved canonical structure, that canonical relation is written through the owning system, not by preserving the PATCH as architecture.</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6217920" cy="7234946"/>
            <wp:docPr id="11" name="Picture 11" title="Figure 11 - BOSS Supplies the Structural Verb" descr="BOSS owns structural operator meaning while PATCH temporarily applies operators such as COMPARE to bounded operands without creating canonical relations."/>
            <wp:cNvGraphicFramePr>
              <a:graphicFrameLocks noChangeAspect="1"/>
            </wp:cNvGraphicFramePr>
            <a:graphic>
              <a:graphicData uri="http://schemas.openxmlformats.org/drawingml/2006/picture">
                <pic:pic>
                  <pic:nvPicPr>
                    <pic:cNvPr id="0" name="F11.png"/>
                    <pic:cNvPicPr/>
                  </pic:nvPicPr>
                  <pic:blipFill>
                    <a:blip r:embed="rId20"/>
                    <a:stretch>
                      <a:fillRect/>
                    </a:stretch>
                  </pic:blipFill>
                  <pic:spPr>
                    <a:xfrm>
                      <a:off x="0" y="0"/>
                      <a:ext cx="6217920" cy="7234946"/>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HUMAN SEPARATION</w:t>
            </w:r>
          </w:p>
          <w:p>
            <w:pPr>
              <w:spacing w:after="0"/>
            </w:pPr>
            <w:r>
              <w:rPr>
                <w:rFonts w:ascii="Noto Serif" w:hAnsi="Noto Serif"/>
                <w:color w:val="1B2733"/>
                <w:sz w:val="20"/>
              </w:rPr>
              <w:t>Writing a proposal and committing the proposal are distinct events.</w:t>
            </w:r>
          </w:p>
        </w:tc>
      </w:tr>
    </w:tbl>
    <w:p>
      <w:pPr>
        <w:spacing w:after="20"/>
      </w:pPr>
    </w:p>
    <w:p>
      <w:pPr>
        <w:pStyle w:val="Heading1"/>
        <w:keepNext/>
      </w:pPr>
      <w:r>
        <w:t>5. Human gates and the PURGE pattern</w:t>
      </w:r>
    </w:p>
    <w:p>
      <w:pPr>
        <w:spacing w:before="0" w:after="120" w:line="259" w:lineRule="auto"/>
      </w:pPr>
      <w:r>
        <w:rPr>
          <w:rFonts w:ascii="Noto Serif" w:hAnsi="Noto Serif"/>
          <w:color w:val="1B2733"/>
          <w:sz w:val="20"/>
        </w:rPr>
        <w:t>The original PATCH pattern emerged from a simple connector limitation. An AI could identify registry records pointing at tables that no longer existed, but deletion should remain human-gated. A temporary PURGE checkbox let the AI mark candidates directly in the Base while the human retained the destructive decision.</w:t>
      </w:r>
    </w:p>
    <w:p>
      <w:pPr>
        <w:spacing w:before="0" w:after="120" w:line="259" w:lineRule="auto"/>
      </w:pPr>
      <w:r>
        <w:rPr>
          <w:rFonts w:ascii="Noto Serif" w:hAnsi="Noto Serif"/>
          <w:color w:val="1B2733"/>
          <w:sz w:val="20"/>
        </w:rPr>
        <w:t>This small pattern contains most of the architecture: machine inspection, visible temporary state, explicit human review, optional execution, and removal of the scaffold afterward. The checkbox is useful precisely because it is not the deletion itself.</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The Base only changes when an authorized operation crosses the human gate.</w:t>
            </w:r>
          </w:p>
        </w:tc>
      </w:tr>
    </w:tbl>
    <w:p>
      <w:pPr>
        <w:spacing w:after="20"/>
      </w:pP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6217920" cy="7225338"/>
            <wp:docPr id="12" name="Picture 12" title="Figure 12 - The Original PURGE Gate" descr="Registry cleanup example where AI marks obsolete records, a human reviews deletion candidates, approved changes execute, and temporary PATCH fields are removed."/>
            <wp:cNvGraphicFramePr>
              <a:graphicFrameLocks noChangeAspect="1"/>
            </wp:cNvGraphicFramePr>
            <a:graphic>
              <a:graphicData uri="http://schemas.openxmlformats.org/drawingml/2006/picture">
                <pic:pic>
                  <pic:nvPicPr>
                    <pic:cNvPr id="0" name="F12.png"/>
                    <pic:cNvPicPr/>
                  </pic:nvPicPr>
                  <pic:blipFill>
                    <a:blip r:embed="rId21"/>
                    <a:stretch>
                      <a:fillRect/>
                    </a:stretch>
                  </pic:blipFill>
                  <pic:spPr>
                    <a:xfrm>
                      <a:off x="0" y="0"/>
                      <a:ext cx="6217920" cy="7225338"/>
                    </a:xfrm>
                    <a:prstGeom prst="rect"/>
                  </pic:spPr>
                </pic:pic>
              </a:graphicData>
            </a:graphic>
          </wp:inline>
        </w:drawing>
      </w:r>
    </w:p>
    <w:p>
      <w:pPr>
        <w:pStyle w:val="Heading2"/>
        <w:keepNext/>
      </w:pPr>
      <w:r>
        <w:t>5.1 Human gate semantics</w:t>
      </w:r>
    </w:p>
    <w:p>
      <w:pPr>
        <w:pStyle w:val="ListBullet"/>
        <w:spacing w:after="50"/>
        <w:ind w:left="317" w:hanging="144"/>
      </w:pPr>
      <w:r>
        <w:rPr>
          <w:rFonts w:ascii="Noto Serif" w:hAnsi="Noto Serif"/>
          <w:color w:val="1B2733"/>
          <w:sz w:val="20"/>
        </w:rPr>
        <w:t>APPROVE - authorize the proposed canonical operation.</w:t>
      </w:r>
    </w:p>
    <w:p>
      <w:pPr>
        <w:pStyle w:val="ListBullet"/>
        <w:spacing w:after="50"/>
        <w:ind w:left="317" w:hanging="144"/>
      </w:pPr>
      <w:r>
        <w:rPr>
          <w:rFonts w:ascii="Noto Serif" w:hAnsi="Noto Serif"/>
          <w:color w:val="1B2733"/>
          <w:sz w:val="20"/>
        </w:rPr>
        <w:t>REJECT - explicitly decline the proposal.</w:t>
      </w:r>
    </w:p>
    <w:p>
      <w:pPr>
        <w:pStyle w:val="ListBullet"/>
        <w:spacing w:after="50"/>
        <w:ind w:left="317" w:hanging="144"/>
      </w:pPr>
      <w:r>
        <w:rPr>
          <w:rFonts w:ascii="Noto Serif" w:hAnsi="Noto Serif"/>
          <w:color w:val="1B2733"/>
          <w:sz w:val="20"/>
        </w:rPr>
        <w:t>HOLD - preserve the current PATCH for later work without committing it.</w:t>
      </w:r>
    </w:p>
    <w:p>
      <w:pPr>
        <w:pStyle w:val="ListBullet"/>
        <w:spacing w:after="50"/>
        <w:ind w:left="317" w:hanging="144"/>
      </w:pPr>
      <w:r>
        <w:rPr>
          <w:rFonts w:ascii="Noto Serif" w:hAnsi="Noto Serif"/>
          <w:color w:val="1B2733"/>
          <w:sz w:val="20"/>
        </w:rPr>
        <w:t>SELECT - choose one among bounded alternatives.</w:t>
      </w:r>
    </w:p>
    <w:p>
      <w:pPr>
        <w:pStyle w:val="ListBullet"/>
        <w:spacing w:after="50"/>
        <w:ind w:left="317" w:hanging="144"/>
      </w:pPr>
      <w:r>
        <w:rPr>
          <w:rFonts w:ascii="Noto Serif" w:hAnsi="Noto Serif"/>
          <w:color w:val="1B2733"/>
          <w:sz w:val="20"/>
        </w:rPr>
        <w:t>VERIFY - confirm that an expected condition or postcondition is true.</w:t>
      </w:r>
    </w:p>
    <w:p>
      <w:pPr>
        <w:pStyle w:val="ListBullet"/>
        <w:spacing w:after="50"/>
        <w:ind w:left="317" w:hanging="144"/>
      </w:pPr>
      <w:r>
        <w:rPr>
          <w:rFonts w:ascii="Noto Serif" w:hAnsi="Noto Serif"/>
          <w:color w:val="1B2733"/>
          <w:sz w:val="20"/>
        </w:rPr>
        <w:t>PURGE - mark a target as a removal candidate; the PATCH itself remains separately purgeable.</w:t>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PATCH WAVE</w:t>
            </w:r>
          </w:p>
          <w:p>
            <w:pPr>
              <w:spacing w:after="0"/>
            </w:pPr>
            <w:r>
              <w:rPr>
                <w:rFonts w:ascii="Noto Serif" w:hAnsi="Noto Serif"/>
                <w:color w:val="1B2733"/>
                <w:sz w:val="20"/>
              </w:rPr>
              <w:t>Aggressive analysis can be staged beside a live table while canonical mutation remains gated.</w:t>
            </w:r>
          </w:p>
        </w:tc>
      </w:tr>
    </w:tbl>
    <w:p>
      <w:pPr>
        <w:spacing w:after="20"/>
      </w:pPr>
    </w:p>
    <w:p>
      <w:pPr>
        <w:pStyle w:val="Heading1"/>
        <w:keepNext/>
      </w:pPr>
      <w:r>
        <w:t>6. PATCH Waves and temporal co-presence</w:t>
      </w:r>
    </w:p>
    <w:p>
      <w:pPr>
        <w:spacing w:before="0" w:after="120" w:line="259" w:lineRule="auto"/>
      </w:pPr>
      <w:r>
        <w:rPr>
          <w:rFonts w:ascii="Noto Serif" w:hAnsi="Noto Serif"/>
          <w:color w:val="1B2733"/>
          <w:sz w:val="20"/>
        </w:rPr>
        <w:t>A PATCH Wave is a bounded pass across a Table, Stack, migration region, or other work surface. The AI may insert temporary fields, inspect a defined scope, populate findings, propose replacements, compare old and new structures, and flag records for human review. None of those proposals become canonical merely because the analysis is extensive.</w:t>
      </w:r>
    </w:p>
    <w:p>
      <w:pPr>
        <w:spacing w:before="0" w:after="120" w:line="259" w:lineRule="auto"/>
      </w:pPr>
      <w:r>
        <w:rPr>
          <w:rFonts w:ascii="Noto Serif" w:hAnsi="Noto Serif"/>
          <w:color w:val="1B2733"/>
          <w:sz w:val="20"/>
        </w:rPr>
        <w:t>This makes a table unusually legible during transformation because three temporal views can be co-present: legacy information that explains how the table arrived here, the actual canonical state that currently runs the system, and the proposed state represented by PATCH scaffolding.</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428151" cy="7269480"/>
            <wp:docPr id="13" name="Picture 13" title="Figure 13 - PATCH Wave: Proposed Surgery" descr="Temporary PATCH columns expose issues and proposed changes beside a live registry while canonical data remains unchanged until human approval."/>
            <wp:cNvGraphicFramePr>
              <a:graphicFrameLocks noChangeAspect="1"/>
            </wp:cNvGraphicFramePr>
            <a:graphic>
              <a:graphicData uri="http://schemas.openxmlformats.org/drawingml/2006/picture">
                <pic:pic>
                  <pic:nvPicPr>
                    <pic:cNvPr id="0" name="F13.png"/>
                    <pic:cNvPicPr/>
                  </pic:nvPicPr>
                  <pic:blipFill>
                    <a:blip r:embed="rId22"/>
                    <a:stretch>
                      <a:fillRect/>
                    </a:stretch>
                  </pic:blipFill>
                  <pic:spPr>
                    <a:xfrm>
                      <a:off x="0" y="0"/>
                      <a:ext cx="4428151" cy="7269480"/>
                    </a:xfrm>
                    <a:prstGeom prst="rect"/>
                  </pic:spPr>
                </pic:pic>
              </a:graphicData>
            </a:graphic>
          </wp:inline>
        </w:drawing>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3954597" cy="7269480"/>
            <wp:docPr id="14" name="Picture 14" title="Figure 14 - Past, Present, and Proposed at Once" descr="Three aligned temporal layers show legacy information, present canonical state, and proposed PATCH transformations together."/>
            <wp:cNvGraphicFramePr>
              <a:graphicFrameLocks noChangeAspect="1"/>
            </wp:cNvGraphicFramePr>
            <a:graphic>
              <a:graphicData uri="http://schemas.openxmlformats.org/drawingml/2006/picture">
                <pic:pic>
                  <pic:nvPicPr>
                    <pic:cNvPr id="0" name="F14.png"/>
                    <pic:cNvPicPr/>
                  </pic:nvPicPr>
                  <pic:blipFill>
                    <a:blip r:embed="rId23"/>
                    <a:stretch>
                      <a:fillRect/>
                    </a:stretch>
                  </pic:blipFill>
                  <pic:spPr>
                    <a:xfrm>
                      <a:off x="0" y="0"/>
                      <a:ext cx="3954597" cy="7269480"/>
                    </a:xfrm>
                    <a:prstGeom prst="rect"/>
                  </pic:spPr>
                </pic:pic>
              </a:graphicData>
            </a:graphic>
          </wp:inline>
        </w:drawing>
      </w:r>
    </w:p>
    <w:p>
      <w:pPr>
        <w:pStyle w:val="Heading2"/>
        <w:keepNext/>
      </w:pPr>
      <w:r>
        <w:t>6.1 Empty inspection is valid</w:t>
      </w:r>
    </w:p>
    <w:p>
      <w:pPr>
        <w:spacing w:before="0" w:after="120" w:line="259" w:lineRule="auto"/>
      </w:pPr>
      <w:r>
        <w:rPr>
          <w:rFonts w:ascii="Noto Serif" w:hAnsi="Noto Serif"/>
          <w:color w:val="1B2733"/>
          <w:sz w:val="20"/>
        </w:rPr>
        <w:t>A PATCH Group may be inserted intentionally before the system knows whether a problem exists. The group then acts as a diagnostic fixture: it bounds the inspection lens, gives the AI a machine-legible place to write if something is found, and remains harmless if nothing is written. A clean result can simply end with scaffold deletion.</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4045984" cy="7269480"/>
            <wp:docPr id="15" name="Picture 15" title="Figure 15 - Diagnostic Scaffold with Zero Findings" descr="A temporary inspection scaffold can be inserted, inspected, left blank when no issues are found, and deleted without changing canonical state."/>
            <wp:cNvGraphicFramePr>
              <a:graphicFrameLocks noChangeAspect="1"/>
            </wp:cNvGraphicFramePr>
            <a:graphic>
              <a:graphicData uri="http://schemas.openxmlformats.org/drawingml/2006/picture">
                <pic:pic>
                  <pic:nvPicPr>
                    <pic:cNvPr id="0" name="F15.png"/>
                    <pic:cNvPicPr/>
                  </pic:nvPicPr>
                  <pic:blipFill>
                    <a:blip r:embed="rId24"/>
                    <a:stretch>
                      <a:fillRect/>
                    </a:stretch>
                  </pic:blipFill>
                  <pic:spPr>
                    <a:xfrm>
                      <a:off x="0" y="0"/>
                      <a:ext cx="4045984" cy="7269480"/>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ROUTE, DO NOT BLOAT</w:t>
            </w:r>
          </w:p>
          <w:p>
            <w:pPr>
              <w:spacing w:after="0"/>
            </w:pPr>
            <w:r>
              <w:rPr>
                <w:rFonts w:ascii="Noto Serif" w:hAnsi="Noto Serif"/>
                <w:color w:val="1B2733"/>
                <w:sz w:val="20"/>
              </w:rPr>
              <w:t>A PATCH should move to the Habitat that owns the real problem instead of dragging unrelated logic into the current one.</w:t>
            </w:r>
          </w:p>
        </w:tc>
      </w:tr>
    </w:tbl>
    <w:p>
      <w:pPr>
        <w:spacing w:after="20"/>
      </w:pPr>
    </w:p>
    <w:p>
      <w:pPr>
        <w:pStyle w:val="Heading1"/>
        <w:keepNext/>
      </w:pPr>
      <w:r>
        <w:t>7. PATCH ROUTE across Habitats</w:t>
      </w:r>
    </w:p>
    <w:p>
      <w:pPr>
        <w:spacing w:before="0" w:after="120" w:line="259" w:lineRule="auto"/>
      </w:pPr>
      <w:r>
        <w:rPr>
          <w:rFonts w:ascii="Noto Serif" w:hAnsi="Noto Serif"/>
          <w:color w:val="1B2733"/>
          <w:sz w:val="20"/>
        </w:rPr>
        <w:t>Investigation sometimes begins in the wrong semantic territory for good reasons. A Table-to-Table review may begin in VISOR, only to discover that the structural relation is correct and the actual problem is that an Airtable representation does not translate cleanly into SQLite. PATCH ROUTE moves the temporary work into PORT rather than teaching VISOR how to solve porting problems.</w:t>
      </w:r>
    </w:p>
    <w:p>
      <w:pPr>
        <w:spacing w:before="0" w:after="120" w:line="259" w:lineRule="auto"/>
      </w:pPr>
      <w:r>
        <w:rPr>
          <w:rFonts w:ascii="Noto Serif" w:hAnsi="Noto Serif"/>
          <w:color w:val="1B2733"/>
          <w:sz w:val="20"/>
        </w:rPr>
        <w:t>The rule is simple: routes cross Habitats when the problem itself crosses Habitats. Local issues should not be routed away merely to avoid solving them, and the route remains temporary even when both endpoint Habitats are canonical systems.</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6217920" cy="7225338"/>
            <wp:docPr id="16" name="Picture 16" title="Figure 16 - PATCH ROUTE Across Habitats" descr="A structural investigation begins in VISOR, discovers a representation issue, and temporarily routes the work into the PORT Habitat."/>
            <wp:cNvGraphicFramePr>
              <a:graphicFrameLocks noChangeAspect="1"/>
            </wp:cNvGraphicFramePr>
            <a:graphic>
              <a:graphicData uri="http://schemas.openxmlformats.org/drawingml/2006/picture">
                <pic:pic>
                  <pic:nvPicPr>
                    <pic:cNvPr id="0" name="F16.png"/>
                    <pic:cNvPicPr/>
                  </pic:nvPicPr>
                  <pic:blipFill>
                    <a:blip r:embed="rId25"/>
                    <a:stretch>
                      <a:fillRect/>
                    </a:stretch>
                  </pic:blipFill>
                  <pic:spPr>
                    <a:xfrm>
                      <a:off x="0" y="0"/>
                      <a:ext cx="6217920" cy="7225338"/>
                    </a:xfrm>
                    <a:prstGeom prst="rect"/>
                  </pic:spPr>
                </pic:pic>
              </a:graphicData>
            </a:graphic>
          </wp:inline>
        </w:drawing>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PORT</w:t>
            </w:r>
          </w:p>
          <w:p>
            <w:pPr>
              <w:spacing w:after="0"/>
            </w:pPr>
            <w:r>
              <w:rPr>
                <w:rFonts w:ascii="Noto Serif" w:hAnsi="Noto Serif"/>
                <w:color w:val="1B2733"/>
                <w:sz w:val="20"/>
              </w:rPr>
              <w:t>Representation gaps are information. PATCH makes the gap explicit before a permanent mapping is chosen.</w:t>
            </w:r>
          </w:p>
        </w:tc>
      </w:tr>
    </w:tbl>
    <w:p>
      <w:pPr>
        <w:spacing w:after="20"/>
      </w:pPr>
    </w:p>
    <w:p>
      <w:pPr>
        <w:pStyle w:val="Heading1"/>
        <w:keepNext/>
      </w:pPr>
      <w:r>
        <w:t>8. PORT: Airtable to SQLite</w:t>
      </w:r>
    </w:p>
    <w:p>
      <w:pPr>
        <w:spacing w:before="0" w:after="120" w:line="259" w:lineRule="auto"/>
      </w:pPr>
      <w:r>
        <w:rPr>
          <w:rFonts w:ascii="Noto Serif" w:hAnsi="Noto Serif"/>
          <w:color w:val="1B2733"/>
          <w:sz w:val="20"/>
        </w:rPr>
        <w:t>PORT is the immediate practical Habitat for the next CERBERUS migration phase. Airtable and SQLite can represent many of the same concepts, but their native field types, linked-record semantics, formulas, lookups, rollups, interfaces, and application behaviors do not map one-to-one. A PORT PATCH stages source, proposed translation, destination, verification, and approval without pretending the mapping is already settled.</w:t>
      </w:r>
    </w:p>
    <w:p>
      <w:pPr>
        <w:spacing w:before="0" w:after="120" w:line="259" w:lineRule="auto"/>
      </w:pPr>
      <w:r>
        <w:rPr>
          <w:rFonts w:ascii="Noto Serif" w:hAnsi="Noto Serif"/>
          <w:color w:val="1B2733"/>
          <w:sz w:val="20"/>
        </w:rPr>
        <w:t>The field-type examples in Figure 17 are illustrative. They communicate the shape of the work, not a frozen portability standard. Real migration will refine the registry as actual schema cases are encountered.</w:t>
      </w:r>
    </w:p>
    <w:p>
      <w:pPr>
        <w:pageBreakBefore/>
        <w:spacing w:after="0" w:line="12" w:lineRule="auto"/>
      </w:pPr>
      <w:r>
        <w:rPr>
          <w:rFonts w:ascii="Noto Sans" w:hAnsi="Noto Sans"/>
          <w:color w:val="FFFFFF"/>
          <w:sz w:val="2"/>
        </w:rPr>
        <w:t>​</w:t>
      </w:r>
    </w:p>
    <w:p>
      <w:pPr>
        <w:spacing w:after="60"/>
        <w:jc w:val="center"/>
      </w:pPr>
      <w:r>
        <w:drawing>
          <wp:inline xmlns:a="http://schemas.openxmlformats.org/drawingml/2006/main" xmlns:pic="http://schemas.openxmlformats.org/drawingml/2006/picture">
            <wp:extent cx="6217920" cy="7234946"/>
            <wp:docPr id="17" name="Picture 17" title="Figure 17 - PORT PATCH: Airtable to SQLite" descr="A PORT PATCH stages Airtable field translation into SQLite structures with mapping examples, gap flags, verification, and human approval."/>
            <wp:cNvGraphicFramePr>
              <a:graphicFrameLocks noChangeAspect="1"/>
            </wp:cNvGraphicFramePr>
            <a:graphic>
              <a:graphicData uri="http://schemas.openxmlformats.org/drawingml/2006/picture">
                <pic:pic>
                  <pic:nvPicPr>
                    <pic:cNvPr id="0" name="F17.png"/>
                    <pic:cNvPicPr/>
                  </pic:nvPicPr>
                  <pic:blipFill>
                    <a:blip r:embed="rId26"/>
                    <a:stretch>
                      <a:fillRect/>
                    </a:stretch>
                  </pic:blipFill>
                  <pic:spPr>
                    <a:xfrm>
                      <a:off x="0" y="0"/>
                      <a:ext cx="6217920" cy="7234946"/>
                    </a:xfrm>
                    <a:prstGeom prst="rect"/>
                  </pic:spPr>
                </pic:pic>
              </a:graphicData>
            </a:graphic>
          </wp:inline>
        </w:drawing>
      </w:r>
    </w:p>
    <w:p>
      <w:pPr>
        <w:pStyle w:val="Heading2"/>
        <w:keepNext/>
      </w:pPr>
      <w:r>
        <w:t>8.1 PORT design principle</w:t>
      </w:r>
    </w:p>
    <w:p>
      <w:pPr>
        <w:pStyle w:val="ListBullet"/>
        <w:spacing w:after="50"/>
        <w:ind w:left="317" w:hanging="144"/>
      </w:pPr>
      <w:r>
        <w:rPr>
          <w:rFonts w:ascii="Noto Serif" w:hAnsi="Noto Serif"/>
          <w:color w:val="1B2733"/>
          <w:sz w:val="20"/>
        </w:rPr>
        <w:t>Expose a representation gap instead of silently inventing a mapping.</w:t>
      </w:r>
    </w:p>
    <w:p>
      <w:pPr>
        <w:pStyle w:val="ListBullet"/>
        <w:spacing w:after="50"/>
        <w:ind w:left="317" w:hanging="144"/>
      </w:pPr>
      <w:r>
        <w:rPr>
          <w:rFonts w:ascii="Noto Serif" w:hAnsi="Noto Serif"/>
          <w:color w:val="1B2733"/>
          <w:sz w:val="20"/>
        </w:rPr>
        <w:t>Keep source and destination identities explicit.</w:t>
      </w:r>
    </w:p>
    <w:p>
      <w:pPr>
        <w:pStyle w:val="ListBullet"/>
        <w:spacing w:after="50"/>
        <w:ind w:left="317" w:hanging="144"/>
      </w:pPr>
      <w:r>
        <w:rPr>
          <w:rFonts w:ascii="Noto Serif" w:hAnsi="Noto Serif"/>
          <w:color w:val="1B2733"/>
          <w:sz w:val="20"/>
        </w:rPr>
        <w:t>Use TRANSLATE or TYPE MAP only where the context belongs to PORT.</w:t>
      </w:r>
    </w:p>
    <w:p>
      <w:pPr>
        <w:pStyle w:val="ListBullet"/>
        <w:spacing w:after="50"/>
        <w:ind w:left="317" w:hanging="144"/>
      </w:pPr>
      <w:r>
        <w:rPr>
          <w:rFonts w:ascii="Noto Serif" w:hAnsi="Noto Serif"/>
          <w:color w:val="1B2733"/>
          <w:sz w:val="20"/>
        </w:rPr>
        <w:t>Require human review where multiple mappings are plausible or semantics could change.</w:t>
      </w:r>
    </w:p>
    <w:p>
      <w:pPr>
        <w:pStyle w:val="ListBullet"/>
        <w:spacing w:after="50"/>
        <w:ind w:left="317" w:hanging="144"/>
      </w:pPr>
      <w:r>
        <w:rPr>
          <w:rFonts w:ascii="Noto Serif" w:hAnsi="Noto Serif"/>
          <w:color w:val="1B2733"/>
          <w:sz w:val="20"/>
        </w:rPr>
        <w:t>Once the permanent porting rule exists, remove the temporary PATCH scaffolding.</w:t>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LIFECYCLE</w:t>
            </w:r>
          </w:p>
          <w:p>
            <w:pPr>
              <w:spacing w:after="0"/>
            </w:pPr>
            <w:r>
              <w:rPr>
                <w:rFonts w:ascii="Noto Serif" w:hAnsi="Noto Serif"/>
                <w:color w:val="1B2733"/>
                <w:sz w:val="20"/>
              </w:rPr>
              <w:t>PATCH is a temporary conversation about a change that ends with either no change or a governed canonical change.</w:t>
            </w:r>
          </w:p>
        </w:tc>
      </w:tr>
    </w:tbl>
    <w:p>
      <w:pPr>
        <w:spacing w:after="20"/>
      </w:pPr>
    </w:p>
    <w:p>
      <w:pPr>
        <w:pStyle w:val="Heading1"/>
        <w:keepNext/>
      </w:pPr>
      <w:r>
        <w:t>9. Complete PATCH lifecycle</w:t>
      </w:r>
    </w:p>
    <w:p>
      <w:pPr>
        <w:spacing w:before="0" w:after="120" w:line="259" w:lineRule="auto"/>
      </w:pPr>
      <w:r>
        <w:rPr>
          <w:rFonts w:ascii="Noto Serif" w:hAnsi="Noto Serif"/>
          <w:color w:val="1B2733"/>
          <w:sz w:val="20"/>
        </w:rPr>
        <w:t>The complete lifecycle begins with a gap, resolves the semantic Habitat, selects the eligible P1 operation, composes additional P1s if necessary, inserts temporary scaffolding, and performs the bounded inspection. A human then reviews the visible proposal. Rejected or unnecessary work can be deleted; approved work is committed through the canonical owner, verified, and followed by PATCH removal.</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EXPRESS THE CHANGE. GATE THE CHANGE. COMMIT THE CHANGE. REMOVE THE CONVERSATION.</w:t>
            </w:r>
          </w:p>
        </w:tc>
      </w:tr>
    </w:tbl>
    <w:p>
      <w:pPr>
        <w:spacing w:after="20"/>
      </w:pPr>
    </w:p>
    <w:p>
      <w:pPr>
        <w:spacing w:after="60"/>
        <w:jc w:val="center"/>
      </w:pPr>
      <w:r>
        <w:drawing>
          <wp:inline xmlns:a="http://schemas.openxmlformats.org/drawingml/2006/main" xmlns:pic="http://schemas.openxmlformats.org/drawingml/2006/picture">
            <wp:extent cx="6217920" cy="3591207"/>
            <wp:docPr id="18" name="Picture 18" title="Figure 18 - Complete PATCH Lifecycle" descr="Eleven-step lifecycle from noticing a gap through Habitat resolution, P1 selection, scaffolding, human review, execution, verification, PATCH purge, and a clean Base."/>
            <wp:cNvGraphicFramePr>
              <a:graphicFrameLocks noChangeAspect="1"/>
            </wp:cNvGraphicFramePr>
            <a:graphic>
              <a:graphicData uri="http://schemas.openxmlformats.org/drawingml/2006/picture">
                <pic:pic>
                  <pic:nvPicPr>
                    <pic:cNvPr id="0" name="F18.png"/>
                    <pic:cNvPicPr/>
                  </pic:nvPicPr>
                  <pic:blipFill>
                    <a:blip r:embed="rId27"/>
                    <a:stretch>
                      <a:fillRect/>
                    </a:stretch>
                  </pic:blipFill>
                  <pic:spPr>
                    <a:xfrm>
                      <a:off x="0" y="0"/>
                      <a:ext cx="6217920" cy="3591207"/>
                    </a:xfrm>
                    <a:prstGeom prst="rect"/>
                  </pic:spPr>
                </pic:pic>
              </a:graphicData>
            </a:graphic>
          </wp:inline>
        </w:drawing>
      </w:r>
    </w:p>
    <w:p>
      <w:pPr>
        <w:spacing w:before="0" w:after="120" w:line="259" w:lineRule="auto"/>
      </w:pPr>
      <w:r>
        <w:rPr>
          <w:rFonts w:ascii="Noto Serif" w:hAnsi="Noto Serif"/>
          <w:color w:val="1B2733"/>
          <w:sz w:val="20"/>
        </w:rPr>
        <w:t>The lifecycle is intentionally tolerant of failure and revision. A bad PATCH is not protected. Delete it, rewrite it, or PATCH the PATCH. The architecture remains safe because canonical systems are forbidden from depending on temporary scaffold state.</w:t>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IMPLEMENTATION HANDOFF</w:t>
            </w:r>
          </w:p>
          <w:p>
            <w:pPr>
              <w:spacing w:after="0"/>
            </w:pPr>
            <w:r>
              <w:rPr>
                <w:rFonts w:ascii="Noto Serif" w:hAnsi="Noto Serif"/>
                <w:color w:val="1B2733"/>
                <w:sz w:val="20"/>
              </w:rPr>
              <w:t>Build the permanent vocabulary and Habitat registries first; let recurring Groups and Clusters emerge from use.</w:t>
            </w:r>
          </w:p>
        </w:tc>
      </w:tr>
    </w:tbl>
    <w:p>
      <w:pPr>
        <w:spacing w:after="20"/>
      </w:pPr>
    </w:p>
    <w:p>
      <w:pPr>
        <w:pStyle w:val="Heading1"/>
        <w:keepNext/>
      </w:pPr>
      <w:r>
        <w:t>10. Implementation handoff</w:t>
      </w:r>
    </w:p>
    <w:p>
      <w:pPr>
        <w:spacing w:before="0" w:after="120" w:line="259" w:lineRule="auto"/>
      </w:pPr>
      <w:r>
        <w:rPr>
          <w:rFonts w:ascii="Noto Serif" w:hAnsi="Noto Serif"/>
          <w:color w:val="1B2733"/>
          <w:sz w:val="20"/>
        </w:rPr>
        <w:t>The first implementation should be deliberately small. PATCH needs permanent definitions for atomic operations and the semantic Habitats that constrain them. It does not yet need a large library of pre-wired P2 or P3 templates. Those should be harvested after repeated real-world use reveals stable groupings.</w:t>
      </w:r>
    </w:p>
    <w:p>
      <w:pPr>
        <w:pStyle w:val="Heading2"/>
        <w:keepNext/>
      </w:pPr>
      <w:r>
        <w:t>10.1 PATCH P1 Registry - provisional fields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944"/>
            <w:shd w:fill="17344B"/>
            <w:tcMar>
              <w:top w:w="120" w:type="dxa"/>
              <w:start w:w="100" w:type="dxa"/>
              <w:bottom w:w="120" w:type="dxa"/>
              <w:end w:w="100" w:type="dxa"/>
            </w:tcMar>
            <w:vAlign w:val="center"/>
          </w:tcPr>
          <w:p>
            <w:pPr>
              <w:jc w:val="center"/>
            </w:pPr>
            <w:r>
              <w:rPr>
                <w:rFonts w:ascii="Noto Sans" w:hAnsi="Noto Sans"/>
                <w:b/>
                <w:color w:val="FFFFFF"/>
                <w:sz w:val="16"/>
              </w:rPr>
              <w:t>Field</w:t>
            </w:r>
          </w:p>
        </w:tc>
        <w:tc>
          <w:tcPr>
            <w:tcW w:type="dxa" w:w="2015"/>
            <w:shd w:fill="17344B"/>
            <w:tcMar>
              <w:top w:w="120" w:type="dxa"/>
              <w:start w:w="100" w:type="dxa"/>
              <w:bottom w:w="120" w:type="dxa"/>
              <w:end w:w="100" w:type="dxa"/>
            </w:tcMar>
            <w:vAlign w:val="center"/>
          </w:tcPr>
          <w:p>
            <w:pPr>
              <w:jc w:val="center"/>
            </w:pPr>
            <w:r>
              <w:rPr>
                <w:rFonts w:ascii="Noto Sans" w:hAnsi="Noto Sans"/>
                <w:b/>
                <w:color w:val="FFFFFF"/>
                <w:sz w:val="16"/>
              </w:rPr>
              <w:t>Suggested type</w:t>
            </w:r>
          </w:p>
        </w:tc>
        <w:tc>
          <w:tcPr>
            <w:tcW w:type="dxa" w:w="5832"/>
            <w:shd w:fill="17344B"/>
            <w:tcMar>
              <w:top w:w="120" w:type="dxa"/>
              <w:start w:w="100" w:type="dxa"/>
              <w:bottom w:w="120" w:type="dxa"/>
              <w:end w:w="100" w:type="dxa"/>
            </w:tcMar>
            <w:vAlign w:val="center"/>
          </w:tcPr>
          <w:p>
            <w:pPr>
              <w:jc w:val="center"/>
            </w:pPr>
            <w:r>
              <w:rPr>
                <w:rFonts w:ascii="Noto Sans" w:hAnsi="Noto Sans"/>
                <w:b/>
                <w:color w:val="FFFFFF"/>
                <w:sz w:val="16"/>
              </w:rPr>
              <w:t>Purpose</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PATCH ID</w:t>
            </w:r>
          </w:p>
        </w:tc>
        <w:tc>
          <w:tcPr>
            <w:tcW w:type="dxa" w:w="2015"/>
            <w:tcMar>
              <w:top w:w="95" w:type="dxa"/>
              <w:start w:w="100" w:type="dxa"/>
              <w:bottom w:w="95" w:type="dxa"/>
              <w:end w:w="100" w:type="dxa"/>
            </w:tcMar>
            <w:vAlign w:val="center"/>
          </w:tcPr>
          <w:p>
            <w:pPr>
              <w:jc w:val="left"/>
            </w:pPr>
            <w:r>
              <w:rPr>
                <w:rFonts w:ascii="Noto Serif" w:hAnsi="Noto Serif"/>
                <w:color w:val="1B2733"/>
                <w:sz w:val="16"/>
              </w:rPr>
              <w:t>Stable identifier</w:t>
            </w:r>
          </w:p>
        </w:tc>
        <w:tc>
          <w:tcPr>
            <w:tcW w:type="dxa" w:w="5832"/>
            <w:tcMar>
              <w:top w:w="95" w:type="dxa"/>
              <w:start w:w="100" w:type="dxa"/>
              <w:bottom w:w="95" w:type="dxa"/>
              <w:end w:w="100" w:type="dxa"/>
            </w:tcMar>
            <w:vAlign w:val="center"/>
          </w:tcPr>
          <w:p>
            <w:pPr>
              <w:jc w:val="left"/>
            </w:pPr>
            <w:r>
              <w:rPr>
                <w:rFonts w:ascii="Noto Serif" w:hAnsi="Noto Serif"/>
                <w:color w:val="1B2733"/>
                <w:sz w:val="16"/>
              </w:rPr>
              <w:t>Permanent registry identity for the P1 definition.</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PATCH Name</w:t>
            </w:r>
          </w:p>
        </w:tc>
        <w:tc>
          <w:tcPr>
            <w:tcW w:type="dxa" w:w="2015"/>
            <w:tcMar>
              <w:top w:w="95" w:type="dxa"/>
              <w:start w:w="100" w:type="dxa"/>
              <w:bottom w:w="95" w:type="dxa"/>
              <w:end w:w="100" w:type="dxa"/>
            </w:tcMar>
            <w:vAlign w:val="center"/>
          </w:tcPr>
          <w:p>
            <w:pPr>
              <w:jc w:val="left"/>
            </w:pPr>
            <w:r>
              <w:rPr>
                <w:rFonts w:ascii="Noto Serif" w:hAnsi="Noto Serif"/>
                <w:color w:val="1B2733"/>
                <w:sz w:val="16"/>
              </w:rPr>
              <w:t>Short text</w:t>
            </w:r>
          </w:p>
        </w:tc>
        <w:tc>
          <w:tcPr>
            <w:tcW w:type="dxa" w:w="5832"/>
            <w:tcMar>
              <w:top w:w="95" w:type="dxa"/>
              <w:start w:w="100" w:type="dxa"/>
              <w:bottom w:w="95" w:type="dxa"/>
              <w:end w:w="100" w:type="dxa"/>
            </w:tcMar>
            <w:vAlign w:val="center"/>
          </w:tcPr>
          <w:p>
            <w:pPr>
              <w:jc w:val="left"/>
            </w:pPr>
            <w:r>
              <w:rPr>
                <w:rFonts w:ascii="Noto Serif" w:hAnsi="Noto Serif"/>
                <w:color w:val="1B2733"/>
                <w:sz w:val="16"/>
              </w:rPr>
              <w:t>Human-facing atomic operation name.</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Meaning</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832"/>
            <w:tcMar>
              <w:top w:w="95" w:type="dxa"/>
              <w:start w:w="100" w:type="dxa"/>
              <w:bottom w:w="95" w:type="dxa"/>
              <w:end w:w="100" w:type="dxa"/>
            </w:tcMar>
            <w:vAlign w:val="center"/>
          </w:tcPr>
          <w:p>
            <w:pPr>
              <w:jc w:val="left"/>
            </w:pPr>
            <w:r>
              <w:rPr>
                <w:rFonts w:ascii="Noto Serif" w:hAnsi="Noto Serif"/>
                <w:color w:val="1B2733"/>
                <w:sz w:val="16"/>
              </w:rPr>
              <w:t>Exact temporary operational meaning; one P1 should express one meaning.</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Habitat</w:t>
            </w:r>
          </w:p>
        </w:tc>
        <w:tc>
          <w:tcPr>
            <w:tcW w:type="dxa" w:w="2015"/>
            <w:tcMar>
              <w:top w:w="95" w:type="dxa"/>
              <w:start w:w="100" w:type="dxa"/>
              <w:bottom w:w="95" w:type="dxa"/>
              <w:end w:w="100" w:type="dxa"/>
            </w:tcMar>
            <w:vAlign w:val="center"/>
          </w:tcPr>
          <w:p>
            <w:pPr>
              <w:jc w:val="left"/>
            </w:pPr>
            <w:r>
              <w:rPr>
                <w:rFonts w:ascii="Noto Serif" w:hAnsi="Noto Serif"/>
                <w:color w:val="1B2733"/>
                <w:sz w:val="16"/>
              </w:rPr>
              <w:t>Linked records</w:t>
            </w:r>
          </w:p>
        </w:tc>
        <w:tc>
          <w:tcPr>
            <w:tcW w:type="dxa" w:w="5832"/>
            <w:tcMar>
              <w:top w:w="95" w:type="dxa"/>
              <w:start w:w="100" w:type="dxa"/>
              <w:bottom w:w="95" w:type="dxa"/>
              <w:end w:w="100" w:type="dxa"/>
            </w:tcMar>
            <w:vAlign w:val="center"/>
          </w:tcPr>
          <w:p>
            <w:pPr>
              <w:jc w:val="left"/>
            </w:pPr>
            <w:r>
              <w:rPr>
                <w:rFonts w:ascii="Noto Serif" w:hAnsi="Noto Serif"/>
                <w:color w:val="1B2733"/>
                <w:sz w:val="16"/>
              </w:rPr>
              <w:t>Habitat or Habitats in which the P1 is eligible.</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Target Types</w:t>
            </w:r>
          </w:p>
        </w:tc>
        <w:tc>
          <w:tcPr>
            <w:tcW w:type="dxa" w:w="2015"/>
            <w:tcMar>
              <w:top w:w="95" w:type="dxa"/>
              <w:start w:w="100" w:type="dxa"/>
              <w:bottom w:w="95" w:type="dxa"/>
              <w:end w:w="100" w:type="dxa"/>
            </w:tcMar>
            <w:vAlign w:val="center"/>
          </w:tcPr>
          <w:p>
            <w:pPr>
              <w:jc w:val="left"/>
            </w:pPr>
            <w:r>
              <w:rPr>
                <w:rFonts w:ascii="Noto Serif" w:hAnsi="Noto Serif"/>
                <w:color w:val="1B2733"/>
                <w:sz w:val="16"/>
              </w:rPr>
              <w:t>Multiple select / linked records</w:t>
            </w:r>
          </w:p>
        </w:tc>
        <w:tc>
          <w:tcPr>
            <w:tcW w:type="dxa" w:w="5832"/>
            <w:tcMar>
              <w:top w:w="95" w:type="dxa"/>
              <w:start w:w="100" w:type="dxa"/>
              <w:bottom w:w="95" w:type="dxa"/>
              <w:end w:w="100" w:type="dxa"/>
            </w:tcMar>
            <w:vAlign w:val="center"/>
          </w:tcPr>
          <w:p>
            <w:pPr>
              <w:jc w:val="left"/>
            </w:pPr>
            <w:r>
              <w:rPr>
                <w:rFonts w:ascii="Noto Serif" w:hAnsi="Noto Serif"/>
                <w:color w:val="1B2733"/>
                <w:sz w:val="16"/>
              </w:rPr>
              <w:t>Allowed operands or target surfaces: Field, Record, Table, Stack, Model, System, etc.</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Compatible Intent</w:t>
            </w:r>
          </w:p>
        </w:tc>
        <w:tc>
          <w:tcPr>
            <w:tcW w:type="dxa" w:w="2015"/>
            <w:tcMar>
              <w:top w:w="95" w:type="dxa"/>
              <w:start w:w="100" w:type="dxa"/>
              <w:bottom w:w="95" w:type="dxa"/>
              <w:end w:w="100" w:type="dxa"/>
            </w:tcMar>
            <w:vAlign w:val="center"/>
          </w:tcPr>
          <w:p>
            <w:pPr>
              <w:jc w:val="left"/>
            </w:pPr>
            <w:r>
              <w:rPr>
                <w:rFonts w:ascii="Noto Serif" w:hAnsi="Noto Serif"/>
                <w:color w:val="1B2733"/>
                <w:sz w:val="16"/>
              </w:rPr>
              <w:t>Multiple select</w:t>
            </w:r>
          </w:p>
        </w:tc>
        <w:tc>
          <w:tcPr>
            <w:tcW w:type="dxa" w:w="5832"/>
            <w:tcMar>
              <w:top w:w="95" w:type="dxa"/>
              <w:start w:w="100" w:type="dxa"/>
              <w:bottom w:w="95" w:type="dxa"/>
              <w:end w:w="100" w:type="dxa"/>
            </w:tcMar>
            <w:vAlign w:val="center"/>
          </w:tcPr>
          <w:p>
            <w:pPr>
              <w:jc w:val="left"/>
            </w:pPr>
            <w:r>
              <w:rPr>
                <w:rFonts w:ascii="Noto Serif" w:hAnsi="Noto Serif"/>
                <w:color w:val="1B2733"/>
                <w:sz w:val="16"/>
              </w:rPr>
              <w:t>Compare, repair, migrate, verify, document, translate, approve, and other intents.</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Input Form</w:t>
            </w:r>
          </w:p>
        </w:tc>
        <w:tc>
          <w:tcPr>
            <w:tcW w:type="dxa" w:w="2015"/>
            <w:tcMar>
              <w:top w:w="95" w:type="dxa"/>
              <w:start w:w="100" w:type="dxa"/>
              <w:bottom w:w="95" w:type="dxa"/>
              <w:end w:w="100" w:type="dxa"/>
            </w:tcMar>
            <w:vAlign w:val="center"/>
          </w:tcPr>
          <w:p>
            <w:pPr>
              <w:jc w:val="left"/>
            </w:pPr>
            <w:r>
              <w:rPr>
                <w:rFonts w:ascii="Noto Serif" w:hAnsi="Noto Serif"/>
                <w:color w:val="1B2733"/>
                <w:sz w:val="16"/>
              </w:rPr>
              <w:t>Single select</w:t>
            </w:r>
          </w:p>
        </w:tc>
        <w:tc>
          <w:tcPr>
            <w:tcW w:type="dxa" w:w="5832"/>
            <w:tcMar>
              <w:top w:w="95" w:type="dxa"/>
              <w:start w:w="100" w:type="dxa"/>
              <w:bottom w:w="95" w:type="dxa"/>
              <w:end w:w="100" w:type="dxa"/>
            </w:tcMar>
            <w:vAlign w:val="center"/>
          </w:tcPr>
          <w:p>
            <w:pPr>
              <w:jc w:val="left"/>
            </w:pPr>
            <w:r>
              <w:rPr>
                <w:rFonts w:ascii="Noto Serif" w:hAnsi="Noto Serif"/>
                <w:color w:val="1B2733"/>
                <w:sz w:val="16"/>
              </w:rPr>
              <w:t>Text, checkbox, link, select, number, operator, reference, or other working representation.</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Authority Rule</w:t>
            </w:r>
          </w:p>
        </w:tc>
        <w:tc>
          <w:tcPr>
            <w:tcW w:type="dxa" w:w="2015"/>
            <w:tcMar>
              <w:top w:w="95" w:type="dxa"/>
              <w:start w:w="100" w:type="dxa"/>
              <w:bottom w:w="95" w:type="dxa"/>
              <w:end w:w="100" w:type="dxa"/>
            </w:tcMar>
            <w:vAlign w:val="center"/>
          </w:tcPr>
          <w:p>
            <w:pPr>
              <w:jc w:val="left"/>
            </w:pPr>
            <w:r>
              <w:rPr>
                <w:rFonts w:ascii="Noto Serif" w:hAnsi="Noto Serif"/>
                <w:color w:val="1B2733"/>
                <w:sz w:val="16"/>
              </w:rPr>
              <w:t>Single select</w:t>
            </w:r>
          </w:p>
        </w:tc>
        <w:tc>
          <w:tcPr>
            <w:tcW w:type="dxa" w:w="5832"/>
            <w:tcMar>
              <w:top w:w="95" w:type="dxa"/>
              <w:start w:w="100" w:type="dxa"/>
              <w:bottom w:w="95" w:type="dxa"/>
              <w:end w:w="100" w:type="dxa"/>
            </w:tcMar>
            <w:vAlign w:val="center"/>
          </w:tcPr>
          <w:p>
            <w:pPr>
              <w:jc w:val="left"/>
            </w:pPr>
            <w:r>
              <w:rPr>
                <w:rFonts w:ascii="Noto Serif" w:hAnsi="Noto Serif"/>
                <w:color w:val="1B2733"/>
                <w:sz w:val="16"/>
              </w:rPr>
              <w:t>Informational, human-gated, destructive-gated, or other authority condition.</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BOSS Operator</w:t>
            </w:r>
          </w:p>
        </w:tc>
        <w:tc>
          <w:tcPr>
            <w:tcW w:type="dxa" w:w="2015"/>
            <w:tcMar>
              <w:top w:w="95" w:type="dxa"/>
              <w:start w:w="100" w:type="dxa"/>
              <w:bottom w:w="95" w:type="dxa"/>
              <w:end w:w="100" w:type="dxa"/>
            </w:tcMar>
            <w:vAlign w:val="center"/>
          </w:tcPr>
          <w:p>
            <w:pPr>
              <w:jc w:val="left"/>
            </w:pPr>
            <w:r>
              <w:rPr>
                <w:rFonts w:ascii="Noto Serif" w:hAnsi="Noto Serif"/>
                <w:color w:val="1B2733"/>
                <w:sz w:val="16"/>
              </w:rPr>
              <w:t>Optional link</w:t>
            </w:r>
          </w:p>
        </w:tc>
        <w:tc>
          <w:tcPr>
            <w:tcW w:type="dxa" w:w="5832"/>
            <w:tcMar>
              <w:top w:w="95" w:type="dxa"/>
              <w:start w:w="100" w:type="dxa"/>
              <w:bottom w:w="95" w:type="dxa"/>
              <w:end w:w="100" w:type="dxa"/>
            </w:tcMar>
            <w:vAlign w:val="center"/>
          </w:tcPr>
          <w:p>
            <w:pPr>
              <w:jc w:val="left"/>
            </w:pPr>
            <w:r>
              <w:rPr>
                <w:rFonts w:ascii="Noto Serif" w:hAnsi="Noto Serif"/>
                <w:color w:val="1B2733"/>
                <w:sz w:val="16"/>
              </w:rPr>
              <w:t>Canonical operator invoked by the PATCH where applicable.</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Availability Constraints</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832"/>
            <w:tcMar>
              <w:top w:w="95" w:type="dxa"/>
              <w:start w:w="100" w:type="dxa"/>
              <w:bottom w:w="95" w:type="dxa"/>
              <w:end w:w="100" w:type="dxa"/>
            </w:tcMar>
            <w:vAlign w:val="center"/>
          </w:tcPr>
          <w:p>
            <w:pPr>
              <w:jc w:val="left"/>
            </w:pPr>
            <w:r>
              <w:rPr>
                <w:rFonts w:ascii="Noto Serif" w:hAnsi="Noto Serif"/>
                <w:color w:val="1B2733"/>
                <w:sz w:val="16"/>
              </w:rPr>
              <w:t>Additional capability, context, or exclusion conditions.</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Example</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832"/>
            <w:tcMar>
              <w:top w:w="95" w:type="dxa"/>
              <w:start w:w="100" w:type="dxa"/>
              <w:bottom w:w="95" w:type="dxa"/>
              <w:end w:w="100" w:type="dxa"/>
            </w:tcMar>
            <w:vAlign w:val="center"/>
          </w:tcPr>
          <w:p>
            <w:pPr>
              <w:jc w:val="left"/>
            </w:pPr>
            <w:r>
              <w:rPr>
                <w:rFonts w:ascii="Noto Serif" w:hAnsi="Noto Serif"/>
                <w:color w:val="1B2733"/>
                <w:sz w:val="16"/>
              </w:rPr>
              <w:t>Representative use in a target Table/Stack.</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Status</w:t>
            </w:r>
          </w:p>
        </w:tc>
        <w:tc>
          <w:tcPr>
            <w:tcW w:type="dxa" w:w="2015"/>
            <w:tcMar>
              <w:top w:w="95" w:type="dxa"/>
              <w:start w:w="100" w:type="dxa"/>
              <w:bottom w:w="95" w:type="dxa"/>
              <w:end w:w="100" w:type="dxa"/>
            </w:tcMar>
            <w:vAlign w:val="center"/>
          </w:tcPr>
          <w:p>
            <w:pPr>
              <w:jc w:val="left"/>
            </w:pPr>
            <w:r>
              <w:rPr>
                <w:rFonts w:ascii="Noto Serif" w:hAnsi="Noto Serif"/>
                <w:color w:val="1B2733"/>
                <w:sz w:val="16"/>
              </w:rPr>
              <w:t>Single select</w:t>
            </w:r>
          </w:p>
        </w:tc>
        <w:tc>
          <w:tcPr>
            <w:tcW w:type="dxa" w:w="5832"/>
            <w:tcMar>
              <w:top w:w="95" w:type="dxa"/>
              <w:start w:w="100" w:type="dxa"/>
              <w:bottom w:w="95" w:type="dxa"/>
              <w:end w:w="100" w:type="dxa"/>
            </w:tcMar>
            <w:vAlign w:val="center"/>
          </w:tcPr>
          <w:p>
            <w:pPr>
              <w:jc w:val="left"/>
            </w:pPr>
            <w:r>
              <w:rPr>
                <w:rFonts w:ascii="Noto Serif" w:hAnsi="Noto Serif"/>
                <w:color w:val="1B2733"/>
                <w:sz w:val="16"/>
              </w:rPr>
              <w:t>Candidate, Active, Deprecated, Experimental.</w:t>
            </w:r>
          </w:p>
        </w:tc>
      </w:tr>
      <w:tr>
        <w:tc>
          <w:tcPr>
            <w:tcW w:type="dxa" w:w="1944"/>
            <w:tcMar>
              <w:top w:w="95" w:type="dxa"/>
              <w:start w:w="100" w:type="dxa"/>
              <w:bottom w:w="95" w:type="dxa"/>
              <w:end w:w="100" w:type="dxa"/>
            </w:tcMar>
            <w:vAlign w:val="center"/>
          </w:tcPr>
          <w:p>
            <w:pPr>
              <w:jc w:val="center"/>
            </w:pPr>
            <w:r>
              <w:rPr>
                <w:rFonts w:ascii="Noto Serif" w:hAnsi="Noto Serif"/>
                <w:color w:val="1B2733"/>
                <w:sz w:val="16"/>
              </w:rPr>
              <w:t>Notes</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832"/>
            <w:tcMar>
              <w:top w:w="95" w:type="dxa"/>
              <w:start w:w="100" w:type="dxa"/>
              <w:bottom w:w="95" w:type="dxa"/>
              <w:end w:w="100" w:type="dxa"/>
            </w:tcMar>
            <w:vAlign w:val="center"/>
          </w:tcPr>
          <w:p>
            <w:pPr>
              <w:jc w:val="left"/>
            </w:pPr>
            <w:r>
              <w:rPr>
                <w:rFonts w:ascii="Noto Serif" w:hAnsi="Noto Serif"/>
                <w:color w:val="1B2733"/>
                <w:sz w:val="16"/>
              </w:rPr>
              <w:t>Implementation observations and discovered edge cases.</w:t>
            </w:r>
          </w:p>
        </w:tc>
      </w:tr>
    </w:tbl>
    <w:p>
      <w:pPr>
        <w:spacing w:after="20"/>
      </w:pPr>
    </w:p>
    <w:p>
      <w:pPr>
        <w:pStyle w:val="Heading2"/>
        <w:keepNext/>
      </w:pPr>
      <w:r>
        <w:t>10.2 PATCH Habitat Registry - provisional fields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232"/>
            <w:shd w:fill="17344B"/>
            <w:tcMar>
              <w:top w:w="120" w:type="dxa"/>
              <w:start w:w="100" w:type="dxa"/>
              <w:bottom w:w="120" w:type="dxa"/>
              <w:end w:w="100" w:type="dxa"/>
            </w:tcMar>
            <w:vAlign w:val="center"/>
          </w:tcPr>
          <w:p>
            <w:pPr>
              <w:jc w:val="center"/>
            </w:pPr>
            <w:r>
              <w:rPr>
                <w:rFonts w:ascii="Noto Sans" w:hAnsi="Noto Sans"/>
                <w:b/>
                <w:color w:val="FFFFFF"/>
                <w:sz w:val="16"/>
              </w:rPr>
              <w:t>Field</w:t>
            </w:r>
          </w:p>
        </w:tc>
        <w:tc>
          <w:tcPr>
            <w:tcW w:type="dxa" w:w="2015"/>
            <w:shd w:fill="17344B"/>
            <w:tcMar>
              <w:top w:w="120" w:type="dxa"/>
              <w:start w:w="100" w:type="dxa"/>
              <w:bottom w:w="120" w:type="dxa"/>
              <w:end w:w="100" w:type="dxa"/>
            </w:tcMar>
            <w:vAlign w:val="center"/>
          </w:tcPr>
          <w:p>
            <w:pPr>
              <w:jc w:val="center"/>
            </w:pPr>
            <w:r>
              <w:rPr>
                <w:rFonts w:ascii="Noto Sans" w:hAnsi="Noto Sans"/>
                <w:b/>
                <w:color w:val="FFFFFF"/>
                <w:sz w:val="16"/>
              </w:rPr>
              <w:t>Suggested type</w:t>
            </w:r>
          </w:p>
        </w:tc>
        <w:tc>
          <w:tcPr>
            <w:tcW w:type="dxa" w:w="5544"/>
            <w:shd w:fill="17344B"/>
            <w:tcMar>
              <w:top w:w="120" w:type="dxa"/>
              <w:start w:w="100" w:type="dxa"/>
              <w:bottom w:w="120" w:type="dxa"/>
              <w:end w:w="100" w:type="dxa"/>
            </w:tcMar>
            <w:vAlign w:val="center"/>
          </w:tcPr>
          <w:p>
            <w:pPr>
              <w:jc w:val="center"/>
            </w:pPr>
            <w:r>
              <w:rPr>
                <w:rFonts w:ascii="Noto Sans" w:hAnsi="Noto Sans"/>
                <w:b/>
                <w:color w:val="FFFFFF"/>
                <w:sz w:val="16"/>
              </w:rPr>
              <w:t>Purpose</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Habitat ID</w:t>
            </w:r>
          </w:p>
        </w:tc>
        <w:tc>
          <w:tcPr>
            <w:tcW w:type="dxa" w:w="2015"/>
            <w:tcMar>
              <w:top w:w="95" w:type="dxa"/>
              <w:start w:w="100" w:type="dxa"/>
              <w:bottom w:w="95" w:type="dxa"/>
              <w:end w:w="100" w:type="dxa"/>
            </w:tcMar>
            <w:vAlign w:val="center"/>
          </w:tcPr>
          <w:p>
            <w:pPr>
              <w:jc w:val="left"/>
            </w:pPr>
            <w:r>
              <w:rPr>
                <w:rFonts w:ascii="Noto Serif" w:hAnsi="Noto Serif"/>
                <w:color w:val="1B2733"/>
                <w:sz w:val="16"/>
              </w:rPr>
              <w:t>Stable identifier</w:t>
            </w:r>
          </w:p>
        </w:tc>
        <w:tc>
          <w:tcPr>
            <w:tcW w:type="dxa" w:w="5544"/>
            <w:tcMar>
              <w:top w:w="95" w:type="dxa"/>
              <w:start w:w="100" w:type="dxa"/>
              <w:bottom w:w="95" w:type="dxa"/>
              <w:end w:w="100" w:type="dxa"/>
            </w:tcMar>
            <w:vAlign w:val="center"/>
          </w:tcPr>
          <w:p>
            <w:pPr>
              <w:jc w:val="left"/>
            </w:pPr>
            <w:r>
              <w:rPr>
                <w:rFonts w:ascii="Noto Serif" w:hAnsi="Noto Serif"/>
                <w:color w:val="1B2733"/>
                <w:sz w:val="16"/>
              </w:rPr>
              <w:t>Permanent identity for the Habitat definition.</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Habitat Name</w:t>
            </w:r>
          </w:p>
        </w:tc>
        <w:tc>
          <w:tcPr>
            <w:tcW w:type="dxa" w:w="2015"/>
            <w:tcMar>
              <w:top w:w="95" w:type="dxa"/>
              <w:start w:w="100" w:type="dxa"/>
              <w:bottom w:w="95" w:type="dxa"/>
              <w:end w:w="100" w:type="dxa"/>
            </w:tcMar>
            <w:vAlign w:val="center"/>
          </w:tcPr>
          <w:p>
            <w:pPr>
              <w:jc w:val="left"/>
            </w:pPr>
            <w:r>
              <w:rPr>
                <w:rFonts w:ascii="Noto Serif" w:hAnsi="Noto Serif"/>
                <w:color w:val="1B2733"/>
                <w:sz w:val="16"/>
              </w:rPr>
              <w:t>Short text</w:t>
            </w:r>
          </w:p>
        </w:tc>
        <w:tc>
          <w:tcPr>
            <w:tcW w:type="dxa" w:w="5544"/>
            <w:tcMar>
              <w:top w:w="95" w:type="dxa"/>
              <w:start w:w="100" w:type="dxa"/>
              <w:bottom w:w="95" w:type="dxa"/>
              <w:end w:w="100" w:type="dxa"/>
            </w:tcMar>
            <w:vAlign w:val="center"/>
          </w:tcPr>
          <w:p>
            <w:pPr>
              <w:jc w:val="left"/>
            </w:pPr>
            <w:r>
              <w:rPr>
                <w:rFonts w:ascii="Noto Serif" w:hAnsi="Noto Serif"/>
                <w:color w:val="1B2733"/>
                <w:sz w:val="16"/>
              </w:rPr>
              <w:t>GENERAL, VISOR, PORT, READER, etc.</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Owning Stack / Boundary</w:t>
            </w:r>
          </w:p>
        </w:tc>
        <w:tc>
          <w:tcPr>
            <w:tcW w:type="dxa" w:w="2015"/>
            <w:tcMar>
              <w:top w:w="95" w:type="dxa"/>
              <w:start w:w="100" w:type="dxa"/>
              <w:bottom w:w="95" w:type="dxa"/>
              <w:end w:w="100" w:type="dxa"/>
            </w:tcMar>
            <w:vAlign w:val="center"/>
          </w:tcPr>
          <w:p>
            <w:pPr>
              <w:jc w:val="left"/>
            </w:pPr>
            <w:r>
              <w:rPr>
                <w:rFonts w:ascii="Noto Serif" w:hAnsi="Noto Serif"/>
                <w:color w:val="1B2733"/>
                <w:sz w:val="16"/>
              </w:rPr>
              <w:t>Link or text</w:t>
            </w:r>
          </w:p>
        </w:tc>
        <w:tc>
          <w:tcPr>
            <w:tcW w:type="dxa" w:w="5544"/>
            <w:tcMar>
              <w:top w:w="95" w:type="dxa"/>
              <w:start w:w="100" w:type="dxa"/>
              <w:bottom w:w="95" w:type="dxa"/>
              <w:end w:w="100" w:type="dxa"/>
            </w:tcMar>
            <w:vAlign w:val="center"/>
          </w:tcPr>
          <w:p>
            <w:pPr>
              <w:jc w:val="left"/>
            </w:pPr>
            <w:r>
              <w:rPr>
                <w:rFonts w:ascii="Noto Serif" w:hAnsi="Noto Serif"/>
                <w:color w:val="1B2733"/>
                <w:sz w:val="16"/>
              </w:rPr>
              <w:t>Canonical system or system boundary that owns the underlying semantics.</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Eligible Entity Types</w:t>
            </w:r>
          </w:p>
        </w:tc>
        <w:tc>
          <w:tcPr>
            <w:tcW w:type="dxa" w:w="2015"/>
            <w:tcMar>
              <w:top w:w="95" w:type="dxa"/>
              <w:start w:w="100" w:type="dxa"/>
              <w:bottom w:w="95" w:type="dxa"/>
              <w:end w:w="100" w:type="dxa"/>
            </w:tcMar>
            <w:vAlign w:val="center"/>
          </w:tcPr>
          <w:p>
            <w:pPr>
              <w:jc w:val="left"/>
            </w:pPr>
            <w:r>
              <w:rPr>
                <w:rFonts w:ascii="Noto Serif" w:hAnsi="Noto Serif"/>
                <w:color w:val="1B2733"/>
                <w:sz w:val="16"/>
              </w:rPr>
              <w:t>Multiple select</w:t>
            </w:r>
          </w:p>
        </w:tc>
        <w:tc>
          <w:tcPr>
            <w:tcW w:type="dxa" w:w="5544"/>
            <w:tcMar>
              <w:top w:w="95" w:type="dxa"/>
              <w:start w:w="100" w:type="dxa"/>
              <w:bottom w:w="95" w:type="dxa"/>
              <w:end w:w="100" w:type="dxa"/>
            </w:tcMar>
            <w:vAlign w:val="center"/>
          </w:tcPr>
          <w:p>
            <w:pPr>
              <w:jc w:val="left"/>
            </w:pPr>
            <w:r>
              <w:rPr>
                <w:rFonts w:ascii="Noto Serif" w:hAnsi="Noto Serif"/>
                <w:color w:val="1B2733"/>
                <w:sz w:val="16"/>
              </w:rPr>
              <w:t>Kinds of operands that can appear in this Habitat.</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Available P1s</w:t>
            </w:r>
          </w:p>
        </w:tc>
        <w:tc>
          <w:tcPr>
            <w:tcW w:type="dxa" w:w="2015"/>
            <w:tcMar>
              <w:top w:w="95" w:type="dxa"/>
              <w:start w:w="100" w:type="dxa"/>
              <w:bottom w:w="95" w:type="dxa"/>
              <w:end w:w="100" w:type="dxa"/>
            </w:tcMar>
            <w:vAlign w:val="center"/>
          </w:tcPr>
          <w:p>
            <w:pPr>
              <w:jc w:val="left"/>
            </w:pPr>
            <w:r>
              <w:rPr>
                <w:rFonts w:ascii="Noto Serif" w:hAnsi="Noto Serif"/>
                <w:color w:val="1B2733"/>
                <w:sz w:val="16"/>
              </w:rPr>
              <w:t>Linked records</w:t>
            </w:r>
          </w:p>
        </w:tc>
        <w:tc>
          <w:tcPr>
            <w:tcW w:type="dxa" w:w="5544"/>
            <w:tcMar>
              <w:top w:w="95" w:type="dxa"/>
              <w:start w:w="100" w:type="dxa"/>
              <w:bottom w:w="95" w:type="dxa"/>
              <w:end w:w="100" w:type="dxa"/>
            </w:tcMar>
            <w:vAlign w:val="center"/>
          </w:tcPr>
          <w:p>
            <w:pPr>
              <w:jc w:val="left"/>
            </w:pPr>
            <w:r>
              <w:rPr>
                <w:rFonts w:ascii="Noto Serif" w:hAnsi="Noto Serif"/>
                <w:color w:val="1B2733"/>
                <w:sz w:val="16"/>
              </w:rPr>
              <w:t>Atomic PATCHes normally exposed in this Habitat.</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Excluded P1s</w:t>
            </w:r>
          </w:p>
        </w:tc>
        <w:tc>
          <w:tcPr>
            <w:tcW w:type="dxa" w:w="2015"/>
            <w:tcMar>
              <w:top w:w="95" w:type="dxa"/>
              <w:start w:w="100" w:type="dxa"/>
              <w:bottom w:w="95" w:type="dxa"/>
              <w:end w:w="100" w:type="dxa"/>
            </w:tcMar>
            <w:vAlign w:val="center"/>
          </w:tcPr>
          <w:p>
            <w:pPr>
              <w:jc w:val="left"/>
            </w:pPr>
            <w:r>
              <w:rPr>
                <w:rFonts w:ascii="Noto Serif" w:hAnsi="Noto Serif"/>
                <w:color w:val="1B2733"/>
                <w:sz w:val="16"/>
              </w:rPr>
              <w:t>Linked records</w:t>
            </w:r>
          </w:p>
        </w:tc>
        <w:tc>
          <w:tcPr>
            <w:tcW w:type="dxa" w:w="5544"/>
            <w:tcMar>
              <w:top w:w="95" w:type="dxa"/>
              <w:start w:w="100" w:type="dxa"/>
              <w:bottom w:w="95" w:type="dxa"/>
              <w:end w:w="100" w:type="dxa"/>
            </w:tcMar>
            <w:vAlign w:val="center"/>
          </w:tcPr>
          <w:p>
            <w:pPr>
              <w:jc w:val="left"/>
            </w:pPr>
            <w:r>
              <w:rPr>
                <w:rFonts w:ascii="Noto Serif" w:hAnsi="Noto Serif"/>
                <w:color w:val="1B2733"/>
                <w:sz w:val="16"/>
              </w:rPr>
              <w:t>Operations explicitly inappropriate here.</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Default Gate</w:t>
            </w:r>
          </w:p>
        </w:tc>
        <w:tc>
          <w:tcPr>
            <w:tcW w:type="dxa" w:w="2015"/>
            <w:tcMar>
              <w:top w:w="95" w:type="dxa"/>
              <w:start w:w="100" w:type="dxa"/>
              <w:bottom w:w="95" w:type="dxa"/>
              <w:end w:w="100" w:type="dxa"/>
            </w:tcMar>
            <w:vAlign w:val="center"/>
          </w:tcPr>
          <w:p>
            <w:pPr>
              <w:jc w:val="left"/>
            </w:pPr>
            <w:r>
              <w:rPr>
                <w:rFonts w:ascii="Noto Serif" w:hAnsi="Noto Serif"/>
                <w:color w:val="1B2733"/>
                <w:sz w:val="16"/>
              </w:rPr>
              <w:t>Single select</w:t>
            </w:r>
          </w:p>
        </w:tc>
        <w:tc>
          <w:tcPr>
            <w:tcW w:type="dxa" w:w="5544"/>
            <w:tcMar>
              <w:top w:w="95" w:type="dxa"/>
              <w:start w:w="100" w:type="dxa"/>
              <w:bottom w:w="95" w:type="dxa"/>
              <w:end w:w="100" w:type="dxa"/>
            </w:tcMar>
            <w:vAlign w:val="center"/>
          </w:tcPr>
          <w:p>
            <w:pPr>
              <w:jc w:val="left"/>
            </w:pPr>
            <w:r>
              <w:rPr>
                <w:rFonts w:ascii="Noto Serif" w:hAnsi="Noto Serif"/>
                <w:color w:val="1B2733"/>
                <w:sz w:val="16"/>
              </w:rPr>
              <w:t>Optional default authority requirement.</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Description</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544"/>
            <w:tcMar>
              <w:top w:w="95" w:type="dxa"/>
              <w:start w:w="100" w:type="dxa"/>
              <w:bottom w:w="95" w:type="dxa"/>
              <w:end w:w="100" w:type="dxa"/>
            </w:tcMar>
            <w:vAlign w:val="center"/>
          </w:tcPr>
          <w:p>
            <w:pPr>
              <w:jc w:val="left"/>
            </w:pPr>
            <w:r>
              <w:rPr>
                <w:rFonts w:ascii="Noto Serif" w:hAnsi="Noto Serif"/>
                <w:color w:val="1B2733"/>
                <w:sz w:val="16"/>
              </w:rPr>
              <w:t>Why this Habitat exists and what it bounds.</w:t>
            </w:r>
          </w:p>
        </w:tc>
      </w:tr>
      <w:tr>
        <w:tc>
          <w:tcPr>
            <w:tcW w:type="dxa" w:w="2232"/>
            <w:tcMar>
              <w:top w:w="95" w:type="dxa"/>
              <w:start w:w="100" w:type="dxa"/>
              <w:bottom w:w="95" w:type="dxa"/>
              <w:end w:w="100" w:type="dxa"/>
            </w:tcMar>
            <w:vAlign w:val="center"/>
          </w:tcPr>
          <w:p>
            <w:pPr>
              <w:jc w:val="center"/>
            </w:pPr>
            <w:r>
              <w:rPr>
                <w:rFonts w:ascii="Noto Serif" w:hAnsi="Noto Serif"/>
                <w:color w:val="1B2733"/>
                <w:sz w:val="16"/>
              </w:rPr>
              <w:t>Notes</w:t>
            </w:r>
          </w:p>
        </w:tc>
        <w:tc>
          <w:tcPr>
            <w:tcW w:type="dxa" w:w="2015"/>
            <w:tcMar>
              <w:top w:w="95" w:type="dxa"/>
              <w:start w:w="100" w:type="dxa"/>
              <w:bottom w:w="95" w:type="dxa"/>
              <w:end w:w="100" w:type="dxa"/>
            </w:tcMar>
            <w:vAlign w:val="center"/>
          </w:tcPr>
          <w:p>
            <w:pPr>
              <w:jc w:val="left"/>
            </w:pPr>
            <w:r>
              <w:rPr>
                <w:rFonts w:ascii="Noto Serif" w:hAnsi="Noto Serif"/>
                <w:color w:val="1B2733"/>
                <w:sz w:val="16"/>
              </w:rPr>
              <w:t>Long text</w:t>
            </w:r>
          </w:p>
        </w:tc>
        <w:tc>
          <w:tcPr>
            <w:tcW w:type="dxa" w:w="5544"/>
            <w:tcMar>
              <w:top w:w="95" w:type="dxa"/>
              <w:start w:w="100" w:type="dxa"/>
              <w:bottom w:w="95" w:type="dxa"/>
              <w:end w:w="100" w:type="dxa"/>
            </w:tcMar>
            <w:vAlign w:val="center"/>
          </w:tcPr>
          <w:p>
            <w:pPr>
              <w:jc w:val="left"/>
            </w:pPr>
            <w:r>
              <w:rPr>
                <w:rFonts w:ascii="Noto Serif" w:hAnsi="Noto Serif"/>
                <w:color w:val="1B2733"/>
                <w:sz w:val="16"/>
              </w:rPr>
              <w:t>Practical routing and implementation observations.</w:t>
            </w:r>
          </w:p>
        </w:tc>
      </w:tr>
    </w:tbl>
    <w:p>
      <w:pPr>
        <w:spacing w:after="20"/>
      </w:pPr>
    </w:p>
    <w:p>
      <w:pPr>
        <w:pStyle w:val="Heading2"/>
        <w:keepNext/>
      </w:pPr>
      <w:r>
        <w:t>10.3 Temporary field implementation</w:t>
      </w:r>
    </w:p>
    <w:p>
      <w:pPr>
        <w:spacing w:before="0" w:after="120" w:line="259" w:lineRule="auto"/>
      </w:pPr>
      <w:r>
        <w:rPr>
          <w:rFonts w:ascii="Noto Serif" w:hAnsi="Noto Serif"/>
          <w:color w:val="1B2733"/>
          <w:sz w:val="20"/>
        </w:rPr>
        <w:t>PATCH Instances may initially remain exactly what inspired the architecture: temporary fields placed beside the canonical thing being inspected. The field name carries the PATCH notation; the field type carries the immediate working value; the permanent P1 and Habitat registries explain the semantics. Those temporary fields should never receive canonical downstream dependencies.</w:t>
      </w:r>
    </w:p>
    <w:p>
      <w:pPr>
        <w:spacing w:before="0" w:after="120" w:line="259" w:lineRule="auto"/>
      </w:pPr>
      <w:r>
        <w:rPr>
          <w:rFonts w:ascii="Noto Serif" w:hAnsi="Noto Serif"/>
          <w:color w:val="1B2733"/>
          <w:sz w:val="20"/>
        </w:rPr>
        <w:t>Where a temporary field points to a canonical Table, Field, Record, Model, or another PATCH, the pointer is scaffolding. Removing it may lose the current work context, but it must not sever a canonical relationship.</w:t>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STARTER VOCABULARY</w:t>
            </w:r>
          </w:p>
          <w:p>
            <w:pPr>
              <w:spacing w:after="0"/>
            </w:pPr>
            <w:r>
              <w:rPr>
                <w:rFonts w:ascii="Noto Serif" w:hAnsi="Noto Serif"/>
                <w:color w:val="1B2733"/>
                <w:sz w:val="20"/>
              </w:rPr>
              <w:t>The list below is a starting map. Real use is expected to merge, split, rename, or retire candidate P1s.</w:t>
            </w:r>
          </w:p>
        </w:tc>
      </w:tr>
    </w:tbl>
    <w:p>
      <w:pPr>
        <w:spacing w:after="20"/>
      </w:pPr>
    </w:p>
    <w:p>
      <w:pPr>
        <w:pStyle w:val="Heading1"/>
        <w:keepNext/>
      </w:pPr>
      <w:r>
        <w:t>11. Starter P1 and Habitat registries</w:t>
      </w:r>
    </w:p>
    <w:p>
      <w:pPr>
        <w:spacing w:before="0" w:after="120" w:line="259" w:lineRule="auto"/>
      </w:pPr>
      <w:r>
        <w:rPr>
          <w:rFonts w:ascii="Noto Serif" w:hAnsi="Noto Serif"/>
          <w:color w:val="1B2733"/>
          <w:sz w:val="20"/>
        </w:rPr>
        <w:t>The starter vocabulary is intentionally permissive enough to begin experimentation while remaining small enough to inspect. A candidate P1 should survive only if it adds operational distinction beyond an existing generic P1 combined with Habitat and context. For example, WIDTH may later collapse into ISSUE @ READER if no separate behavior justifies the extra primitive.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728"/>
            <w:shd w:fill="17344B"/>
            <w:tcMar>
              <w:top w:w="120" w:type="dxa"/>
              <w:start w:w="100" w:type="dxa"/>
              <w:bottom w:w="120" w:type="dxa"/>
              <w:end w:w="100" w:type="dxa"/>
            </w:tcMar>
            <w:vAlign w:val="center"/>
          </w:tcPr>
          <w:p>
            <w:pPr>
              <w:jc w:val="center"/>
            </w:pPr>
            <w:r>
              <w:rPr>
                <w:rFonts w:ascii="Noto Sans" w:hAnsi="Noto Sans"/>
                <w:b/>
                <w:color w:val="FFFFFF"/>
                <w:sz w:val="16"/>
              </w:rPr>
              <w:t>P1</w:t>
            </w:r>
          </w:p>
        </w:tc>
        <w:tc>
          <w:tcPr>
            <w:tcW w:type="dxa" w:w="5400"/>
            <w:shd w:fill="17344B"/>
            <w:tcMar>
              <w:top w:w="120" w:type="dxa"/>
              <w:start w:w="100" w:type="dxa"/>
              <w:bottom w:w="120" w:type="dxa"/>
              <w:end w:w="100" w:type="dxa"/>
            </w:tcMar>
            <w:vAlign w:val="center"/>
          </w:tcPr>
          <w:p>
            <w:pPr>
              <w:jc w:val="center"/>
            </w:pPr>
            <w:r>
              <w:rPr>
                <w:rFonts w:ascii="Noto Sans" w:hAnsi="Noto Sans"/>
                <w:b/>
                <w:color w:val="FFFFFF"/>
                <w:sz w:val="16"/>
              </w:rPr>
              <w:t>Atomic meaning</w:t>
            </w:r>
          </w:p>
        </w:tc>
        <w:tc>
          <w:tcPr>
            <w:tcW w:type="dxa" w:w="2664"/>
            <w:shd w:fill="17344B"/>
            <w:tcMar>
              <w:top w:w="120" w:type="dxa"/>
              <w:start w:w="100" w:type="dxa"/>
              <w:bottom w:w="120" w:type="dxa"/>
              <w:end w:w="100" w:type="dxa"/>
            </w:tcMar>
            <w:vAlign w:val="center"/>
          </w:tcPr>
          <w:p>
            <w:pPr>
              <w:jc w:val="center"/>
            </w:pPr>
            <w:r>
              <w:rPr>
                <w:rFonts w:ascii="Noto Sans" w:hAnsi="Noto Sans"/>
                <w:b/>
                <w:color w:val="FFFFFF"/>
                <w:sz w:val="16"/>
              </w:rPr>
              <w:t>Likely Habitat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INFORMATION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State useful temporary information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many</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ISSUE</w:t>
            </w:r>
          </w:p>
        </w:tc>
        <w:tc>
          <w:tcPr>
            <w:tcW w:type="dxa" w:w="5400"/>
            <w:tcMar>
              <w:top w:w="95" w:type="dxa"/>
              <w:start w:w="100" w:type="dxa"/>
              <w:bottom w:w="95" w:type="dxa"/>
              <w:end w:w="100" w:type="dxa"/>
            </w:tcMar>
            <w:vAlign w:val="center"/>
          </w:tcPr>
          <w:p>
            <w:pPr>
              <w:jc w:val="left"/>
            </w:pPr>
            <w:r>
              <w:rPr>
                <w:rFonts w:ascii="Noto Serif" w:hAnsi="Noto Serif"/>
                <w:color w:val="1B2733"/>
                <w:sz w:val="16"/>
              </w:rPr>
              <w:t>Mark a detected problem</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many</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VERIFY</w:t>
            </w:r>
          </w:p>
        </w:tc>
        <w:tc>
          <w:tcPr>
            <w:tcW w:type="dxa" w:w="5400"/>
            <w:tcMar>
              <w:top w:w="95" w:type="dxa"/>
              <w:start w:w="100" w:type="dxa"/>
              <w:bottom w:w="95" w:type="dxa"/>
              <w:end w:w="100" w:type="dxa"/>
            </w:tcMar>
            <w:vAlign w:val="center"/>
          </w:tcPr>
          <w:p>
            <w:pPr>
              <w:jc w:val="left"/>
            </w:pPr>
            <w:r>
              <w:rPr>
                <w:rFonts w:ascii="Noto Serif" w:hAnsi="Noto Serif"/>
                <w:color w:val="1B2733"/>
                <w:sz w:val="16"/>
              </w:rPr>
              <w:t>Request or record confirmation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many</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COMPARE</w:t>
            </w:r>
          </w:p>
        </w:tc>
        <w:tc>
          <w:tcPr>
            <w:tcW w:type="dxa" w:w="5400"/>
            <w:tcMar>
              <w:top w:w="95" w:type="dxa"/>
              <w:start w:w="100" w:type="dxa"/>
              <w:bottom w:w="95" w:type="dxa"/>
              <w:end w:w="100" w:type="dxa"/>
            </w:tcMar>
            <w:vAlign w:val="center"/>
          </w:tcPr>
          <w:p>
            <w:pPr>
              <w:jc w:val="left"/>
            </w:pPr>
            <w:r>
              <w:rPr>
                <w:rFonts w:ascii="Noto Serif" w:hAnsi="Noto Serif"/>
                <w:color w:val="1B2733"/>
                <w:sz w:val="16"/>
              </w:rPr>
              <w:t>Evaluate two bounded operands</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BOSS</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REFERENCE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Point to context without canonical linkage</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SELECT</w:t>
            </w:r>
          </w:p>
        </w:tc>
        <w:tc>
          <w:tcPr>
            <w:tcW w:type="dxa" w:w="5400"/>
            <w:tcMar>
              <w:top w:w="95" w:type="dxa"/>
              <w:start w:w="100" w:type="dxa"/>
              <w:bottom w:w="95" w:type="dxa"/>
              <w:end w:w="100" w:type="dxa"/>
            </w:tcMar>
            <w:vAlign w:val="center"/>
          </w:tcPr>
          <w:p>
            <w:pPr>
              <w:jc w:val="left"/>
            </w:pPr>
            <w:r>
              <w:rPr>
                <w:rFonts w:ascii="Noto Serif" w:hAnsi="Noto Serif"/>
                <w:color w:val="1B2733"/>
                <w:sz w:val="16"/>
              </w:rPr>
              <w:t>Choose among bounded alternatives</w:t>
            </w:r>
          </w:p>
        </w:tc>
        <w:tc>
          <w:tcPr>
            <w:tcW w:type="dxa" w:w="2664"/>
            <w:tcMar>
              <w:top w:w="95" w:type="dxa"/>
              <w:start w:w="100" w:type="dxa"/>
              <w:bottom w:w="95" w:type="dxa"/>
              <w:end w:w="100" w:type="dxa"/>
            </w:tcMar>
            <w:vAlign w:val="center"/>
          </w:tcPr>
          <w:p>
            <w:pPr>
              <w:jc w:val="left"/>
            </w:pPr>
            <w:r>
              <w:rPr>
                <w:rFonts w:ascii="Noto Serif" w:hAnsi="Noto Serif"/>
                <w:color w:val="1B2733"/>
                <w:sz w:val="16"/>
              </w:rPr>
              <w:t>HUMAN / GENERAL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APPROVE</w:t>
            </w:r>
          </w:p>
        </w:tc>
        <w:tc>
          <w:tcPr>
            <w:tcW w:type="dxa" w:w="5400"/>
            <w:tcMar>
              <w:top w:w="95" w:type="dxa"/>
              <w:start w:w="100" w:type="dxa"/>
              <w:bottom w:w="95" w:type="dxa"/>
              <w:end w:w="100" w:type="dxa"/>
            </w:tcMar>
            <w:vAlign w:val="center"/>
          </w:tcPr>
          <w:p>
            <w:pPr>
              <w:jc w:val="left"/>
            </w:pPr>
            <w:r>
              <w:rPr>
                <w:rFonts w:ascii="Noto Serif" w:hAnsi="Noto Serif"/>
                <w:color w:val="1B2733"/>
                <w:sz w:val="16"/>
              </w:rPr>
              <w:t>Human authorization gate</w:t>
            </w:r>
          </w:p>
        </w:tc>
        <w:tc>
          <w:tcPr>
            <w:tcW w:type="dxa" w:w="2664"/>
            <w:tcMar>
              <w:top w:w="95" w:type="dxa"/>
              <w:start w:w="100" w:type="dxa"/>
              <w:bottom w:w="95" w:type="dxa"/>
              <w:end w:w="100" w:type="dxa"/>
            </w:tcMar>
            <w:vAlign w:val="center"/>
          </w:tcPr>
          <w:p>
            <w:pPr>
              <w:jc w:val="left"/>
            </w:pPr>
            <w:r>
              <w:rPr>
                <w:rFonts w:ascii="Noto Serif" w:hAnsi="Noto Serif"/>
                <w:color w:val="1B2733"/>
                <w:sz w:val="16"/>
              </w:rPr>
              <w:t>HUMAN / GENERAL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HOLD</w:t>
            </w:r>
          </w:p>
        </w:tc>
        <w:tc>
          <w:tcPr>
            <w:tcW w:type="dxa" w:w="5400"/>
            <w:tcMar>
              <w:top w:w="95" w:type="dxa"/>
              <w:start w:w="100" w:type="dxa"/>
              <w:bottom w:w="95" w:type="dxa"/>
              <w:end w:w="100" w:type="dxa"/>
            </w:tcMar>
            <w:vAlign w:val="center"/>
          </w:tcPr>
          <w:p>
            <w:pPr>
              <w:jc w:val="left"/>
            </w:pPr>
            <w:r>
              <w:rPr>
                <w:rFonts w:ascii="Noto Serif" w:hAnsi="Noto Serif"/>
                <w:color w:val="1B2733"/>
                <w:sz w:val="16"/>
              </w:rPr>
              <w:t>Do not proceed yet</w:t>
            </w:r>
          </w:p>
        </w:tc>
        <w:tc>
          <w:tcPr>
            <w:tcW w:type="dxa" w:w="2664"/>
            <w:tcMar>
              <w:top w:w="95" w:type="dxa"/>
              <w:start w:w="100" w:type="dxa"/>
              <w:bottom w:w="95" w:type="dxa"/>
              <w:end w:w="100" w:type="dxa"/>
            </w:tcMar>
            <w:vAlign w:val="center"/>
          </w:tcPr>
          <w:p>
            <w:pPr>
              <w:jc w:val="left"/>
            </w:pPr>
            <w:r>
              <w:rPr>
                <w:rFonts w:ascii="Noto Serif" w:hAnsi="Noto Serif"/>
                <w:color w:val="1B2733"/>
                <w:sz w:val="16"/>
              </w:rPr>
              <w:t>HUMAN / GENERAL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PURGE</w:t>
            </w:r>
          </w:p>
        </w:tc>
        <w:tc>
          <w:tcPr>
            <w:tcW w:type="dxa" w:w="5400"/>
            <w:tcMar>
              <w:top w:w="95" w:type="dxa"/>
              <w:start w:w="100" w:type="dxa"/>
              <w:bottom w:w="95" w:type="dxa"/>
              <w:end w:w="100" w:type="dxa"/>
            </w:tcMar>
            <w:vAlign w:val="center"/>
          </w:tcPr>
          <w:p>
            <w:pPr>
              <w:jc w:val="left"/>
            </w:pPr>
            <w:r>
              <w:rPr>
                <w:rFonts w:ascii="Noto Serif" w:hAnsi="Noto Serif"/>
                <w:color w:val="1B2733"/>
                <w:sz w:val="16"/>
              </w:rPr>
              <w:t>Mark removal candidate</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CONNECTOR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PATCH ROUTE</w:t>
            </w:r>
          </w:p>
        </w:tc>
        <w:tc>
          <w:tcPr>
            <w:tcW w:type="dxa" w:w="5400"/>
            <w:tcMar>
              <w:top w:w="95" w:type="dxa"/>
              <w:start w:w="100" w:type="dxa"/>
              <w:bottom w:w="95" w:type="dxa"/>
              <w:end w:w="100" w:type="dxa"/>
            </w:tcMar>
            <w:vAlign w:val="center"/>
          </w:tcPr>
          <w:p>
            <w:pPr>
              <w:jc w:val="left"/>
            </w:pPr>
            <w:r>
              <w:rPr>
                <w:rFonts w:ascii="Noto Serif" w:hAnsi="Noto Serif"/>
                <w:color w:val="1B2733"/>
                <w:sz w:val="16"/>
              </w:rPr>
              <w:t>Continue work in another PATCH scope</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cross-Habitat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REDUCTION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Fewer components, equivalent required result</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EXPANSION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Add structure for new capability</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MERGE</w:t>
            </w:r>
          </w:p>
        </w:tc>
        <w:tc>
          <w:tcPr>
            <w:tcW w:type="dxa" w:w="5400"/>
            <w:tcMar>
              <w:top w:w="95" w:type="dxa"/>
              <w:start w:w="100" w:type="dxa"/>
              <w:bottom w:w="95" w:type="dxa"/>
              <w:end w:w="100" w:type="dxa"/>
            </w:tcMar>
            <w:vAlign w:val="center"/>
          </w:tcPr>
          <w:p>
            <w:pPr>
              <w:jc w:val="left"/>
            </w:pPr>
            <w:r>
              <w:rPr>
                <w:rFonts w:ascii="Noto Serif" w:hAnsi="Noto Serif"/>
                <w:color w:val="1B2733"/>
                <w:sz w:val="16"/>
              </w:rPr>
              <w:t>Combine structures</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SPLIT</w:t>
            </w:r>
          </w:p>
        </w:tc>
        <w:tc>
          <w:tcPr>
            <w:tcW w:type="dxa" w:w="5400"/>
            <w:tcMar>
              <w:top w:w="95" w:type="dxa"/>
              <w:start w:w="100" w:type="dxa"/>
              <w:bottom w:w="95" w:type="dxa"/>
              <w:end w:w="100" w:type="dxa"/>
            </w:tcMar>
            <w:vAlign w:val="center"/>
          </w:tcPr>
          <w:p>
            <w:pPr>
              <w:jc w:val="left"/>
            </w:pPr>
            <w:r>
              <w:rPr>
                <w:rFonts w:ascii="Noto Serif" w:hAnsi="Noto Serif"/>
                <w:color w:val="1B2733"/>
                <w:sz w:val="16"/>
              </w:rPr>
              <w:t>Separate overloaded structure</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REPLACE</w:t>
            </w:r>
          </w:p>
        </w:tc>
        <w:tc>
          <w:tcPr>
            <w:tcW w:type="dxa" w:w="5400"/>
            <w:tcMar>
              <w:top w:w="95" w:type="dxa"/>
              <w:start w:w="100" w:type="dxa"/>
              <w:bottom w:w="95" w:type="dxa"/>
              <w:end w:w="100" w:type="dxa"/>
            </w:tcMar>
            <w:vAlign w:val="center"/>
          </w:tcPr>
          <w:p>
            <w:pPr>
              <w:jc w:val="left"/>
            </w:pPr>
            <w:r>
              <w:rPr>
                <w:rFonts w:ascii="Noto Serif" w:hAnsi="Noto Serif"/>
                <w:color w:val="1B2733"/>
                <w:sz w:val="16"/>
              </w:rPr>
              <w:t>Substitute one structure for another</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RENAME</w:t>
            </w:r>
          </w:p>
        </w:tc>
        <w:tc>
          <w:tcPr>
            <w:tcW w:type="dxa" w:w="5400"/>
            <w:tcMar>
              <w:top w:w="95" w:type="dxa"/>
              <w:start w:w="100" w:type="dxa"/>
              <w:bottom w:w="95" w:type="dxa"/>
              <w:end w:w="100" w:type="dxa"/>
            </w:tcMar>
            <w:vAlign w:val="center"/>
          </w:tcPr>
          <w:p>
            <w:pPr>
              <w:jc w:val="left"/>
            </w:pPr>
            <w:r>
              <w:rPr>
                <w:rFonts w:ascii="Noto Serif" w:hAnsi="Noto Serif"/>
                <w:color w:val="1B2733"/>
                <w:sz w:val="16"/>
              </w:rPr>
              <w:t>Change human-facing label</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SOLAR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MOVE</w:t>
            </w:r>
          </w:p>
        </w:tc>
        <w:tc>
          <w:tcPr>
            <w:tcW w:type="dxa" w:w="5400"/>
            <w:tcMar>
              <w:top w:w="95" w:type="dxa"/>
              <w:start w:w="100" w:type="dxa"/>
              <w:bottom w:w="95" w:type="dxa"/>
              <w:end w:w="100" w:type="dxa"/>
            </w:tcMar>
            <w:vAlign w:val="center"/>
          </w:tcPr>
          <w:p>
            <w:pPr>
              <w:jc w:val="left"/>
            </w:pPr>
            <w:r>
              <w:rPr>
                <w:rFonts w:ascii="Noto Serif" w:hAnsi="Noto Serif"/>
                <w:color w:val="1B2733"/>
                <w:sz w:val="16"/>
              </w:rPr>
              <w:t>Relocate same thing</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structural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MIGRATE</w:t>
            </w:r>
          </w:p>
        </w:tc>
        <w:tc>
          <w:tcPr>
            <w:tcW w:type="dxa" w:w="5400"/>
            <w:tcMar>
              <w:top w:w="95" w:type="dxa"/>
              <w:start w:w="100" w:type="dxa"/>
              <w:bottom w:w="95" w:type="dxa"/>
              <w:end w:w="100" w:type="dxa"/>
            </w:tcMar>
            <w:vAlign w:val="center"/>
          </w:tcPr>
          <w:p>
            <w:pPr>
              <w:jc w:val="left"/>
            </w:pPr>
            <w:r>
              <w:rPr>
                <w:rFonts w:ascii="Noto Serif" w:hAnsi="Noto Serif"/>
                <w:color w:val="1B2733"/>
                <w:sz w:val="16"/>
              </w:rPr>
              <w:t>Transfer useful state into a new structure</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BACKFILL</w:t>
            </w:r>
          </w:p>
        </w:tc>
        <w:tc>
          <w:tcPr>
            <w:tcW w:type="dxa" w:w="5400"/>
            <w:tcMar>
              <w:top w:w="95" w:type="dxa"/>
              <w:start w:w="100" w:type="dxa"/>
              <w:bottom w:w="95" w:type="dxa"/>
              <w:end w:w="100" w:type="dxa"/>
            </w:tcMar>
            <w:vAlign w:val="center"/>
          </w:tcPr>
          <w:p>
            <w:pPr>
              <w:jc w:val="left"/>
            </w:pPr>
            <w:r>
              <w:rPr>
                <w:rFonts w:ascii="Noto Serif" w:hAnsi="Noto Serif"/>
                <w:color w:val="1B2733"/>
                <w:sz w:val="16"/>
              </w:rPr>
              <w:t>Populate missing state from authority</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NORMALIZE</w:t>
            </w:r>
          </w:p>
        </w:tc>
        <w:tc>
          <w:tcPr>
            <w:tcW w:type="dxa" w:w="5400"/>
            <w:tcMar>
              <w:top w:w="95" w:type="dxa"/>
              <w:start w:w="100" w:type="dxa"/>
              <w:bottom w:w="95" w:type="dxa"/>
              <w:end w:w="100" w:type="dxa"/>
            </w:tcMar>
            <w:vAlign w:val="center"/>
          </w:tcPr>
          <w:p>
            <w:pPr>
              <w:jc w:val="left"/>
            </w:pPr>
            <w:r>
              <w:rPr>
                <w:rFonts w:ascii="Noto Serif" w:hAnsi="Noto Serif"/>
                <w:color w:val="1B2733"/>
                <w:sz w:val="16"/>
              </w:rPr>
              <w:t>Bring representation to governed form</w:t>
            </w:r>
          </w:p>
        </w:tc>
        <w:tc>
          <w:tcPr>
            <w:tcW w:type="dxa" w:w="2664"/>
            <w:tcMar>
              <w:top w:w="95" w:type="dxa"/>
              <w:start w:w="100" w:type="dxa"/>
              <w:bottom w:w="95" w:type="dxa"/>
              <w:end w:w="100" w:type="dxa"/>
            </w:tcMar>
            <w:vAlign w:val="center"/>
          </w:tcPr>
          <w:p>
            <w:pPr>
              <w:jc w:val="left"/>
            </w:pPr>
            <w:r>
              <w:rPr>
                <w:rFonts w:ascii="Noto Serif" w:hAnsi="Noto Serif"/>
                <w:color w:val="1B2733"/>
                <w:sz w:val="16"/>
              </w:rPr>
              <w:t>GENERAL / 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LINKAGE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structural relation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VISOR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UNLINK</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removal of relation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VISOR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RELINK</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different relation target</w:t>
            </w:r>
          </w:p>
        </w:tc>
        <w:tc>
          <w:tcPr>
            <w:tcW w:type="dxa" w:w="2664"/>
            <w:tcMar>
              <w:top w:w="95" w:type="dxa"/>
              <w:start w:w="100" w:type="dxa"/>
              <w:bottom w:w="95" w:type="dxa"/>
              <w:end w:w="100" w:type="dxa"/>
            </w:tcMar>
            <w:vAlign w:val="center"/>
          </w:tcPr>
          <w:p>
            <w:pPr>
              <w:jc w:val="left"/>
            </w:pPr>
            <w:r>
              <w:rPr>
                <w:rFonts w:ascii="Noto Serif" w:hAnsi="Noto Serif"/>
                <w:color w:val="1B2733"/>
                <w:sz w:val="16"/>
              </w:rPr>
              <w:t>VISOR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CARDINALITY</w:t>
            </w:r>
          </w:p>
        </w:tc>
        <w:tc>
          <w:tcPr>
            <w:tcW w:type="dxa" w:w="5400"/>
            <w:tcMar>
              <w:top w:w="95" w:type="dxa"/>
              <w:start w:w="100" w:type="dxa"/>
              <w:bottom w:w="95" w:type="dxa"/>
              <w:end w:w="100" w:type="dxa"/>
            </w:tcMar>
            <w:vAlign w:val="center"/>
          </w:tcPr>
          <w:p>
            <w:pPr>
              <w:jc w:val="left"/>
            </w:pPr>
            <w:r>
              <w:rPr>
                <w:rFonts w:ascii="Noto Serif" w:hAnsi="Noto Serif"/>
                <w:color w:val="1B2733"/>
                <w:sz w:val="16"/>
              </w:rPr>
              <w:t>Inspect/propose relationship multiplicity</w:t>
            </w:r>
          </w:p>
        </w:tc>
        <w:tc>
          <w:tcPr>
            <w:tcW w:type="dxa" w:w="2664"/>
            <w:tcMar>
              <w:top w:w="95" w:type="dxa"/>
              <w:start w:w="100" w:type="dxa"/>
              <w:bottom w:w="95" w:type="dxa"/>
              <w:end w:w="100" w:type="dxa"/>
            </w:tcMar>
            <w:vAlign w:val="center"/>
          </w:tcPr>
          <w:p>
            <w:pPr>
              <w:jc w:val="left"/>
            </w:pPr>
            <w:r>
              <w:rPr>
                <w:rFonts w:ascii="Noto Serif" w:hAnsi="Noto Serif"/>
                <w:color w:val="1B2733"/>
                <w:sz w:val="16"/>
              </w:rPr>
              <w:t>VISOR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TRANSLATE</w:t>
            </w:r>
          </w:p>
        </w:tc>
        <w:tc>
          <w:tcPr>
            <w:tcW w:type="dxa" w:w="5400"/>
            <w:tcMar>
              <w:top w:w="95" w:type="dxa"/>
              <w:start w:w="100" w:type="dxa"/>
              <w:bottom w:w="95" w:type="dxa"/>
              <w:end w:w="100" w:type="dxa"/>
            </w:tcMar>
            <w:vAlign w:val="center"/>
          </w:tcPr>
          <w:p>
            <w:pPr>
              <w:jc w:val="left"/>
            </w:pPr>
            <w:r>
              <w:rPr>
                <w:rFonts w:ascii="Noto Serif" w:hAnsi="Noto Serif"/>
                <w:color w:val="1B2733"/>
                <w:sz w:val="16"/>
              </w:rPr>
              <w:t>Map one representation to another</w:t>
            </w:r>
          </w:p>
        </w:tc>
        <w:tc>
          <w:tcPr>
            <w:tcW w:type="dxa" w:w="2664"/>
            <w:tcMar>
              <w:top w:w="95" w:type="dxa"/>
              <w:start w:w="100" w:type="dxa"/>
              <w:bottom w:w="95" w:type="dxa"/>
              <w:end w:w="100" w:type="dxa"/>
            </w:tcMar>
            <w:vAlign w:val="center"/>
          </w:tcPr>
          <w:p>
            <w:pPr>
              <w:jc w:val="left"/>
            </w:pPr>
            <w:r>
              <w:rPr>
                <w:rFonts w:ascii="Noto Serif" w:hAnsi="Noto Serif"/>
                <w:color w:val="1B2733"/>
                <w:sz w:val="16"/>
              </w:rPr>
              <w:t>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TYPE MAP</w:t>
            </w:r>
          </w:p>
        </w:tc>
        <w:tc>
          <w:tcPr>
            <w:tcW w:type="dxa" w:w="5400"/>
            <w:tcMar>
              <w:top w:w="95" w:type="dxa"/>
              <w:start w:w="100" w:type="dxa"/>
              <w:bottom w:w="95" w:type="dxa"/>
              <w:end w:w="100" w:type="dxa"/>
            </w:tcMar>
            <w:vAlign w:val="center"/>
          </w:tcPr>
          <w:p>
            <w:pPr>
              <w:jc w:val="left"/>
            </w:pPr>
            <w:r>
              <w:rPr>
                <w:rFonts w:ascii="Noto Serif" w:hAnsi="Noto Serif"/>
                <w:color w:val="1B2733"/>
                <w:sz w:val="16"/>
              </w:rPr>
              <w:t>Map source type to destination type</w:t>
            </w:r>
          </w:p>
        </w:tc>
        <w:tc>
          <w:tcPr>
            <w:tcW w:type="dxa" w:w="2664"/>
            <w:tcMar>
              <w:top w:w="95" w:type="dxa"/>
              <w:start w:w="100" w:type="dxa"/>
              <w:bottom w:w="95" w:type="dxa"/>
              <w:end w:w="100" w:type="dxa"/>
            </w:tcMar>
            <w:vAlign w:val="center"/>
          </w:tcPr>
          <w:p>
            <w:pPr>
              <w:jc w:val="left"/>
            </w:pPr>
            <w:r>
              <w:rPr>
                <w:rFonts w:ascii="Noto Serif" w:hAnsi="Noto Serif"/>
                <w:color w:val="1B2733"/>
                <w:sz w:val="16"/>
              </w:rPr>
              <w:t>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PORT GAP</w:t>
            </w:r>
          </w:p>
        </w:tc>
        <w:tc>
          <w:tcPr>
            <w:tcW w:type="dxa" w:w="5400"/>
            <w:tcMar>
              <w:top w:w="95" w:type="dxa"/>
              <w:start w:w="100" w:type="dxa"/>
              <w:bottom w:w="95" w:type="dxa"/>
              <w:end w:w="100" w:type="dxa"/>
            </w:tcMar>
            <w:vAlign w:val="center"/>
          </w:tcPr>
          <w:p>
            <w:pPr>
              <w:jc w:val="left"/>
            </w:pPr>
            <w:r>
              <w:rPr>
                <w:rFonts w:ascii="Noto Serif" w:hAnsi="Noto Serif"/>
                <w:color w:val="1B2733"/>
                <w:sz w:val="16"/>
              </w:rPr>
              <w:t>Mark no direct equivalent</w:t>
            </w:r>
          </w:p>
        </w:tc>
        <w:tc>
          <w:tcPr>
            <w:tcW w:type="dxa" w:w="2664"/>
            <w:tcMar>
              <w:top w:w="95" w:type="dxa"/>
              <w:start w:w="100" w:type="dxa"/>
              <w:bottom w:w="95" w:type="dxa"/>
              <w:end w:w="100" w:type="dxa"/>
            </w:tcMar>
            <w:vAlign w:val="center"/>
          </w:tcPr>
          <w:p>
            <w:pPr>
              <w:jc w:val="left"/>
            </w:pPr>
            <w:r>
              <w:rPr>
                <w:rFonts w:ascii="Noto Serif" w:hAnsi="Noto Serif"/>
                <w:color w:val="1B2733"/>
                <w:sz w:val="16"/>
              </w:rPr>
              <w:t>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SOURCE</w:t>
            </w:r>
          </w:p>
        </w:tc>
        <w:tc>
          <w:tcPr>
            <w:tcW w:type="dxa" w:w="5400"/>
            <w:tcMar>
              <w:top w:w="95" w:type="dxa"/>
              <w:start w:w="100" w:type="dxa"/>
              <w:bottom w:w="95" w:type="dxa"/>
              <w:end w:w="100" w:type="dxa"/>
            </w:tcMar>
            <w:vAlign w:val="center"/>
          </w:tcPr>
          <w:p>
            <w:pPr>
              <w:jc w:val="left"/>
            </w:pPr>
            <w:r>
              <w:rPr>
                <w:rFonts w:ascii="Noto Serif" w:hAnsi="Noto Serif"/>
                <w:color w:val="1B2733"/>
                <w:sz w:val="16"/>
              </w:rPr>
              <w:t>Identify source representation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DESTINATION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Identify destination representation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PORT</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BIND</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interface/system binding</w:t>
            </w:r>
          </w:p>
        </w:tc>
        <w:tc>
          <w:tcPr>
            <w:tcW w:type="dxa" w:w="2664"/>
            <w:tcMar>
              <w:top w:w="95" w:type="dxa"/>
              <w:start w:w="100" w:type="dxa"/>
              <w:bottom w:w="95" w:type="dxa"/>
              <w:end w:w="100" w:type="dxa"/>
            </w:tcMar>
            <w:vAlign w:val="center"/>
          </w:tcPr>
          <w:p>
            <w:pPr>
              <w:jc w:val="left"/>
            </w:pPr>
            <w:r>
              <w:rPr>
                <w:rFonts w:ascii="Noto Serif" w:hAnsi="Noto Serif"/>
                <w:color w:val="1B2733"/>
                <w:sz w:val="16"/>
              </w:rPr>
              <w:t>QUIVER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UNBIND</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removal of interface binding</w:t>
            </w:r>
          </w:p>
        </w:tc>
        <w:tc>
          <w:tcPr>
            <w:tcW w:type="dxa" w:w="2664"/>
            <w:tcMar>
              <w:top w:w="95" w:type="dxa"/>
              <w:start w:w="100" w:type="dxa"/>
              <w:bottom w:w="95" w:type="dxa"/>
              <w:end w:w="100" w:type="dxa"/>
            </w:tcMar>
            <w:vAlign w:val="center"/>
          </w:tcPr>
          <w:p>
            <w:pPr>
              <w:jc w:val="left"/>
            </w:pPr>
            <w:r>
              <w:rPr>
                <w:rFonts w:ascii="Noto Serif" w:hAnsi="Noto Serif"/>
                <w:color w:val="1B2733"/>
                <w:sz w:val="16"/>
              </w:rPr>
              <w:t>QUIVER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DISPLAY</w:t>
            </w:r>
          </w:p>
        </w:tc>
        <w:tc>
          <w:tcPr>
            <w:tcW w:type="dxa" w:w="5400"/>
            <w:tcMar>
              <w:top w:w="95" w:type="dxa"/>
              <w:start w:w="100" w:type="dxa"/>
              <w:bottom w:w="95" w:type="dxa"/>
              <w:end w:w="100" w:type="dxa"/>
            </w:tcMar>
            <w:vAlign w:val="center"/>
          </w:tcPr>
          <w:p>
            <w:pPr>
              <w:jc w:val="left"/>
            </w:pPr>
            <w:r>
              <w:rPr>
                <w:rFonts w:ascii="Noto Serif" w:hAnsi="Noto Serif"/>
                <w:color w:val="1B2733"/>
                <w:sz w:val="16"/>
              </w:rPr>
              <w:t>Describe display behavior</w:t>
            </w:r>
          </w:p>
        </w:tc>
        <w:tc>
          <w:tcPr>
            <w:tcW w:type="dxa" w:w="2664"/>
            <w:tcMar>
              <w:top w:w="95" w:type="dxa"/>
              <w:start w:w="100" w:type="dxa"/>
              <w:bottom w:w="95" w:type="dxa"/>
              <w:end w:w="100" w:type="dxa"/>
            </w:tcMar>
            <w:vAlign w:val="center"/>
          </w:tcPr>
          <w:p>
            <w:pPr>
              <w:jc w:val="left"/>
            </w:pPr>
            <w:r>
              <w:rPr>
                <w:rFonts w:ascii="Noto Serif" w:hAnsi="Noto Serif"/>
                <w:color w:val="1B2733"/>
                <w:sz w:val="16"/>
              </w:rPr>
              <w:t>QUIVER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INPUT</w:t>
            </w:r>
          </w:p>
        </w:tc>
        <w:tc>
          <w:tcPr>
            <w:tcW w:type="dxa" w:w="5400"/>
            <w:tcMar>
              <w:top w:w="95" w:type="dxa"/>
              <w:start w:w="100" w:type="dxa"/>
              <w:bottom w:w="95" w:type="dxa"/>
              <w:end w:w="100" w:type="dxa"/>
            </w:tcMar>
            <w:vAlign w:val="center"/>
          </w:tcPr>
          <w:p>
            <w:pPr>
              <w:jc w:val="left"/>
            </w:pPr>
            <w:r>
              <w:rPr>
                <w:rFonts w:ascii="Noto Serif" w:hAnsi="Noto Serif"/>
                <w:color w:val="1B2733"/>
                <w:sz w:val="16"/>
              </w:rPr>
              <w:t>Identify interaction input</w:t>
            </w:r>
          </w:p>
        </w:tc>
        <w:tc>
          <w:tcPr>
            <w:tcW w:type="dxa" w:w="2664"/>
            <w:tcMar>
              <w:top w:w="95" w:type="dxa"/>
              <w:start w:w="100" w:type="dxa"/>
              <w:bottom w:w="95" w:type="dxa"/>
              <w:end w:w="100" w:type="dxa"/>
            </w:tcMar>
            <w:vAlign w:val="center"/>
          </w:tcPr>
          <w:p>
            <w:pPr>
              <w:jc w:val="left"/>
            </w:pPr>
            <w:r>
              <w:rPr>
                <w:rFonts w:ascii="Noto Serif" w:hAnsi="Noto Serif"/>
                <w:color w:val="1B2733"/>
                <w:sz w:val="16"/>
              </w:rPr>
              <w:t>QUIVER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OUTPUT</w:t>
            </w:r>
          </w:p>
        </w:tc>
        <w:tc>
          <w:tcPr>
            <w:tcW w:type="dxa" w:w="5400"/>
            <w:tcMar>
              <w:top w:w="95" w:type="dxa"/>
              <w:start w:w="100" w:type="dxa"/>
              <w:bottom w:w="95" w:type="dxa"/>
              <w:end w:w="100" w:type="dxa"/>
            </w:tcMar>
            <w:vAlign w:val="center"/>
          </w:tcPr>
          <w:p>
            <w:pPr>
              <w:jc w:val="left"/>
            </w:pPr>
            <w:r>
              <w:rPr>
                <w:rFonts w:ascii="Noto Serif" w:hAnsi="Noto Serif"/>
                <w:color w:val="1B2733"/>
                <w:sz w:val="16"/>
              </w:rPr>
              <w:t>Identify interaction output</w:t>
            </w:r>
          </w:p>
        </w:tc>
        <w:tc>
          <w:tcPr>
            <w:tcW w:type="dxa" w:w="2664"/>
            <w:tcMar>
              <w:top w:w="95" w:type="dxa"/>
              <w:start w:w="100" w:type="dxa"/>
              <w:bottom w:w="95" w:type="dxa"/>
              <w:end w:w="100" w:type="dxa"/>
            </w:tcMar>
            <w:vAlign w:val="center"/>
          </w:tcPr>
          <w:p>
            <w:pPr>
              <w:jc w:val="left"/>
            </w:pPr>
            <w:r>
              <w:rPr>
                <w:rFonts w:ascii="Noto Serif" w:hAnsi="Noto Serif"/>
                <w:color w:val="1B2733"/>
                <w:sz w:val="16"/>
              </w:rPr>
              <w:t>QUIVER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REGISTER</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Registration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DRAGON</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DETERMINE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Determination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DRAGON</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MODEL</w:t>
            </w:r>
          </w:p>
        </w:tc>
        <w:tc>
          <w:tcPr>
            <w:tcW w:type="dxa" w:w="5400"/>
            <w:tcMar>
              <w:top w:w="95" w:type="dxa"/>
              <w:start w:w="100" w:type="dxa"/>
              <w:bottom w:w="95" w:type="dxa"/>
              <w:end w:w="100" w:type="dxa"/>
            </w:tcMar>
            <w:vAlign w:val="center"/>
          </w:tcPr>
          <w:p>
            <w:pPr>
              <w:jc w:val="left"/>
            </w:pPr>
            <w:r>
              <w:rPr>
                <w:rFonts w:ascii="Noto Serif" w:hAnsi="Noto Serif"/>
                <w:color w:val="1B2733"/>
                <w:sz w:val="16"/>
              </w:rPr>
              <w:t>Associate governed Model</w:t>
            </w:r>
          </w:p>
        </w:tc>
        <w:tc>
          <w:tcPr>
            <w:tcW w:type="dxa" w:w="2664"/>
            <w:tcMar>
              <w:top w:w="95" w:type="dxa"/>
              <w:start w:w="100" w:type="dxa"/>
              <w:bottom w:w="95" w:type="dxa"/>
              <w:end w:w="100" w:type="dxa"/>
            </w:tcMar>
            <w:vAlign w:val="center"/>
          </w:tcPr>
          <w:p>
            <w:pPr>
              <w:jc w:val="left"/>
            </w:pPr>
            <w:r>
              <w:rPr>
                <w:rFonts w:ascii="Noto Serif" w:hAnsi="Noto Serif"/>
                <w:color w:val="1B2733"/>
                <w:sz w:val="16"/>
              </w:rPr>
              <w:t>DRAGON</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OPERATION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Associate operation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DRAGON</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VALUE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value/state correction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DRAGON</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BINDING</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Reader binding</w:t>
            </w:r>
          </w:p>
        </w:tc>
        <w:tc>
          <w:tcPr>
            <w:tcW w:type="dxa" w:w="2664"/>
            <w:tcMar>
              <w:top w:w="95" w:type="dxa"/>
              <w:start w:w="100" w:type="dxa"/>
              <w:bottom w:w="95" w:type="dxa"/>
              <w:end w:w="100" w:type="dxa"/>
            </w:tcMar>
            <w:vAlign w:val="center"/>
          </w:tcPr>
          <w:p>
            <w:pPr>
              <w:jc w:val="left"/>
            </w:pPr>
            <w:r>
              <w:rPr>
                <w:rFonts w:ascii="Noto Serif" w:hAnsi="Noto Serif"/>
                <w:color w:val="1B2733"/>
                <w:sz w:val="16"/>
              </w:rPr>
              <w:t>READER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DECODE</w:t>
            </w:r>
          </w:p>
        </w:tc>
        <w:tc>
          <w:tcPr>
            <w:tcW w:type="dxa" w:w="5400"/>
            <w:tcMar>
              <w:top w:w="95" w:type="dxa"/>
              <w:start w:w="100" w:type="dxa"/>
              <w:bottom w:w="95" w:type="dxa"/>
              <w:end w:w="100" w:type="dxa"/>
            </w:tcMar>
            <w:vAlign w:val="center"/>
          </w:tcPr>
          <w:p>
            <w:pPr>
              <w:jc w:val="left"/>
            </w:pPr>
            <w:r>
              <w:rPr>
                <w:rFonts w:ascii="Noto Serif" w:hAnsi="Noto Serif"/>
                <w:color w:val="1B2733"/>
                <w:sz w:val="16"/>
              </w:rPr>
              <w:t>Request/test decode</w:t>
            </w:r>
          </w:p>
        </w:tc>
        <w:tc>
          <w:tcPr>
            <w:tcW w:type="dxa" w:w="2664"/>
            <w:tcMar>
              <w:top w:w="95" w:type="dxa"/>
              <w:start w:w="100" w:type="dxa"/>
              <w:bottom w:w="95" w:type="dxa"/>
              <w:end w:w="100" w:type="dxa"/>
            </w:tcMar>
            <w:vAlign w:val="center"/>
          </w:tcPr>
          <w:p>
            <w:pPr>
              <w:jc w:val="left"/>
            </w:pPr>
            <w:r>
              <w:rPr>
                <w:rFonts w:ascii="Noto Serif" w:hAnsi="Noto Serif"/>
                <w:color w:val="1B2733"/>
                <w:sz w:val="16"/>
              </w:rPr>
              <w:t>READER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VALIDATE</w:t>
            </w:r>
          </w:p>
        </w:tc>
        <w:tc>
          <w:tcPr>
            <w:tcW w:type="dxa" w:w="5400"/>
            <w:tcMar>
              <w:top w:w="95" w:type="dxa"/>
              <w:start w:w="100" w:type="dxa"/>
              <w:bottom w:w="95" w:type="dxa"/>
              <w:end w:w="100" w:type="dxa"/>
            </w:tcMar>
            <w:vAlign w:val="center"/>
          </w:tcPr>
          <w:p>
            <w:pPr>
              <w:jc w:val="left"/>
            </w:pPr>
            <w:r>
              <w:rPr>
                <w:rFonts w:ascii="Noto Serif" w:hAnsi="Noto Serif"/>
                <w:color w:val="1B2733"/>
                <w:sz w:val="16"/>
              </w:rPr>
              <w:t>Test Reader legality/semantics</w:t>
            </w:r>
          </w:p>
        </w:tc>
        <w:tc>
          <w:tcPr>
            <w:tcW w:type="dxa" w:w="2664"/>
            <w:tcMar>
              <w:top w:w="95" w:type="dxa"/>
              <w:start w:w="100" w:type="dxa"/>
              <w:bottom w:w="95" w:type="dxa"/>
              <w:end w:w="100" w:type="dxa"/>
            </w:tcMar>
            <w:vAlign w:val="center"/>
          </w:tcPr>
          <w:p>
            <w:pPr>
              <w:jc w:val="left"/>
            </w:pPr>
            <w:r>
              <w:rPr>
                <w:rFonts w:ascii="Noto Serif" w:hAnsi="Noto Serif"/>
                <w:color w:val="1B2733"/>
                <w:sz w:val="16"/>
              </w:rPr>
              <w:t>READER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WIDTH</w:t>
            </w:r>
          </w:p>
        </w:tc>
        <w:tc>
          <w:tcPr>
            <w:tcW w:type="dxa" w:w="5400"/>
            <w:tcMar>
              <w:top w:w="95" w:type="dxa"/>
              <w:start w:w="100" w:type="dxa"/>
              <w:bottom w:w="95" w:type="dxa"/>
              <w:end w:w="100" w:type="dxa"/>
            </w:tcMar>
            <w:vAlign w:val="center"/>
          </w:tcPr>
          <w:p>
            <w:pPr>
              <w:jc w:val="left"/>
            </w:pPr>
            <w:r>
              <w:rPr>
                <w:rFonts w:ascii="Noto Serif" w:hAnsi="Noto Serif"/>
                <w:color w:val="1B2733"/>
                <w:sz w:val="16"/>
              </w:rPr>
              <w:t>Flag width issue (candidate primitive)</w:t>
            </w:r>
          </w:p>
        </w:tc>
        <w:tc>
          <w:tcPr>
            <w:tcW w:type="dxa" w:w="2664"/>
            <w:tcMar>
              <w:top w:w="95" w:type="dxa"/>
              <w:start w:w="100" w:type="dxa"/>
              <w:bottom w:w="95" w:type="dxa"/>
              <w:end w:w="100" w:type="dxa"/>
            </w:tcMar>
            <w:vAlign w:val="center"/>
          </w:tcPr>
          <w:p>
            <w:pPr>
              <w:jc w:val="left"/>
            </w:pPr>
            <w:r>
              <w:rPr>
                <w:rFonts w:ascii="Noto Serif" w:hAnsi="Noto Serif"/>
                <w:color w:val="1B2733"/>
                <w:sz w:val="16"/>
              </w:rPr>
              <w:t>READER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VERSION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Flag version compatibility issue</w:t>
            </w:r>
          </w:p>
        </w:tc>
        <w:tc>
          <w:tcPr>
            <w:tcW w:type="dxa" w:w="2664"/>
            <w:tcMar>
              <w:top w:w="95" w:type="dxa"/>
              <w:start w:w="100" w:type="dxa"/>
              <w:bottom w:w="95" w:type="dxa"/>
              <w:end w:w="100" w:type="dxa"/>
            </w:tcMar>
            <w:vAlign w:val="center"/>
          </w:tcPr>
          <w:p>
            <w:pPr>
              <w:jc w:val="left"/>
            </w:pPr>
            <w:r>
              <w:rPr>
                <w:rFonts w:ascii="Noto Serif" w:hAnsi="Noto Serif"/>
                <w:color w:val="1B2733"/>
                <w:sz w:val="16"/>
              </w:rPr>
              <w:t>READER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INCLUDE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graph membership</w:t>
            </w:r>
          </w:p>
        </w:tc>
        <w:tc>
          <w:tcPr>
            <w:tcW w:type="dxa" w:w="2664"/>
            <w:tcMar>
              <w:top w:w="95" w:type="dxa"/>
              <w:start w:w="100" w:type="dxa"/>
              <w:bottom w:w="95" w:type="dxa"/>
              <w:end w:w="100" w:type="dxa"/>
            </w:tcMar>
            <w:vAlign w:val="center"/>
          </w:tcPr>
          <w:p>
            <w:pPr>
              <w:jc w:val="left"/>
            </w:pPr>
            <w:r>
              <w:rPr>
                <w:rFonts w:ascii="Noto Serif" w:hAnsi="Noto Serif"/>
                <w:color w:val="1B2733"/>
                <w:sz w:val="16"/>
              </w:rPr>
              <w:t>MIRROR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EXCLUDE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graph exclusion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MIRROR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EDGE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temporary graph relation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MIRROR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BOUNDARY</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graph limiter</w:t>
            </w:r>
          </w:p>
        </w:tc>
        <w:tc>
          <w:tcPr>
            <w:tcW w:type="dxa" w:w="2664"/>
            <w:tcMar>
              <w:top w:w="95" w:type="dxa"/>
              <w:start w:w="100" w:type="dxa"/>
              <w:bottom w:w="95" w:type="dxa"/>
              <w:end w:w="100" w:type="dxa"/>
            </w:tcMar>
            <w:vAlign w:val="center"/>
          </w:tcPr>
          <w:p>
            <w:pPr>
              <w:jc w:val="left"/>
            </w:pPr>
            <w:r>
              <w:rPr>
                <w:rFonts w:ascii="Noto Serif" w:hAnsi="Noto Serif"/>
                <w:color w:val="1B2733"/>
                <w:sz w:val="16"/>
              </w:rPr>
              <w:t>MIRROR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BRANCH</w:t>
            </w:r>
          </w:p>
        </w:tc>
        <w:tc>
          <w:tcPr>
            <w:tcW w:type="dxa" w:w="5400"/>
            <w:tcMar>
              <w:top w:w="95" w:type="dxa"/>
              <w:start w:w="100" w:type="dxa"/>
              <w:bottom w:w="95" w:type="dxa"/>
              <w:end w:w="100" w:type="dxa"/>
            </w:tcMar>
            <w:vAlign w:val="center"/>
          </w:tcPr>
          <w:p>
            <w:pPr>
              <w:jc w:val="left"/>
            </w:pPr>
            <w:r>
              <w:rPr>
                <w:rFonts w:ascii="Noto Serif" w:hAnsi="Noto Serif"/>
                <w:color w:val="1B2733"/>
                <w:sz w:val="16"/>
              </w:rPr>
              <w:t>Represent alternate graph interpretation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MIRROR</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ROUTE</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runtime/system route</w:t>
            </w:r>
          </w:p>
        </w:tc>
        <w:tc>
          <w:tcPr>
            <w:tcW w:type="dxa" w:w="2664"/>
            <w:tcMar>
              <w:top w:w="95" w:type="dxa"/>
              <w:start w:w="100" w:type="dxa"/>
              <w:bottom w:w="95" w:type="dxa"/>
              <w:end w:w="100" w:type="dxa"/>
            </w:tcMar>
            <w:vAlign w:val="center"/>
          </w:tcPr>
          <w:p>
            <w:pPr>
              <w:jc w:val="left"/>
            </w:pPr>
            <w:r>
              <w:rPr>
                <w:rFonts w:ascii="Noto Serif" w:hAnsi="Noto Serif"/>
                <w:color w:val="1B2733"/>
                <w:sz w:val="16"/>
              </w:rPr>
              <w:t>DARTBOARD</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FALLBACK</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Provide alternate runtime path</w:t>
            </w:r>
          </w:p>
        </w:tc>
        <w:tc>
          <w:tcPr>
            <w:tcW w:type="dxa" w:w="2664"/>
            <w:tcMar>
              <w:top w:w="95" w:type="dxa"/>
              <w:start w:w="100" w:type="dxa"/>
              <w:bottom w:w="95" w:type="dxa"/>
              <w:end w:w="100" w:type="dxa"/>
            </w:tcMar>
            <w:vAlign w:val="center"/>
          </w:tcPr>
          <w:p>
            <w:pPr>
              <w:jc w:val="left"/>
            </w:pPr>
            <w:r>
              <w:rPr>
                <w:rFonts w:ascii="Noto Serif" w:hAnsi="Noto Serif"/>
                <w:color w:val="1B2733"/>
                <w:sz w:val="16"/>
              </w:rPr>
              <w:t>DARTBOARD</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REDIRECT</w:t>
            </w:r>
          </w:p>
        </w:tc>
        <w:tc>
          <w:tcPr>
            <w:tcW w:type="dxa" w:w="5400"/>
            <w:tcMar>
              <w:top w:w="95" w:type="dxa"/>
              <w:start w:w="100" w:type="dxa"/>
              <w:bottom w:w="95" w:type="dxa"/>
              <w:end w:w="100" w:type="dxa"/>
            </w:tcMar>
            <w:vAlign w:val="center"/>
          </w:tcPr>
          <w:p>
            <w:pPr>
              <w:jc w:val="left"/>
            </w:pPr>
            <w:r>
              <w:rPr>
                <w:rFonts w:ascii="Noto Serif" w:hAnsi="Noto Serif"/>
                <w:color w:val="1B2733"/>
                <w:sz w:val="16"/>
              </w:rPr>
              <w:t>Point runtime work elsewhere</w:t>
            </w:r>
          </w:p>
        </w:tc>
        <w:tc>
          <w:tcPr>
            <w:tcW w:type="dxa" w:w="2664"/>
            <w:tcMar>
              <w:top w:w="95" w:type="dxa"/>
              <w:start w:w="100" w:type="dxa"/>
              <w:bottom w:w="95" w:type="dxa"/>
              <w:end w:w="100" w:type="dxa"/>
            </w:tcMar>
            <w:vAlign w:val="center"/>
          </w:tcPr>
          <w:p>
            <w:pPr>
              <w:jc w:val="left"/>
            </w:pPr>
            <w:r>
              <w:rPr>
                <w:rFonts w:ascii="Noto Serif" w:hAnsi="Noto Serif"/>
                <w:color w:val="1B2733"/>
                <w:sz w:val="16"/>
              </w:rPr>
              <w:t>DARTBOARD</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RESOLVE</w:t>
            </w:r>
          </w:p>
        </w:tc>
        <w:tc>
          <w:tcPr>
            <w:tcW w:type="dxa" w:w="5400"/>
            <w:tcMar>
              <w:top w:w="95" w:type="dxa"/>
              <w:start w:w="100" w:type="dxa"/>
              <w:bottom w:w="95" w:type="dxa"/>
              <w:end w:w="100" w:type="dxa"/>
            </w:tcMar>
            <w:vAlign w:val="center"/>
          </w:tcPr>
          <w:p>
            <w:pPr>
              <w:jc w:val="left"/>
            </w:pPr>
            <w:r>
              <w:rPr>
                <w:rFonts w:ascii="Noto Serif" w:hAnsi="Noto Serif"/>
                <w:color w:val="1B2733"/>
                <w:sz w:val="16"/>
              </w:rPr>
              <w:t>Request/record runtime resolution</w:t>
            </w:r>
          </w:p>
        </w:tc>
        <w:tc>
          <w:tcPr>
            <w:tcW w:type="dxa" w:w="2664"/>
            <w:tcMar>
              <w:top w:w="95" w:type="dxa"/>
              <w:start w:w="100" w:type="dxa"/>
              <w:bottom w:w="95" w:type="dxa"/>
              <w:end w:w="100" w:type="dxa"/>
            </w:tcMar>
            <w:vAlign w:val="center"/>
          </w:tcPr>
          <w:p>
            <w:pPr>
              <w:jc w:val="left"/>
            </w:pPr>
            <w:r>
              <w:rPr>
                <w:rFonts w:ascii="Noto Serif" w:hAnsi="Noto Serif"/>
                <w:color w:val="1B2733"/>
                <w:sz w:val="16"/>
              </w:rPr>
              <w:t>DARTBOARD</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SEQUENCE</w:t>
            </w:r>
          </w:p>
        </w:tc>
        <w:tc>
          <w:tcPr>
            <w:tcW w:type="dxa" w:w="5400"/>
            <w:tcMar>
              <w:top w:w="95" w:type="dxa"/>
              <w:start w:w="100" w:type="dxa"/>
              <w:bottom w:w="95" w:type="dxa"/>
              <w:end w:w="100" w:type="dxa"/>
            </w:tcMar>
            <w:vAlign w:val="center"/>
          </w:tcPr>
          <w:p>
            <w:pPr>
              <w:jc w:val="left"/>
            </w:pPr>
            <w:r>
              <w:rPr>
                <w:rFonts w:ascii="Noto Serif" w:hAnsi="Noto Serif"/>
                <w:color w:val="1B2733"/>
                <w:sz w:val="16"/>
              </w:rPr>
              <w:t>Change instructional order</w:t>
            </w:r>
          </w:p>
        </w:tc>
        <w:tc>
          <w:tcPr>
            <w:tcW w:type="dxa" w:w="2664"/>
            <w:tcMar>
              <w:top w:w="95" w:type="dxa"/>
              <w:start w:w="100" w:type="dxa"/>
              <w:bottom w:w="95" w:type="dxa"/>
              <w:end w:w="100" w:type="dxa"/>
            </w:tcMar>
            <w:vAlign w:val="center"/>
          </w:tcPr>
          <w:p>
            <w:pPr>
              <w:jc w:val="left"/>
            </w:pPr>
            <w:r>
              <w:rPr>
                <w:rFonts w:ascii="Noto Serif" w:hAnsi="Noto Serif"/>
                <w:color w:val="1B2733"/>
                <w:sz w:val="16"/>
              </w:rPr>
              <w:t>BOOTSTRAP</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RESOURCE</w:t>
            </w:r>
          </w:p>
        </w:tc>
        <w:tc>
          <w:tcPr>
            <w:tcW w:type="dxa" w:w="5400"/>
            <w:tcMar>
              <w:top w:w="95" w:type="dxa"/>
              <w:start w:w="100" w:type="dxa"/>
              <w:bottom w:w="95" w:type="dxa"/>
              <w:end w:w="100" w:type="dxa"/>
            </w:tcMar>
            <w:vAlign w:val="center"/>
          </w:tcPr>
          <w:p>
            <w:pPr>
              <w:jc w:val="left"/>
            </w:pPr>
            <w:r>
              <w:rPr>
                <w:rFonts w:ascii="Noto Serif" w:hAnsi="Noto Serif"/>
                <w:color w:val="1B2733"/>
                <w:sz w:val="16"/>
              </w:rPr>
              <w:t>Add/change learning resource</w:t>
            </w:r>
          </w:p>
        </w:tc>
        <w:tc>
          <w:tcPr>
            <w:tcW w:type="dxa" w:w="2664"/>
            <w:tcMar>
              <w:top w:w="95" w:type="dxa"/>
              <w:start w:w="100" w:type="dxa"/>
              <w:bottom w:w="95" w:type="dxa"/>
              <w:end w:w="100" w:type="dxa"/>
            </w:tcMar>
            <w:vAlign w:val="center"/>
          </w:tcPr>
          <w:p>
            <w:pPr>
              <w:jc w:val="left"/>
            </w:pPr>
            <w:r>
              <w:rPr>
                <w:rFonts w:ascii="Noto Serif" w:hAnsi="Noto Serif"/>
                <w:color w:val="1B2733"/>
                <w:sz w:val="16"/>
              </w:rPr>
              <w:t>BOOTSTRAP</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INSTRUCTION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Propose instructional change</w:t>
            </w:r>
          </w:p>
        </w:tc>
        <w:tc>
          <w:tcPr>
            <w:tcW w:type="dxa" w:w="2664"/>
            <w:tcMar>
              <w:top w:w="95" w:type="dxa"/>
              <w:start w:w="100" w:type="dxa"/>
              <w:bottom w:w="95" w:type="dxa"/>
              <w:end w:w="100" w:type="dxa"/>
            </w:tcMar>
            <w:vAlign w:val="center"/>
          </w:tcPr>
          <w:p>
            <w:pPr>
              <w:jc w:val="left"/>
            </w:pPr>
            <w:r>
              <w:rPr>
                <w:rFonts w:ascii="Noto Serif" w:hAnsi="Noto Serif"/>
                <w:color w:val="1B2733"/>
                <w:sz w:val="16"/>
              </w:rPr>
              <w:t>BOOTSTRAP</w:t>
            </w:r>
          </w:p>
        </w:tc>
      </w:tr>
      <w:tr>
        <w:tc>
          <w:tcPr>
            <w:tcW w:type="dxa" w:w="1728"/>
            <w:tcMar>
              <w:top w:w="95" w:type="dxa"/>
              <w:start w:w="100" w:type="dxa"/>
              <w:bottom w:w="95" w:type="dxa"/>
              <w:end w:w="100" w:type="dxa"/>
            </w:tcMar>
            <w:vAlign w:val="center"/>
          </w:tcPr>
          <w:p>
            <w:pPr>
              <w:jc w:val="center"/>
            </w:pPr>
            <w:r>
              <w:rPr>
                <w:rFonts w:ascii="Noto Serif" w:hAnsi="Noto Serif"/>
                <w:color w:val="1B2733"/>
                <w:sz w:val="16"/>
              </w:rPr>
              <w:t>NAVIGATION</w:t>
            </w:r>
          </w:p>
        </w:tc>
        <w:tc>
          <w:tcPr>
            <w:tcW w:type="dxa" w:w="5400"/>
            <w:tcMar>
              <w:top w:w="95" w:type="dxa"/>
              <w:start w:w="100" w:type="dxa"/>
              <w:bottom w:w="95" w:type="dxa"/>
              <w:end w:w="100" w:type="dxa"/>
            </w:tcMar>
            <w:vAlign w:val="center"/>
          </w:tcPr>
          <w:p>
            <w:pPr>
              <w:jc w:val="left"/>
            </w:pPr>
            <w:r>
              <w:rPr>
                <w:rFonts w:ascii="Noto Serif" w:hAnsi="Noto Serif"/>
                <w:color w:val="1B2733"/>
                <w:sz w:val="16"/>
              </w:rPr>
              <w:t>Change learning path or link</w:t>
            </w:r>
          </w:p>
        </w:tc>
        <w:tc>
          <w:tcPr>
            <w:tcW w:type="dxa" w:w="2664"/>
            <w:tcMar>
              <w:top w:w="95" w:type="dxa"/>
              <w:start w:w="100" w:type="dxa"/>
              <w:bottom w:w="95" w:type="dxa"/>
              <w:end w:w="100" w:type="dxa"/>
            </w:tcMar>
            <w:vAlign w:val="center"/>
          </w:tcPr>
          <w:p>
            <w:pPr>
              <w:jc w:val="left"/>
            </w:pPr>
            <w:r>
              <w:rPr>
                <w:rFonts w:ascii="Noto Serif" w:hAnsi="Noto Serif"/>
                <w:color w:val="1B2733"/>
                <w:sz w:val="16"/>
              </w:rPr>
              <w:t>BOOTSTRAP</w:t>
            </w:r>
          </w:p>
        </w:tc>
      </w:tr>
    </w:tbl>
    <w:p>
      <w:pPr>
        <w:spacing w:after="20"/>
      </w:pP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NORMATIVE RULES</w:t>
            </w:r>
          </w:p>
          <w:p>
            <w:pPr>
              <w:spacing w:after="0"/>
            </w:pPr>
            <w:r>
              <w:rPr>
                <w:rFonts w:ascii="Noto Serif" w:hAnsi="Noto Serif"/>
                <w:color w:val="1B2733"/>
                <w:sz w:val="20"/>
              </w:rPr>
              <w:t>PATCH safety depends more on dependency direction and authority separation than on preventing temporary mistakes.</w:t>
            </w:r>
          </w:p>
        </w:tc>
      </w:tr>
    </w:tbl>
    <w:p>
      <w:pPr>
        <w:spacing w:after="20"/>
      </w:pPr>
    </w:p>
    <w:p>
      <w:pPr>
        <w:pStyle w:val="Heading1"/>
        <w:keepNext/>
      </w:pPr>
      <w:r>
        <w:t>12. Normative rules and conformance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080"/>
            <w:shd w:fill="17344B"/>
            <w:tcMar>
              <w:top w:w="120" w:type="dxa"/>
              <w:start w:w="100" w:type="dxa"/>
              <w:bottom w:w="120" w:type="dxa"/>
              <w:end w:w="100" w:type="dxa"/>
            </w:tcMar>
            <w:vAlign w:val="center"/>
          </w:tcPr>
          <w:p>
            <w:pPr>
              <w:jc w:val="center"/>
            </w:pPr>
            <w:r>
              <w:rPr>
                <w:rFonts w:ascii="Noto Sans" w:hAnsi="Noto Sans"/>
                <w:b/>
                <w:color w:val="FFFFFF"/>
                <w:sz w:val="17"/>
              </w:rPr>
              <w:t>Rule</w:t>
            </w:r>
          </w:p>
        </w:tc>
        <w:tc>
          <w:tcPr>
            <w:tcW w:type="dxa" w:w="2088"/>
            <w:shd w:fill="17344B"/>
            <w:tcMar>
              <w:top w:w="120" w:type="dxa"/>
              <w:start w:w="100" w:type="dxa"/>
              <w:bottom w:w="120" w:type="dxa"/>
              <w:end w:w="100" w:type="dxa"/>
            </w:tcMar>
            <w:vAlign w:val="center"/>
          </w:tcPr>
          <w:p>
            <w:pPr>
              <w:jc w:val="center"/>
            </w:pPr>
            <w:r>
              <w:rPr>
                <w:rFonts w:ascii="Noto Sans" w:hAnsi="Noto Sans"/>
                <w:b/>
                <w:color w:val="FFFFFF"/>
                <w:sz w:val="17"/>
              </w:rPr>
              <w:t>Name</w:t>
            </w:r>
          </w:p>
        </w:tc>
        <w:tc>
          <w:tcPr>
            <w:tcW w:type="dxa" w:w="6623"/>
            <w:shd w:fill="17344B"/>
            <w:tcMar>
              <w:top w:w="120" w:type="dxa"/>
              <w:start w:w="100" w:type="dxa"/>
              <w:bottom w:w="120" w:type="dxa"/>
              <w:end w:w="100" w:type="dxa"/>
            </w:tcMar>
            <w:vAlign w:val="center"/>
          </w:tcPr>
          <w:p>
            <w:pPr>
              <w:jc w:val="center"/>
            </w:pPr>
            <w:r>
              <w:rPr>
                <w:rFonts w:ascii="Noto Sans" w:hAnsi="Noto Sans"/>
                <w:b/>
                <w:color w:val="FFFFFF"/>
                <w:sz w:val="17"/>
              </w:rPr>
              <w:t>Requirement</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P-R01</w:t>
            </w:r>
          </w:p>
        </w:tc>
        <w:tc>
          <w:tcPr>
            <w:tcW w:type="dxa" w:w="2088"/>
            <w:tcMar>
              <w:top w:w="95" w:type="dxa"/>
              <w:start w:w="100" w:type="dxa"/>
              <w:bottom w:w="95" w:type="dxa"/>
              <w:end w:w="100" w:type="dxa"/>
            </w:tcMar>
            <w:vAlign w:val="center"/>
          </w:tcPr>
          <w:p>
            <w:pPr>
              <w:jc w:val="left"/>
            </w:pPr>
            <w:r>
              <w:rPr>
                <w:rFonts w:ascii="Noto Serif" w:hAnsi="Noto Serif"/>
                <w:color w:val="1B2733"/>
                <w:sz w:val="17"/>
              </w:rPr>
              <w:t>Non-Authority</w:t>
            </w:r>
          </w:p>
        </w:tc>
        <w:tc>
          <w:tcPr>
            <w:tcW w:type="dxa" w:w="6623"/>
            <w:tcMar>
              <w:top w:w="95" w:type="dxa"/>
              <w:start w:w="100" w:type="dxa"/>
              <w:bottom w:w="95" w:type="dxa"/>
              <w:end w:w="100" w:type="dxa"/>
            </w:tcMar>
            <w:vAlign w:val="center"/>
          </w:tcPr>
          <w:p>
            <w:pPr>
              <w:jc w:val="left"/>
            </w:pPr>
            <w:r>
              <w:rPr>
                <w:rFonts w:ascii="Noto Serif" w:hAnsi="Noto Serif"/>
                <w:color w:val="1B2733"/>
                <w:sz w:val="17"/>
              </w:rPr>
              <w:t>A PATCH SHALL NOT become canonical authority merely by existing.</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P-R02</w:t>
            </w:r>
          </w:p>
        </w:tc>
        <w:tc>
          <w:tcPr>
            <w:tcW w:type="dxa" w:w="2088"/>
            <w:tcMar>
              <w:top w:w="95" w:type="dxa"/>
              <w:start w:w="100" w:type="dxa"/>
              <w:bottom w:w="95" w:type="dxa"/>
              <w:end w:w="100" w:type="dxa"/>
            </w:tcMar>
            <w:vAlign w:val="center"/>
          </w:tcPr>
          <w:p>
            <w:pPr>
              <w:jc w:val="left"/>
            </w:pPr>
            <w:r>
              <w:rPr>
                <w:rFonts w:ascii="Noto Serif" w:hAnsi="Noto Serif"/>
                <w:color w:val="1B2733"/>
                <w:sz w:val="17"/>
              </w:rPr>
              <w:t>Deletion Safety</w:t>
            </w:r>
          </w:p>
        </w:tc>
        <w:tc>
          <w:tcPr>
            <w:tcW w:type="dxa" w:w="6623"/>
            <w:tcMar>
              <w:top w:w="95" w:type="dxa"/>
              <w:start w:w="100" w:type="dxa"/>
              <w:bottom w:w="95" w:type="dxa"/>
              <w:end w:w="100" w:type="dxa"/>
            </w:tcMar>
            <w:vAlign w:val="center"/>
          </w:tcPr>
          <w:p>
            <w:pPr>
              <w:jc w:val="left"/>
            </w:pPr>
            <w:r>
              <w:rPr>
                <w:rFonts w:ascii="Noto Serif" w:hAnsi="Noto Serif"/>
                <w:color w:val="1B2733"/>
                <w:sz w:val="17"/>
              </w:rPr>
              <w:t>Removal of PATCH state SHALL NOT alter canonical Base state.</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P-R03</w:t>
            </w:r>
          </w:p>
        </w:tc>
        <w:tc>
          <w:tcPr>
            <w:tcW w:type="dxa" w:w="2088"/>
            <w:tcMar>
              <w:top w:w="95" w:type="dxa"/>
              <w:start w:w="100" w:type="dxa"/>
              <w:bottom w:w="95" w:type="dxa"/>
              <w:end w:w="100" w:type="dxa"/>
            </w:tcMar>
            <w:vAlign w:val="center"/>
          </w:tcPr>
          <w:p>
            <w:pPr>
              <w:jc w:val="left"/>
            </w:pPr>
            <w:r>
              <w:rPr>
                <w:rFonts w:ascii="Noto Serif" w:hAnsi="Noto Serif"/>
                <w:color w:val="1B2733"/>
                <w:sz w:val="17"/>
              </w:rPr>
              <w:t>Temporary Dependency</w:t>
            </w:r>
          </w:p>
        </w:tc>
        <w:tc>
          <w:tcPr>
            <w:tcW w:type="dxa" w:w="6623"/>
            <w:tcMar>
              <w:top w:w="95" w:type="dxa"/>
              <w:start w:w="100" w:type="dxa"/>
              <w:bottom w:w="95" w:type="dxa"/>
              <w:end w:w="100" w:type="dxa"/>
            </w:tcMar>
            <w:vAlign w:val="center"/>
          </w:tcPr>
          <w:p>
            <w:pPr>
              <w:jc w:val="left"/>
            </w:pPr>
            <w:r>
              <w:rPr>
                <w:rFonts w:ascii="Noto Serif" w:hAnsi="Noto Serif"/>
                <w:color w:val="1B2733"/>
                <w:sz w:val="17"/>
              </w:rPr>
              <w:t>PATCH structures MAY depend on other PATCH structures; canonical structures SHALL NOT depend on PATCH structures.</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P-R04</w:t>
            </w:r>
          </w:p>
        </w:tc>
        <w:tc>
          <w:tcPr>
            <w:tcW w:type="dxa" w:w="2088"/>
            <w:tcMar>
              <w:top w:w="95" w:type="dxa"/>
              <w:start w:w="100" w:type="dxa"/>
              <w:bottom w:w="95" w:type="dxa"/>
              <w:end w:w="100" w:type="dxa"/>
            </w:tcMar>
            <w:vAlign w:val="center"/>
          </w:tcPr>
          <w:p>
            <w:pPr>
              <w:jc w:val="left"/>
            </w:pPr>
            <w:r>
              <w:rPr>
                <w:rFonts w:ascii="Noto Serif" w:hAnsi="Noto Serif"/>
                <w:color w:val="1B2733"/>
                <w:sz w:val="17"/>
              </w:rPr>
              <w:t>Atomic Meaning</w:t>
            </w:r>
          </w:p>
        </w:tc>
        <w:tc>
          <w:tcPr>
            <w:tcW w:type="dxa" w:w="6623"/>
            <w:tcMar>
              <w:top w:w="95" w:type="dxa"/>
              <w:start w:w="100" w:type="dxa"/>
              <w:bottom w:w="95" w:type="dxa"/>
              <w:end w:w="100" w:type="dxa"/>
            </w:tcMar>
            <w:vAlign w:val="center"/>
          </w:tcPr>
          <w:p>
            <w:pPr>
              <w:jc w:val="left"/>
            </w:pPr>
            <w:r>
              <w:rPr>
                <w:rFonts w:ascii="Noto Serif" w:hAnsi="Noto Serif"/>
                <w:color w:val="1B2733"/>
                <w:sz w:val="17"/>
              </w:rPr>
              <w:t>A P1 SHOULD express one temporary operational meaning.</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P-R05</w:t>
            </w:r>
          </w:p>
        </w:tc>
        <w:tc>
          <w:tcPr>
            <w:tcW w:type="dxa" w:w="2088"/>
            <w:tcMar>
              <w:top w:w="95" w:type="dxa"/>
              <w:start w:w="100" w:type="dxa"/>
              <w:bottom w:w="95" w:type="dxa"/>
              <w:end w:w="100" w:type="dxa"/>
            </w:tcMar>
            <w:vAlign w:val="center"/>
          </w:tcPr>
          <w:p>
            <w:pPr>
              <w:jc w:val="left"/>
            </w:pPr>
            <w:r>
              <w:rPr>
                <w:rFonts w:ascii="Noto Serif" w:hAnsi="Noto Serif"/>
                <w:color w:val="1B2733"/>
                <w:sz w:val="17"/>
              </w:rPr>
              <w:t>Composition</w:t>
            </w:r>
          </w:p>
        </w:tc>
        <w:tc>
          <w:tcPr>
            <w:tcW w:type="dxa" w:w="6623"/>
            <w:tcMar>
              <w:top w:w="95" w:type="dxa"/>
              <w:start w:w="100" w:type="dxa"/>
              <w:bottom w:w="95" w:type="dxa"/>
              <w:end w:w="100" w:type="dxa"/>
            </w:tcMar>
            <w:vAlign w:val="center"/>
          </w:tcPr>
          <w:p>
            <w:pPr>
              <w:jc w:val="left"/>
            </w:pPr>
            <w:r>
              <w:rPr>
                <w:rFonts w:ascii="Noto Serif" w:hAnsi="Noto Serif"/>
                <w:color w:val="1B2733"/>
                <w:sz w:val="17"/>
              </w:rPr>
              <w:t>P2 and P3 SHALL be compositions of P1 semantics rather than independent semantic primitives.</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P-R06</w:t>
            </w:r>
          </w:p>
        </w:tc>
        <w:tc>
          <w:tcPr>
            <w:tcW w:type="dxa" w:w="2088"/>
            <w:tcMar>
              <w:top w:w="95" w:type="dxa"/>
              <w:start w:w="100" w:type="dxa"/>
              <w:bottom w:w="95" w:type="dxa"/>
              <w:end w:w="100" w:type="dxa"/>
            </w:tcMar>
            <w:vAlign w:val="center"/>
          </w:tcPr>
          <w:p>
            <w:pPr>
              <w:jc w:val="left"/>
            </w:pPr>
            <w:r>
              <w:rPr>
                <w:rFonts w:ascii="Noto Serif" w:hAnsi="Noto Serif"/>
                <w:color w:val="1B2733"/>
                <w:sz w:val="17"/>
              </w:rPr>
              <w:t>Habitat Bounding</w:t>
            </w:r>
          </w:p>
        </w:tc>
        <w:tc>
          <w:tcPr>
            <w:tcW w:type="dxa" w:w="6623"/>
            <w:tcMar>
              <w:top w:w="95" w:type="dxa"/>
              <w:start w:w="100" w:type="dxa"/>
              <w:bottom w:w="95" w:type="dxa"/>
              <w:end w:w="100" w:type="dxa"/>
            </w:tcMar>
            <w:vAlign w:val="center"/>
          </w:tcPr>
          <w:p>
            <w:pPr>
              <w:jc w:val="left"/>
            </w:pPr>
            <w:r>
              <w:rPr>
                <w:rFonts w:ascii="Noto Serif" w:hAnsi="Noto Serif"/>
                <w:color w:val="1B2733"/>
                <w:sz w:val="17"/>
              </w:rPr>
              <w:t>Available PATCH operations SHOULD be constrained by the semantic Habitat of the current context.</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P-R07</w:t>
            </w:r>
          </w:p>
        </w:tc>
        <w:tc>
          <w:tcPr>
            <w:tcW w:type="dxa" w:w="2088"/>
            <w:tcMar>
              <w:top w:w="95" w:type="dxa"/>
              <w:start w:w="100" w:type="dxa"/>
              <w:bottom w:w="95" w:type="dxa"/>
              <w:end w:w="100" w:type="dxa"/>
            </w:tcMar>
            <w:vAlign w:val="center"/>
          </w:tcPr>
          <w:p>
            <w:pPr>
              <w:jc w:val="left"/>
            </w:pPr>
            <w:r>
              <w:rPr>
                <w:rFonts w:ascii="Noto Serif" w:hAnsi="Noto Serif"/>
                <w:color w:val="1B2733"/>
                <w:sz w:val="17"/>
              </w:rPr>
              <w:t>Intent Resolution</w:t>
            </w:r>
          </w:p>
        </w:tc>
        <w:tc>
          <w:tcPr>
            <w:tcW w:type="dxa" w:w="6623"/>
            <w:tcMar>
              <w:top w:w="95" w:type="dxa"/>
              <w:start w:w="100" w:type="dxa"/>
              <w:bottom w:w="95" w:type="dxa"/>
              <w:end w:w="100" w:type="dxa"/>
            </w:tcMar>
            <w:vAlign w:val="center"/>
          </w:tcPr>
          <w:p>
            <w:pPr>
              <w:jc w:val="left"/>
            </w:pPr>
            <w:r>
              <w:rPr>
                <w:rFonts w:ascii="Noto Serif" w:hAnsi="Noto Serif"/>
                <w:color w:val="1B2733"/>
                <w:sz w:val="17"/>
              </w:rPr>
              <w:t>PATCH selection SHOULD match available context against declared operational intent.</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P-R08</w:t>
            </w:r>
          </w:p>
        </w:tc>
        <w:tc>
          <w:tcPr>
            <w:tcW w:type="dxa" w:w="2088"/>
            <w:tcMar>
              <w:top w:w="95" w:type="dxa"/>
              <w:start w:w="100" w:type="dxa"/>
              <w:bottom w:w="95" w:type="dxa"/>
              <w:end w:w="100" w:type="dxa"/>
            </w:tcMar>
            <w:vAlign w:val="center"/>
          </w:tcPr>
          <w:p>
            <w:pPr>
              <w:jc w:val="left"/>
            </w:pPr>
            <w:r>
              <w:rPr>
                <w:rFonts w:ascii="Noto Serif" w:hAnsi="Noto Serif"/>
                <w:color w:val="1B2733"/>
                <w:sz w:val="17"/>
              </w:rPr>
              <w:t>Operator Reuse</w:t>
            </w:r>
          </w:p>
        </w:tc>
        <w:tc>
          <w:tcPr>
            <w:tcW w:type="dxa" w:w="6623"/>
            <w:tcMar>
              <w:top w:w="95" w:type="dxa"/>
              <w:start w:w="100" w:type="dxa"/>
              <w:bottom w:w="95" w:type="dxa"/>
              <w:end w:w="100" w:type="dxa"/>
            </w:tcMar>
            <w:vAlign w:val="center"/>
          </w:tcPr>
          <w:p>
            <w:pPr>
              <w:jc w:val="left"/>
            </w:pPr>
            <w:r>
              <w:rPr>
                <w:rFonts w:ascii="Noto Serif" w:hAnsi="Noto Serif"/>
                <w:color w:val="1B2733"/>
                <w:sz w:val="17"/>
              </w:rPr>
              <w:t>PATCH MAY temporarily invoke governed BOSS Structural Operators without promoting the temporary relation to canonical status.</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P-R09</w:t>
            </w:r>
          </w:p>
        </w:tc>
        <w:tc>
          <w:tcPr>
            <w:tcW w:type="dxa" w:w="2088"/>
            <w:tcMar>
              <w:top w:w="95" w:type="dxa"/>
              <w:start w:w="100" w:type="dxa"/>
              <w:bottom w:w="95" w:type="dxa"/>
              <w:end w:w="100" w:type="dxa"/>
            </w:tcMar>
            <w:vAlign w:val="center"/>
          </w:tcPr>
          <w:p>
            <w:pPr>
              <w:jc w:val="left"/>
            </w:pPr>
            <w:r>
              <w:rPr>
                <w:rFonts w:ascii="Noto Serif" w:hAnsi="Noto Serif"/>
                <w:color w:val="1B2733"/>
                <w:sz w:val="17"/>
              </w:rPr>
              <w:t>Human Separation</w:t>
            </w:r>
          </w:p>
        </w:tc>
        <w:tc>
          <w:tcPr>
            <w:tcW w:type="dxa" w:w="6623"/>
            <w:tcMar>
              <w:top w:w="95" w:type="dxa"/>
              <w:start w:w="100" w:type="dxa"/>
              <w:bottom w:w="95" w:type="dxa"/>
              <w:end w:w="100" w:type="dxa"/>
            </w:tcMar>
            <w:vAlign w:val="center"/>
          </w:tcPr>
          <w:p>
            <w:pPr>
              <w:jc w:val="left"/>
            </w:pPr>
            <w:r>
              <w:rPr>
                <w:rFonts w:ascii="Noto Serif" w:hAnsi="Noto Serif"/>
                <w:color w:val="1B2733"/>
                <w:sz w:val="17"/>
              </w:rPr>
              <w:t>Writing a PATCH proposal SHALL remain distinct from committing the proposed canonical mutation.</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P-R10</w:t>
            </w:r>
          </w:p>
        </w:tc>
        <w:tc>
          <w:tcPr>
            <w:tcW w:type="dxa" w:w="2088"/>
            <w:tcMar>
              <w:top w:w="95" w:type="dxa"/>
              <w:start w:w="100" w:type="dxa"/>
              <w:bottom w:w="95" w:type="dxa"/>
              <w:end w:w="100" w:type="dxa"/>
            </w:tcMar>
            <w:vAlign w:val="center"/>
          </w:tcPr>
          <w:p>
            <w:pPr>
              <w:jc w:val="left"/>
            </w:pPr>
            <w:r>
              <w:rPr>
                <w:rFonts w:ascii="Noto Serif" w:hAnsi="Noto Serif"/>
                <w:color w:val="1B2733"/>
                <w:sz w:val="17"/>
              </w:rPr>
              <w:t>Purgeability</w:t>
            </w:r>
          </w:p>
        </w:tc>
        <w:tc>
          <w:tcPr>
            <w:tcW w:type="dxa" w:w="6623"/>
            <w:tcMar>
              <w:top w:w="95" w:type="dxa"/>
              <w:start w:w="100" w:type="dxa"/>
              <w:bottom w:w="95" w:type="dxa"/>
              <w:end w:w="100" w:type="dxa"/>
            </w:tcMar>
            <w:vAlign w:val="center"/>
          </w:tcPr>
          <w:p>
            <w:pPr>
              <w:jc w:val="left"/>
            </w:pPr>
            <w:r>
              <w:rPr>
                <w:rFonts w:ascii="Noto Serif" w:hAnsi="Noto Serif"/>
                <w:color w:val="1B2733"/>
                <w:sz w:val="17"/>
              </w:rPr>
              <w:t>Completed, rejected, abandoned, or unnecessary PATCH scaffolding MAY be removed without architectural consequence.</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P-R11</w:t>
            </w:r>
          </w:p>
        </w:tc>
        <w:tc>
          <w:tcPr>
            <w:tcW w:type="dxa" w:w="2088"/>
            <w:tcMar>
              <w:top w:w="95" w:type="dxa"/>
              <w:start w:w="100" w:type="dxa"/>
              <w:bottom w:w="95" w:type="dxa"/>
              <w:end w:w="100" w:type="dxa"/>
            </w:tcMar>
            <w:vAlign w:val="center"/>
          </w:tcPr>
          <w:p>
            <w:pPr>
              <w:jc w:val="left"/>
            </w:pPr>
            <w:r>
              <w:rPr>
                <w:rFonts w:ascii="Noto Serif" w:hAnsi="Noto Serif"/>
                <w:color w:val="1B2733"/>
                <w:sz w:val="17"/>
              </w:rPr>
              <w:t>Explicit Boundaries</w:t>
            </w:r>
          </w:p>
        </w:tc>
        <w:tc>
          <w:tcPr>
            <w:tcW w:type="dxa" w:w="6623"/>
            <w:tcMar>
              <w:top w:w="95" w:type="dxa"/>
              <w:start w:w="100" w:type="dxa"/>
              <w:bottom w:w="95" w:type="dxa"/>
              <w:end w:w="100" w:type="dxa"/>
            </w:tcMar>
            <w:vAlign w:val="center"/>
          </w:tcPr>
          <w:p>
            <w:pPr>
              <w:jc w:val="left"/>
            </w:pPr>
            <w:r>
              <w:rPr>
                <w:rFonts w:ascii="Noto Serif" w:hAnsi="Noto Serif"/>
                <w:color w:val="1B2733"/>
                <w:sz w:val="17"/>
              </w:rPr>
              <w:t>P2/P3 notation SHOULD make temporary composition mechanically recoverable.</w:t>
            </w:r>
          </w:p>
        </w:tc>
      </w:tr>
      <w:tr>
        <w:tc>
          <w:tcPr>
            <w:tcW w:type="dxa" w:w="1080"/>
            <w:tcMar>
              <w:top w:w="95" w:type="dxa"/>
              <w:start w:w="100" w:type="dxa"/>
              <w:bottom w:w="95" w:type="dxa"/>
              <w:end w:w="100" w:type="dxa"/>
            </w:tcMar>
            <w:vAlign w:val="center"/>
          </w:tcPr>
          <w:p>
            <w:pPr>
              <w:jc w:val="center"/>
            </w:pPr>
            <w:r>
              <w:rPr>
                <w:rFonts w:ascii="Noto Serif" w:hAnsi="Noto Serif"/>
                <w:color w:val="1B2733"/>
                <w:sz w:val="17"/>
              </w:rPr>
              <w:t>P-R12</w:t>
            </w:r>
          </w:p>
        </w:tc>
        <w:tc>
          <w:tcPr>
            <w:tcW w:type="dxa" w:w="2088"/>
            <w:tcMar>
              <w:top w:w="95" w:type="dxa"/>
              <w:start w:w="100" w:type="dxa"/>
              <w:bottom w:w="95" w:type="dxa"/>
              <w:end w:w="100" w:type="dxa"/>
            </w:tcMar>
            <w:vAlign w:val="center"/>
          </w:tcPr>
          <w:p>
            <w:pPr>
              <w:jc w:val="left"/>
            </w:pPr>
            <w:r>
              <w:rPr>
                <w:rFonts w:ascii="Noto Serif" w:hAnsi="Noto Serif"/>
                <w:color w:val="1B2733"/>
                <w:sz w:val="17"/>
              </w:rPr>
              <w:t>No Forced Persistence</w:t>
            </w:r>
          </w:p>
        </w:tc>
        <w:tc>
          <w:tcPr>
            <w:tcW w:type="dxa" w:w="6623"/>
            <w:tcMar>
              <w:top w:w="95" w:type="dxa"/>
              <w:start w:w="100" w:type="dxa"/>
              <w:bottom w:w="95" w:type="dxa"/>
              <w:end w:w="100" w:type="dxa"/>
            </w:tcMar>
            <w:vAlign w:val="center"/>
          </w:tcPr>
          <w:p>
            <w:pPr>
              <w:jc w:val="left"/>
            </w:pPr>
            <w:r>
              <w:rPr>
                <w:rFonts w:ascii="Noto Serif" w:hAnsi="Noto Serif"/>
                <w:color w:val="1B2733"/>
                <w:sz w:val="17"/>
              </w:rPr>
              <w:t>PATCH history SHALL NOT be required merely because the PATCH once existed.</w:t>
            </w:r>
          </w:p>
        </w:tc>
      </w:tr>
    </w:tbl>
    <w:p>
      <w:pPr>
        <w:spacing w:after="20"/>
      </w:pPr>
    </w:p>
    <w:p>
      <w:pPr>
        <w:pStyle w:val="Heading2"/>
        <w:keepNext/>
      </w:pPr>
      <w:r>
        <w:t>12.1 Conformance questions</w:t>
      </w:r>
    </w:p>
    <w:p>
      <w:pPr>
        <w:pStyle w:val="ListBullet"/>
        <w:spacing w:after="50"/>
        <w:ind w:left="317" w:hanging="144"/>
      </w:pPr>
      <w:r>
        <w:rPr>
          <w:rFonts w:ascii="Noto Serif" w:hAnsi="Noto Serif"/>
          <w:color w:val="1B2733"/>
          <w:sz w:val="20"/>
        </w:rPr>
        <w:t>Can the PATCH be deleted without altering canonical Base state?</w:t>
      </w:r>
    </w:p>
    <w:p>
      <w:pPr>
        <w:pStyle w:val="ListBullet"/>
        <w:spacing w:after="50"/>
        <w:ind w:left="317" w:hanging="144"/>
      </w:pPr>
      <w:r>
        <w:rPr>
          <w:rFonts w:ascii="Noto Serif" w:hAnsi="Noto Serif"/>
          <w:color w:val="1B2733"/>
          <w:sz w:val="20"/>
        </w:rPr>
        <w:t>Does any canonical formula, relation, automation, interface, or runtime path depend on the PATCH?</w:t>
      </w:r>
    </w:p>
    <w:p>
      <w:pPr>
        <w:pStyle w:val="ListBullet"/>
        <w:spacing w:after="50"/>
        <w:ind w:left="317" w:hanging="144"/>
      </w:pPr>
      <w:r>
        <w:rPr>
          <w:rFonts w:ascii="Noto Serif" w:hAnsi="Noto Serif"/>
          <w:color w:val="1B2733"/>
          <w:sz w:val="20"/>
        </w:rPr>
        <w:t>Is the proposal visibly distinct from the committed state?</w:t>
      </w:r>
    </w:p>
    <w:p>
      <w:pPr>
        <w:pStyle w:val="ListBullet"/>
        <w:spacing w:after="50"/>
        <w:ind w:left="317" w:hanging="144"/>
      </w:pPr>
      <w:r>
        <w:rPr>
          <w:rFonts w:ascii="Noto Serif" w:hAnsi="Noto Serif"/>
          <w:color w:val="1B2733"/>
          <w:sz w:val="20"/>
        </w:rPr>
        <w:t>If the operation is destructive or ambiguous, is the human gate explicit?</w:t>
      </w:r>
    </w:p>
    <w:p>
      <w:pPr>
        <w:pStyle w:val="ListBullet"/>
        <w:spacing w:after="50"/>
        <w:ind w:left="317" w:hanging="144"/>
      </w:pPr>
      <w:r>
        <w:rPr>
          <w:rFonts w:ascii="Noto Serif" w:hAnsi="Noto Serif"/>
          <w:color w:val="1B2733"/>
          <w:sz w:val="20"/>
        </w:rPr>
        <w:t>Does the PATCH live in the Habitat that actually owns the problem?</w:t>
      </w:r>
    </w:p>
    <w:p>
      <w:pPr>
        <w:pStyle w:val="ListBullet"/>
        <w:spacing w:after="50"/>
        <w:ind w:left="317" w:hanging="144"/>
      </w:pPr>
      <w:r>
        <w:rPr>
          <w:rFonts w:ascii="Noto Serif" w:hAnsi="Noto Serif"/>
          <w:color w:val="1B2733"/>
          <w:sz w:val="20"/>
        </w:rPr>
        <w:t>Could an existing generic P1 plus Habitat/context express the same meaning more cleanly?</w:t>
      </w:r>
    </w:p>
    <w:p>
      <w:pPr>
        <w:pStyle w:val="ListBullet"/>
        <w:spacing w:after="50"/>
        <w:ind w:left="317" w:hanging="144"/>
      </w:pPr>
      <w:r>
        <w:rPr>
          <w:rFonts w:ascii="Noto Serif" w:hAnsi="Noto Serif"/>
          <w:color w:val="1B2733"/>
          <w:sz w:val="20"/>
        </w:rPr>
        <w:t>If a BOSS operator is used, is operator meaning still owned by BOSS rather than redefined locally?</w:t>
      </w:r>
    </w:p>
    <w:p>
      <w:pPr>
        <w:pStyle w:val="ListBullet"/>
        <w:spacing w:after="50"/>
        <w:ind w:left="317" w:hanging="144"/>
      </w:pPr>
      <w:r>
        <w:rPr>
          <w:rFonts w:ascii="Noto Serif" w:hAnsi="Noto Serif"/>
          <w:color w:val="1B2733"/>
          <w:sz w:val="20"/>
        </w:rPr>
        <w:t>When the work is complete, is there a clean purge condition for the scaffold?</w:t>
      </w: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TELEOLOGICAL USE</w:t>
            </w:r>
          </w:p>
          <w:p>
            <w:pPr>
              <w:spacing w:after="0"/>
            </w:pPr>
            <w:r>
              <w:rPr>
                <w:rFonts w:ascii="Noto Serif" w:hAnsi="Noto Serif"/>
                <w:color w:val="1B2733"/>
                <w:sz w:val="20"/>
              </w:rPr>
              <w:t>The paper gives PATCH a direction to aim for; implementation is expected to mutate the starting vocabulary.</w:t>
            </w:r>
          </w:p>
        </w:tc>
      </w:tr>
    </w:tbl>
    <w:p>
      <w:pPr>
        <w:spacing w:after="20"/>
      </w:pPr>
    </w:p>
    <w:p>
      <w:pPr>
        <w:pStyle w:val="Heading1"/>
        <w:keepNext/>
      </w:pPr>
      <w:r>
        <w:t>13. Evolution, pruning, and teleological use</w:t>
      </w:r>
    </w:p>
    <w:p>
      <w:pPr>
        <w:spacing w:before="0" w:after="120" w:line="259" w:lineRule="auto"/>
      </w:pPr>
      <w:r>
        <w:rPr>
          <w:rFonts w:ascii="Noto Serif" w:hAnsi="Noto Serif"/>
          <w:color w:val="1B2733"/>
          <w:sz w:val="20"/>
        </w:rPr>
        <w:t>PATCH is useful precisely because it tolerates provisional structure. The handbook therefore should not be mistaken for a frozen taxonomy. It provides a common destination and a legible starting grammar so experimentation can be compared against something explicit.</w:t>
      </w:r>
    </w:p>
    <w:p>
      <w:pPr>
        <w:spacing w:before="0" w:after="120" w:line="259" w:lineRule="auto"/>
      </w:pPr>
      <w:r>
        <w:rPr>
          <w:rFonts w:ascii="Noto Serif" w:hAnsi="Noto Serif"/>
          <w:color w:val="1B2733"/>
          <w:sz w:val="20"/>
        </w:rPr>
        <w:t>As the real Base is cleaned and ported, candidate P1s will prove redundant, new ones will appear, and recurring combinations will reveal natural P2 Groups. Later, recurring Groups may reveal P3 Cluster templates. Those discoveries should be registered because they recur, not because the abstract architecture demanded them in advance.</w:t>
      </w:r>
    </w:p>
    <w:p>
      <w:pPr>
        <w:pStyle w:val="ListBullet"/>
        <w:spacing w:after="50"/>
        <w:ind w:left="317" w:hanging="144"/>
      </w:pPr>
      <w:r>
        <w:rPr>
          <w:rFonts w:ascii="Noto Serif" w:hAnsi="Noto Serif"/>
          <w:color w:val="1B2733"/>
          <w:sz w:val="20"/>
        </w:rPr>
        <w:t>If a PATCH definition is wrong, purge or revise it.</w:t>
      </w:r>
    </w:p>
    <w:p>
      <w:pPr>
        <w:pStyle w:val="ListBullet"/>
        <w:spacing w:after="50"/>
        <w:ind w:left="317" w:hanging="144"/>
      </w:pPr>
      <w:r>
        <w:rPr>
          <w:rFonts w:ascii="Noto Serif" w:hAnsi="Noto Serif"/>
          <w:color w:val="1B2733"/>
          <w:sz w:val="20"/>
        </w:rPr>
        <w:t>If two P1s always collapse to the same behavior, merge them.</w:t>
      </w:r>
    </w:p>
    <w:p>
      <w:pPr>
        <w:pStyle w:val="ListBullet"/>
        <w:spacing w:after="50"/>
        <w:ind w:left="317" w:hanging="144"/>
      </w:pPr>
      <w:r>
        <w:rPr>
          <w:rFonts w:ascii="Noto Serif" w:hAnsi="Noto Serif"/>
          <w:color w:val="1B2733"/>
          <w:sz w:val="20"/>
        </w:rPr>
        <w:t>If one P1 hides meaningfully different operational behaviors, split it.</w:t>
      </w:r>
    </w:p>
    <w:p>
      <w:pPr>
        <w:pStyle w:val="ListBullet"/>
        <w:spacing w:after="50"/>
        <w:ind w:left="317" w:hanging="144"/>
      </w:pPr>
      <w:r>
        <w:rPr>
          <w:rFonts w:ascii="Noto Serif" w:hAnsi="Noto Serif"/>
          <w:color w:val="1B2733"/>
          <w:sz w:val="20"/>
        </w:rPr>
        <w:t>If a PATCH recurs often because a native capability is missing, treat recurrence as evidence for building the native capability.</w:t>
      </w:r>
    </w:p>
    <w:p>
      <w:pPr>
        <w:pStyle w:val="ListBullet"/>
        <w:spacing w:after="50"/>
        <w:ind w:left="317" w:hanging="144"/>
      </w:pPr>
      <w:r>
        <w:rPr>
          <w:rFonts w:ascii="Noto Serif" w:hAnsi="Noto Serif"/>
          <w:color w:val="1B2733"/>
          <w:sz w:val="20"/>
        </w:rPr>
        <w:t>When the native capability exists, retire the workaround while preserving the reusable lesson if it remains valuable.</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PATCH MAY TOUCH THE BUILDING. PATCH MUST NOT BECOME THE BUILDING.</w:t>
            </w:r>
          </w:p>
        </w:tc>
      </w:tr>
    </w:tbl>
    <w:p>
      <w:pPr>
        <w:spacing w:after="20"/>
      </w:pPr>
    </w:p>
    <w:p>
      <w:pPr>
        <w:pageBreakBefore/>
        <w:spacing w:after="0" w:line="12" w:lineRule="auto"/>
      </w:pPr>
      <w:r>
        <w:rPr>
          <w:rFonts w:ascii="Noto Sans" w:hAnsi="Noto Sans"/>
          <w:color w:val="FFFFFF"/>
          <w:sz w:val="2"/>
        </w:rPr>
        <w:t>​</w:t>
      </w:r>
    </w:p>
    <w:tbl>
      <w:tblPr>
        <w:tblW w:type="auto" w:w="0"/>
        <w:jc w:val="center"/>
        <w:tblLayout w:type="fixed"/>
        <w:tblLook w:firstColumn="1" w:firstRow="1" w:lastColumn="0" w:lastRow="0" w:noHBand="0" w:noVBand="1" w:val="04A0"/>
      </w:tblPr>
      <w:tblGrid>
        <w:gridCol w:w="5083"/>
        <w:gridCol w:w="5083"/>
      </w:tblGrid>
      <w:tr>
        <w:tc>
          <w:tcPr>
            <w:tcW w:type="dxa" w:w="4752"/>
            <w:shd w:fill="138B8B"/>
            <w:tcMar>
              <w:top w:w="150" w:type="dxa"/>
              <w:start w:w="160" w:type="dxa"/>
              <w:bottom w:w="150" w:type="dxa"/>
              <w:end w:w="160" w:type="dxa"/>
            </w:tcMar>
          </w:tcPr>
          <w:p>
            <w:r>
              <w:rPr>
                <w:rFonts w:ascii="Noto Sans" w:hAnsi="Noto Sans"/>
                <w:b/>
                <w:color w:val="FFFFFF"/>
                <w:sz w:val="20"/>
              </w:rPr>
              <w:t>PATCH SYSTEM LAW</w:t>
            </w:r>
          </w:p>
        </w:tc>
        <w:tc>
          <w:tcPr>
            <w:tcW w:type="dxa" w:w="5112"/>
            <w:shd w:fill="E6F3F2"/>
            <w:tcMar>
              <w:top w:w="150" w:type="dxa"/>
              <w:start w:w="160" w:type="dxa"/>
              <w:bottom w:w="150" w:type="dxa"/>
              <w:end w:w="160" w:type="dxa"/>
            </w:tcMar>
          </w:tcPr>
          <w:p>
            <w:r>
              <w:rPr>
                <w:rFonts w:ascii="Noto Sans" w:hAnsi="Noto Sans"/>
                <w:b/>
                <w:color w:val="138B8B"/>
                <w:sz w:val="20"/>
              </w:rPr>
              <w:t>CONCLUSION</w:t>
            </w:r>
          </w:p>
          <w:p>
            <w:pPr>
              <w:spacing w:after="0"/>
            </w:pPr>
            <w:r>
              <w:rPr>
                <w:rFonts w:ascii="Noto Serif" w:hAnsi="Noto Serif"/>
                <w:color w:val="1B2733"/>
                <w:sz w:val="20"/>
              </w:rPr>
              <w:t>PATCH makes proposed transformation a first-class temporary object without turning temporary thought into permanent authority.</w:t>
            </w:r>
          </w:p>
        </w:tc>
      </w:tr>
    </w:tbl>
    <w:p>
      <w:pPr>
        <w:spacing w:after="20"/>
      </w:pPr>
    </w:p>
    <w:p>
      <w:pPr>
        <w:pStyle w:val="Heading1"/>
        <w:keepNext/>
      </w:pPr>
      <w:r>
        <w:t>14. Conclusion</w:t>
      </w:r>
    </w:p>
    <w:p>
      <w:pPr>
        <w:spacing w:before="0" w:after="120" w:line="259" w:lineRule="auto"/>
      </w:pPr>
      <w:r>
        <w:rPr>
          <w:rFonts w:ascii="Noto Serif" w:hAnsi="Noto Serif"/>
          <w:color w:val="1B2733"/>
          <w:sz w:val="20"/>
        </w:rPr>
        <w:t>PATCH gives CERBERUS a disposable language for thinking about change before change becomes state. It allows a human and an AI to share the same work surface, express observations and proposals in machine-legible form, reuse governed structural language, constrain operations by Habitat, and place explicit gates between analysis and mutation.</w:t>
      </w:r>
    </w:p>
    <w:p>
      <w:pPr>
        <w:spacing w:before="0" w:after="120" w:line="259" w:lineRule="auto"/>
      </w:pPr>
      <w:r>
        <w:rPr>
          <w:rFonts w:ascii="Noto Serif" w:hAnsi="Noto Serif"/>
          <w:color w:val="1B2733"/>
          <w:sz w:val="20"/>
        </w:rPr>
        <w:t>The result is not safe because PATCH cannot contain mistakes. PATCH can be wrong, incomplete, badly grouped, or useless. The safety comes from dependency direction: temporary scaffold may depend on the Base and on other scaffold, while the Base remains independent of the scaffold. A failed PATCH can therefore be deleted and rebuilt without making the failure architectural.</w:t>
      </w:r>
    </w:p>
    <w:p>
      <w:pPr>
        <w:spacing w:before="0" w:after="120" w:line="259" w:lineRule="auto"/>
      </w:pPr>
      <w:r>
        <w:rPr>
          <w:rFonts w:ascii="Noto Serif" w:hAnsi="Noto Serif"/>
          <w:color w:val="1B2733"/>
          <w:sz w:val="20"/>
        </w:rPr>
        <w:t>The next step is practical use. Build the P1 and Habitat registries, start inserting PATCH fields during CERBERUS cleanup and porting work, and let repeated patterns reveal which Groups deserve names. The system should become cleaner by being used, not by being protected from revision.</w:t>
      </w:r>
    </w:p>
    <w:tbl>
      <w:tblPr>
        <w:tblW w:type="auto" w:w="0"/>
        <w:jc w:val="center"/>
        <w:tblLayout w:type="fixed"/>
        <w:tblLook w:firstColumn="1" w:firstRow="1" w:lastColumn="0" w:lastRow="0" w:noHBand="0" w:noVBand="1" w:val="04A0"/>
      </w:tblPr>
      <w:tblGrid>
        <w:gridCol w:w="10166"/>
      </w:tblGrid>
      <w:tr>
        <w:tc>
          <w:tcPr>
            <w:tcW w:type="dxa" w:w="9864"/>
            <w:shd w:fill="E6F3F2"/>
            <w:tcMar>
              <w:top w:w="140" w:type="dxa"/>
              <w:start w:w="180" w:type="dxa"/>
              <w:bottom w:w="140" w:type="dxa"/>
              <w:end w:w="180" w:type="dxa"/>
            </w:tcMar>
          </w:tcPr>
          <w:p>
            <w:pPr>
              <w:jc w:val="center"/>
            </w:pPr>
            <w:r>
              <w:rPr>
                <w:rFonts w:ascii="Noto Serif" w:hAnsi="Noto Serif"/>
                <w:b/>
                <w:i/>
                <w:color w:val="138B8B"/>
                <w:sz w:val="22"/>
              </w:rPr>
              <w:t>EXPRESS THE CHANGE. GATE THE CHANGE. COMMIT THE CHANGE. REMOVE THE CONVERSATION.</w:t>
            </w:r>
          </w:p>
        </w:tc>
      </w:tr>
    </w:tbl>
    <w:p>
      <w:pPr>
        <w:spacing w:after="20"/>
      </w:pPr>
    </w:p>
    <w:p>
      <w:pPr>
        <w:spacing w:before="320"/>
        <w:jc w:val="center"/>
      </w:pPr>
      <w:r>
        <w:rPr>
          <w:rFonts w:ascii="Noto Sans" w:hAnsi="Noto Sans"/>
          <w:b/>
          <w:color w:val="586979"/>
          <w:sz w:val="18"/>
        </w:rPr>
        <w:t>CERBERUS PATCH  •  Version 0.1  •  Pass 8 Verified Release</w:t>
      </w:r>
    </w:p>
    <w:sectPr w:rsidR="00FC693F" w:rsidRPr="0006063C" w:rsidSect="00034616">
      <w:footerReference w:type="default" r:id="rId9"/>
      <w:pgSz w:w="12240" w:h="15840"/>
      <w:pgMar w:top="835" w:right="1037" w:bottom="835"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w:hAnsi="Noto Sans"/>
        <w:b/>
        <w:color w:val="586979"/>
        <w:sz w:val="16"/>
      </w:rPr>
      <w:t xml:space="preserve">CERBERUS  •  PATCH  •  SEPTEMBER 2026  •  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Noto Serif" w:hAnsi="Noto Serif"/>
      <w:color w:val="1B2733"/>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Noto Serif" w:hAnsi="Noto Serif"/>
      <w:b/>
      <w:bCs/>
      <w:color w:val="17344B"/>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Noto Serif" w:hAnsi="Noto Serif"/>
      <w:b/>
      <w:bCs/>
      <w:color w:val="138B8B"/>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Noto Serif" w:hAnsi="Noto Serif"/>
      <w:b/>
      <w:bCs/>
      <w:color w:val="C7931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before="0"/>
      <w:contextualSpacing/>
    </w:pPr>
    <w:rPr>
      <w:rFonts w:asciiTheme="majorHAnsi" w:eastAsiaTheme="majorEastAsia" w:hAnsiTheme="majorHAnsi" w:cstheme="majorBidi" w:ascii="Noto Serif" w:hAnsi="Noto Serif"/>
      <w:b/>
      <w:color w:val="17344B"/>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TCHCallout">
    <w:name w:val="PATCH Callout"/>
    <w:pPr>
      <w:spacing w:before="80" w:after="120"/>
    </w:pPr>
    <w:rPr>
      <w:rFonts w:ascii="Noto Sans" w:hAnsi="Noto Sans"/>
      <w:b/>
      <w:color w:val="17344B"/>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PATCH: Procedural AI Transmission Communication Handbook</dc:title>
  <dc:subject>Machine-legible disposable scaffolding for human-gated system transformation</dc:subject>
  <dc:creator>python-docx</dc:creator>
  <cp:keywords>CERBERUS, PATCH, human-AI, scaffolding, governance, migration, portability</cp:keywords>
  <dc:description>Pass 8 Verified Release</dc:description>
  <cp:lastModifiedBy/>
  <cp:revision>1</cp:revision>
  <dcterms:created xsi:type="dcterms:W3CDTF">2013-12-23T23:15:00Z</dcterms:created>
  <dcterms:modified xsi:type="dcterms:W3CDTF">2013-12-23T23:15:00Z</dcterms:modified>
  <cp:category/>
</cp:coreProperties>
</file>