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AAFC1" w14:textId="77777777" w:rsidR="00F14BB8" w:rsidRDefault="00A65DEB">
      <w:pPr>
        <w:spacing w:before="1400" w:after="400"/>
        <w:rPr>
          <w:rFonts w:hint="eastAsia"/>
        </w:rPr>
      </w:pPr>
      <w:r>
        <w:rPr>
          <w:b/>
          <w:color w:val="C28B18"/>
          <w:sz w:val="26"/>
        </w:rPr>
        <w:t>CERBERUS</w:t>
      </w:r>
    </w:p>
    <w:p w14:paraId="12555D87" w14:textId="77777777" w:rsidR="00F14BB8" w:rsidRDefault="00A65DEB">
      <w:pPr>
        <w:spacing w:after="160"/>
        <w:rPr>
          <w:rFonts w:hint="eastAsia"/>
        </w:rPr>
      </w:pPr>
      <w:r>
        <w:rPr>
          <w:b/>
          <w:color w:val="17365D"/>
          <w:sz w:val="60"/>
        </w:rPr>
        <w:t>Base Service Architecture</w:t>
      </w:r>
    </w:p>
    <w:p w14:paraId="6FF1B26C" w14:textId="77777777" w:rsidR="00F14BB8" w:rsidRDefault="00A65DEB">
      <w:pPr>
        <w:spacing w:after="600"/>
        <w:rPr>
          <w:rFonts w:hint="eastAsia"/>
        </w:rPr>
      </w:pPr>
      <w:r>
        <w:rPr>
          <w:color w:val="2E6E9E"/>
          <w:sz w:val="32"/>
        </w:rPr>
        <w:t>Canonical Schema Coordinates, Five-State Structural Diagnostics, and Automated Base Maintenance</w:t>
      </w:r>
    </w:p>
    <w:tbl>
      <w:tblPr>
        <w:tblW w:w="0" w:type="auto"/>
        <w:jc w:val="center"/>
        <w:tblLook w:val="04A0" w:firstRow="1" w:lastRow="0" w:firstColumn="1" w:lastColumn="0" w:noHBand="0" w:noVBand="1"/>
      </w:tblPr>
      <w:tblGrid>
        <w:gridCol w:w="9878"/>
      </w:tblGrid>
      <w:tr w:rsidR="00F14BB8" w14:paraId="7B9F6B68" w14:textId="77777777">
        <w:trPr>
          <w:cantSplit/>
          <w:jc w:val="center"/>
        </w:trPr>
        <w:tc>
          <w:tcPr>
            <w:tcW w:w="9878" w:type="dxa"/>
            <w:tcBorders>
              <w:top w:val="nil"/>
              <w:left w:val="single" w:sz="18" w:space="0" w:color="17365D"/>
              <w:bottom w:val="nil"/>
              <w:right w:val="nil"/>
            </w:tcBorders>
            <w:shd w:val="clear" w:color="auto" w:fill="F2F5F7"/>
            <w:tcMar>
              <w:top w:w="160" w:type="dxa"/>
              <w:left w:w="180" w:type="dxa"/>
              <w:bottom w:w="160" w:type="dxa"/>
              <w:right w:w="180" w:type="dxa"/>
            </w:tcMar>
          </w:tcPr>
          <w:p w14:paraId="2656C3C9" w14:textId="77777777" w:rsidR="00F14BB8" w:rsidRDefault="00A65DEB">
            <w:pPr>
              <w:spacing w:after="100"/>
              <w:rPr>
                <w:rFonts w:hint="eastAsia"/>
              </w:rPr>
            </w:pPr>
            <w:r>
              <w:rPr>
                <w:b/>
                <w:color w:val="17365D"/>
                <w:sz w:val="21"/>
              </w:rPr>
              <w:t>ARCHITECTURE THESIS</w:t>
            </w:r>
          </w:p>
          <w:p w14:paraId="69A1B4BB" w14:textId="77777777" w:rsidR="00F14BB8" w:rsidRDefault="00A65DEB">
            <w:pPr>
              <w:spacing w:after="0" w:line="259" w:lineRule="auto"/>
              <w:rPr>
                <w:rFonts w:hint="eastAsia"/>
              </w:rPr>
            </w:pPr>
            <w:r>
              <w:t>A self-describing Base contains enough structural information to inspect itself. By comparing registered contracts against observed runtime structure, CERBERUS can locate exact structural defects, classify their integrity consequence, derive service work, and confirm repair without requiring probabilistic semantic inference.</w:t>
            </w:r>
          </w:p>
        </w:tc>
      </w:tr>
    </w:tbl>
    <w:p w14:paraId="2DE87031" w14:textId="77777777" w:rsidR="00F14BB8" w:rsidRDefault="00F14BB8">
      <w:pPr>
        <w:spacing w:after="0"/>
        <w:rPr>
          <w:rFonts w:hint="eastAsia"/>
        </w:rPr>
      </w:pPr>
    </w:p>
    <w:p w14:paraId="4924C192" w14:textId="77777777" w:rsidR="00F14BB8" w:rsidRDefault="00A65DEB">
      <w:pPr>
        <w:spacing w:before="700" w:after="120"/>
        <w:rPr>
          <w:rFonts w:hint="eastAsia"/>
        </w:rPr>
      </w:pPr>
      <w:r>
        <w:rPr>
          <w:b/>
          <w:sz w:val="23"/>
        </w:rPr>
        <w:t>Architecture Paper v0.1</w:t>
      </w:r>
    </w:p>
    <w:p w14:paraId="2222D99B" w14:textId="77777777" w:rsidR="00F14BB8" w:rsidRDefault="00A65DEB">
      <w:pPr>
        <w:rPr>
          <w:rFonts w:hint="eastAsia"/>
        </w:rPr>
      </w:pPr>
      <w:r>
        <w:rPr>
          <w:color w:val="5C6C7C"/>
          <w:sz w:val="21"/>
        </w:rPr>
        <w:t>Bootstrap Candidate  |  August 2026</w:t>
      </w:r>
    </w:p>
    <w:p w14:paraId="2E02C170" w14:textId="77777777" w:rsidR="00F14BB8" w:rsidRDefault="00A65DEB">
      <w:pPr>
        <w:rPr>
          <w:rFonts w:hint="eastAsia"/>
        </w:rPr>
      </w:pPr>
      <w:r>
        <w:br w:type="page"/>
      </w:r>
    </w:p>
    <w:p w14:paraId="3AC3AD05" w14:textId="77777777" w:rsidR="00F14BB8" w:rsidRDefault="00A65DEB">
      <w:pPr>
        <w:pStyle w:val="Heading1"/>
        <w:spacing w:before="260" w:after="120"/>
      </w:pPr>
      <w:r>
        <w:rPr>
          <w:rFonts w:ascii="Carlito" w:hAnsi="Carlito"/>
        </w:rPr>
        <w:t>Abstract</w:t>
      </w:r>
    </w:p>
    <w:p w14:paraId="7FD16FA8" w14:textId="77777777" w:rsidR="00F14BB8" w:rsidRDefault="00A65DEB">
      <w:pPr>
        <w:spacing w:after="140" w:line="259" w:lineRule="auto"/>
        <w:rPr>
          <w:rFonts w:hint="eastAsia"/>
        </w:rPr>
      </w:pPr>
      <w:r>
        <w:t>This paper defines CERBERUS BASE SERVICE: a structural integrity and maintenance architecture for a self-describing Base. The architecture treats the Base Registry, Table Registry, Field Registry, linked-field topology, object contracts, and other registered structural expectations as an executable maintenance specification. A compact canonical coordinate grammar identifies Tables by letter and Fields by number, allowing relationships such as A12 → G41 to name exact schema edges independently of Airtable ta</w:t>
      </w:r>
      <w:r>
        <w:t>ble IDs, field IDs, or view order.</w:t>
      </w:r>
    </w:p>
    <w:p w14:paraId="20B56DE1" w14:textId="77777777" w:rsidR="00F14BB8" w:rsidRDefault="00A65DEB">
      <w:pPr>
        <w:spacing w:after="140" w:line="259" w:lineRule="auto"/>
        <w:rPr>
          <w:rFonts w:hint="eastAsia"/>
        </w:rPr>
      </w:pPr>
      <w:r>
        <w:t>BASE SERVICE compares declared structure against observed runtime structure, creates deterministic diagnostic findings, classifies each finding through a five-state language—Forbidden, Fix, Warning, Okay, and Ideal—and derives service work from those findings. Severity is contextual rather than based on raw field completeness: a missing Formula relationship may invalidate computation while an absent optional Family link may only reduce descriptive completeness. Diagnostic locality preserves the exact source</w:t>
      </w:r>
      <w:r>
        <w:t xml:space="preserve"> of a defect, while dependency impact may propagate separately to downstream structures. Service completion is established by repair of canonical data followed by reinspection, not by manually closing an alert.</w:t>
      </w:r>
    </w:p>
    <w:p w14:paraId="6B450F27" w14:textId="77777777" w:rsidR="00F14BB8" w:rsidRDefault="00A65DEB">
      <w:pPr>
        <w:spacing w:after="140" w:line="259" w:lineRule="auto"/>
        <w:rPr>
          <w:rFonts w:hint="eastAsia"/>
        </w:rPr>
      </w:pPr>
      <w:r>
        <w:t>The resulting system is a native maintenance layer for CERBERUS rather than a generic database-cleanup tool. It can summarize health upward from Field contract to Record, Table, Stack, and Base while preserving exact drill-down to the original failing coordinate. Airtable can host a reference implementation through Registry records, linked fields, inspection scripts, and service views, but the diagnostic grammar and contracts remain platform-independent. Cross-Base federation, Home Base reporting, Base Craw</w:t>
      </w:r>
      <w:r>
        <w:t>lers, and recursively distributed service are intentionally reserved for subsequent architecture papers.</w:t>
      </w:r>
    </w:p>
    <w:p w14:paraId="536330C5" w14:textId="77777777" w:rsidR="00F14BB8" w:rsidRDefault="00A65DEB">
      <w:pPr>
        <w:spacing w:after="240"/>
        <w:rPr>
          <w:rFonts w:hint="eastAsia"/>
        </w:rPr>
      </w:pPr>
      <w:r>
        <w:rPr>
          <w:b/>
          <w:color w:val="17365D"/>
          <w:sz w:val="21"/>
        </w:rPr>
        <w:t xml:space="preserve">Keywords: </w:t>
      </w:r>
      <w:r>
        <w:rPr>
          <w:color w:val="5C6C7C"/>
          <w:sz w:val="21"/>
        </w:rPr>
        <w:t>Base Service, structural integrity, canonical schema coordinate, diagnostic contract, self-describing Base, maintenance, service queue, deterministic diagnostics, Airtable, CERBERUS</w:t>
      </w:r>
    </w:p>
    <w:p w14:paraId="1F52DB19" w14:textId="77777777" w:rsidR="00F14BB8" w:rsidRDefault="00A65DEB">
      <w:pPr>
        <w:pStyle w:val="Heading1"/>
        <w:spacing w:before="260" w:after="120"/>
      </w:pPr>
      <w:r>
        <w:rPr>
          <w:rFonts w:ascii="Carlito" w:hAnsi="Carlito"/>
        </w:rPr>
        <w:t>Document Map</w:t>
      </w:r>
    </w:p>
    <w:tbl>
      <w:tblPr>
        <w:tblStyle w:val="TableGrid"/>
        <w:tblW w:w="0" w:type="auto"/>
        <w:jc w:val="center"/>
        <w:tblLook w:val="04A0" w:firstRow="1" w:lastRow="0" w:firstColumn="1" w:lastColumn="0" w:noHBand="0" w:noVBand="1"/>
      </w:tblPr>
      <w:tblGrid>
        <w:gridCol w:w="1728"/>
        <w:gridCol w:w="7848"/>
      </w:tblGrid>
      <w:tr w:rsidR="00F14BB8" w14:paraId="7A0D6842" w14:textId="77777777">
        <w:trPr>
          <w:tblHeader/>
          <w:jc w:val="center"/>
        </w:trPr>
        <w:tc>
          <w:tcPr>
            <w:tcW w:w="1728" w:type="dxa"/>
            <w:shd w:val="clear" w:color="auto" w:fill="17365D"/>
            <w:tcMar>
              <w:top w:w="110" w:type="dxa"/>
              <w:left w:w="110" w:type="dxa"/>
              <w:bottom w:w="110" w:type="dxa"/>
              <w:right w:w="110" w:type="dxa"/>
            </w:tcMar>
            <w:vAlign w:val="center"/>
          </w:tcPr>
          <w:p w14:paraId="48AC0647" w14:textId="77777777" w:rsidR="00F14BB8" w:rsidRDefault="00A65DEB">
            <w:pPr>
              <w:rPr>
                <w:rFonts w:hint="eastAsia"/>
              </w:rPr>
            </w:pPr>
            <w:r>
              <w:rPr>
                <w:b/>
                <w:color w:val="FFFFFF"/>
                <w:sz w:val="19"/>
              </w:rPr>
              <w:t>Sections</w:t>
            </w:r>
          </w:p>
        </w:tc>
        <w:tc>
          <w:tcPr>
            <w:tcW w:w="7848" w:type="dxa"/>
            <w:shd w:val="clear" w:color="auto" w:fill="17365D"/>
            <w:tcMar>
              <w:top w:w="110" w:type="dxa"/>
              <w:left w:w="110" w:type="dxa"/>
              <w:bottom w:w="110" w:type="dxa"/>
              <w:right w:w="110" w:type="dxa"/>
            </w:tcMar>
            <w:vAlign w:val="center"/>
          </w:tcPr>
          <w:p w14:paraId="0A79B47A" w14:textId="77777777" w:rsidR="00F14BB8" w:rsidRDefault="00A65DEB">
            <w:pPr>
              <w:rPr>
                <w:rFonts w:hint="eastAsia"/>
              </w:rPr>
            </w:pPr>
            <w:r>
              <w:rPr>
                <w:b/>
                <w:color w:val="FFFFFF"/>
                <w:sz w:val="19"/>
              </w:rPr>
              <w:t>Focus</w:t>
            </w:r>
          </w:p>
        </w:tc>
      </w:tr>
      <w:tr w:rsidR="00F14BB8" w14:paraId="251DC172" w14:textId="77777777">
        <w:trPr>
          <w:jc w:val="center"/>
        </w:trPr>
        <w:tc>
          <w:tcPr>
            <w:tcW w:w="1728" w:type="dxa"/>
            <w:shd w:val="clear" w:color="auto" w:fill="FFFFFF"/>
            <w:tcMar>
              <w:top w:w="100" w:type="dxa"/>
              <w:left w:w="110" w:type="dxa"/>
              <w:bottom w:w="100" w:type="dxa"/>
              <w:right w:w="110" w:type="dxa"/>
            </w:tcMar>
            <w:vAlign w:val="center"/>
          </w:tcPr>
          <w:p w14:paraId="6F65B82A" w14:textId="77777777" w:rsidR="00F14BB8" w:rsidRDefault="00A65DEB">
            <w:pPr>
              <w:rPr>
                <w:rFonts w:hint="eastAsia"/>
              </w:rPr>
            </w:pPr>
            <w:r>
              <w:rPr>
                <w:sz w:val="19"/>
              </w:rPr>
              <w:t>1–4</w:t>
            </w:r>
          </w:p>
        </w:tc>
        <w:tc>
          <w:tcPr>
            <w:tcW w:w="7848" w:type="dxa"/>
            <w:shd w:val="clear" w:color="auto" w:fill="FFFFFF"/>
            <w:tcMar>
              <w:top w:w="100" w:type="dxa"/>
              <w:left w:w="110" w:type="dxa"/>
              <w:bottom w:w="100" w:type="dxa"/>
              <w:right w:w="110" w:type="dxa"/>
            </w:tcMar>
            <w:vAlign w:val="center"/>
          </w:tcPr>
          <w:p w14:paraId="2C571DC4" w14:textId="77777777" w:rsidR="00F14BB8" w:rsidRDefault="00A65DEB">
            <w:pPr>
              <w:rPr>
                <w:rFonts w:hint="eastAsia"/>
              </w:rPr>
            </w:pPr>
            <w:r>
              <w:rPr>
                <w:sz w:val="19"/>
              </w:rPr>
              <w:t>Purpose, self-description, canonical schema coordinates, and platform independence</w:t>
            </w:r>
          </w:p>
        </w:tc>
      </w:tr>
      <w:tr w:rsidR="00F14BB8" w14:paraId="28091C32" w14:textId="77777777">
        <w:trPr>
          <w:jc w:val="center"/>
        </w:trPr>
        <w:tc>
          <w:tcPr>
            <w:tcW w:w="1728" w:type="dxa"/>
            <w:shd w:val="clear" w:color="auto" w:fill="F7F9FB"/>
            <w:tcMar>
              <w:top w:w="100" w:type="dxa"/>
              <w:left w:w="110" w:type="dxa"/>
              <w:bottom w:w="100" w:type="dxa"/>
              <w:right w:w="110" w:type="dxa"/>
            </w:tcMar>
            <w:vAlign w:val="center"/>
          </w:tcPr>
          <w:p w14:paraId="0192F2B5" w14:textId="77777777" w:rsidR="00F14BB8" w:rsidRDefault="00A65DEB">
            <w:pPr>
              <w:rPr>
                <w:rFonts w:hint="eastAsia"/>
              </w:rPr>
            </w:pPr>
            <w:r>
              <w:rPr>
                <w:sz w:val="19"/>
              </w:rPr>
              <w:t>5–8</w:t>
            </w:r>
          </w:p>
        </w:tc>
        <w:tc>
          <w:tcPr>
            <w:tcW w:w="7848" w:type="dxa"/>
            <w:shd w:val="clear" w:color="auto" w:fill="F7F9FB"/>
            <w:tcMar>
              <w:top w:w="100" w:type="dxa"/>
              <w:left w:w="110" w:type="dxa"/>
              <w:bottom w:w="100" w:type="dxa"/>
              <w:right w:w="110" w:type="dxa"/>
            </w:tcMar>
            <w:vAlign w:val="center"/>
          </w:tcPr>
          <w:p w14:paraId="7D75B762" w14:textId="77777777" w:rsidR="00F14BB8" w:rsidRDefault="00A65DEB">
            <w:pPr>
              <w:rPr>
                <w:rFonts w:hint="eastAsia"/>
              </w:rPr>
            </w:pPr>
            <w:r>
              <w:rPr>
                <w:sz w:val="19"/>
              </w:rPr>
              <w:t>Diagnostic contracts, five-state integrity, contextual severity, and diagnostic classes</w:t>
            </w:r>
          </w:p>
        </w:tc>
      </w:tr>
      <w:tr w:rsidR="00F14BB8" w14:paraId="0AD09D40" w14:textId="77777777">
        <w:trPr>
          <w:jc w:val="center"/>
        </w:trPr>
        <w:tc>
          <w:tcPr>
            <w:tcW w:w="1728" w:type="dxa"/>
            <w:shd w:val="clear" w:color="auto" w:fill="FFFFFF"/>
            <w:tcMar>
              <w:top w:w="100" w:type="dxa"/>
              <w:left w:w="110" w:type="dxa"/>
              <w:bottom w:w="100" w:type="dxa"/>
              <w:right w:w="110" w:type="dxa"/>
            </w:tcMar>
            <w:vAlign w:val="center"/>
          </w:tcPr>
          <w:p w14:paraId="008B7745" w14:textId="77777777" w:rsidR="00F14BB8" w:rsidRDefault="00A65DEB">
            <w:pPr>
              <w:rPr>
                <w:rFonts w:hint="eastAsia"/>
              </w:rPr>
            </w:pPr>
            <w:r>
              <w:rPr>
                <w:sz w:val="19"/>
              </w:rPr>
              <w:t>9–12</w:t>
            </w:r>
          </w:p>
        </w:tc>
        <w:tc>
          <w:tcPr>
            <w:tcW w:w="7848" w:type="dxa"/>
            <w:shd w:val="clear" w:color="auto" w:fill="FFFFFF"/>
            <w:tcMar>
              <w:top w:w="100" w:type="dxa"/>
              <w:left w:w="110" w:type="dxa"/>
              <w:bottom w:w="100" w:type="dxa"/>
              <w:right w:w="110" w:type="dxa"/>
            </w:tcMar>
            <w:vAlign w:val="center"/>
          </w:tcPr>
          <w:p w14:paraId="016B4206" w14:textId="77777777" w:rsidR="00F14BB8" w:rsidRDefault="00A65DEB">
            <w:pPr>
              <w:rPr>
                <w:rFonts w:hint="eastAsia"/>
              </w:rPr>
            </w:pPr>
            <w:r>
              <w:rPr>
                <w:sz w:val="19"/>
              </w:rPr>
              <w:t>Locality, dependency impact, recursive rollup, integrity metrics, and the service cycle</w:t>
            </w:r>
          </w:p>
        </w:tc>
      </w:tr>
      <w:tr w:rsidR="00F14BB8" w14:paraId="5501D9BD" w14:textId="77777777">
        <w:trPr>
          <w:jc w:val="center"/>
        </w:trPr>
        <w:tc>
          <w:tcPr>
            <w:tcW w:w="1728" w:type="dxa"/>
            <w:shd w:val="clear" w:color="auto" w:fill="F7F9FB"/>
            <w:tcMar>
              <w:top w:w="100" w:type="dxa"/>
              <w:left w:w="110" w:type="dxa"/>
              <w:bottom w:w="100" w:type="dxa"/>
              <w:right w:w="110" w:type="dxa"/>
            </w:tcMar>
            <w:vAlign w:val="center"/>
          </w:tcPr>
          <w:p w14:paraId="002D60A7" w14:textId="77777777" w:rsidR="00F14BB8" w:rsidRDefault="00A65DEB">
            <w:pPr>
              <w:rPr>
                <w:rFonts w:hint="eastAsia"/>
              </w:rPr>
            </w:pPr>
            <w:r>
              <w:rPr>
                <w:sz w:val="19"/>
              </w:rPr>
              <w:t>13–16</w:t>
            </w:r>
          </w:p>
        </w:tc>
        <w:tc>
          <w:tcPr>
            <w:tcW w:w="7848" w:type="dxa"/>
            <w:shd w:val="clear" w:color="auto" w:fill="F7F9FB"/>
            <w:tcMar>
              <w:top w:w="100" w:type="dxa"/>
              <w:left w:w="110" w:type="dxa"/>
              <w:bottom w:w="100" w:type="dxa"/>
              <w:right w:w="110" w:type="dxa"/>
            </w:tcMar>
            <w:vAlign w:val="center"/>
          </w:tcPr>
          <w:p w14:paraId="67E19AF0" w14:textId="77777777" w:rsidR="00F14BB8" w:rsidRDefault="00A65DEB">
            <w:pPr>
              <w:rPr>
                <w:rFonts w:hint="eastAsia"/>
              </w:rPr>
            </w:pPr>
            <w:r>
              <w:rPr>
                <w:sz w:val="19"/>
              </w:rPr>
              <w:t>Repair authority, AI boundary, Airtable implementation, and version-aware evaluation</w:t>
            </w:r>
          </w:p>
        </w:tc>
      </w:tr>
      <w:tr w:rsidR="00F14BB8" w14:paraId="19F86307" w14:textId="77777777">
        <w:trPr>
          <w:jc w:val="center"/>
        </w:trPr>
        <w:tc>
          <w:tcPr>
            <w:tcW w:w="1728" w:type="dxa"/>
            <w:shd w:val="clear" w:color="auto" w:fill="FFFFFF"/>
            <w:tcMar>
              <w:top w:w="100" w:type="dxa"/>
              <w:left w:w="110" w:type="dxa"/>
              <w:bottom w:w="100" w:type="dxa"/>
              <w:right w:w="110" w:type="dxa"/>
            </w:tcMar>
            <w:vAlign w:val="center"/>
          </w:tcPr>
          <w:p w14:paraId="430B185A" w14:textId="77777777" w:rsidR="00F14BB8" w:rsidRDefault="00A65DEB">
            <w:pPr>
              <w:rPr>
                <w:rFonts w:hint="eastAsia"/>
              </w:rPr>
            </w:pPr>
            <w:r>
              <w:rPr>
                <w:sz w:val="19"/>
              </w:rPr>
              <w:t>17–18</w:t>
            </w:r>
          </w:p>
        </w:tc>
        <w:tc>
          <w:tcPr>
            <w:tcW w:w="7848" w:type="dxa"/>
            <w:shd w:val="clear" w:color="auto" w:fill="FFFFFF"/>
            <w:tcMar>
              <w:top w:w="100" w:type="dxa"/>
              <w:left w:w="110" w:type="dxa"/>
              <w:bottom w:w="100" w:type="dxa"/>
              <w:right w:w="110" w:type="dxa"/>
            </w:tcMar>
            <w:vAlign w:val="center"/>
          </w:tcPr>
          <w:p w14:paraId="1BB215BB" w14:textId="77777777" w:rsidR="00F14BB8" w:rsidRDefault="00A65DEB">
            <w:pPr>
              <w:rPr>
                <w:rFonts w:hint="eastAsia"/>
              </w:rPr>
            </w:pPr>
            <w:r>
              <w:rPr>
                <w:sz w:val="19"/>
              </w:rPr>
              <w:t>Conformance scenarios, design laws, non-goals, and Bootstrap implications</w:t>
            </w:r>
          </w:p>
        </w:tc>
      </w:tr>
    </w:tbl>
    <w:p w14:paraId="68FBD0F1" w14:textId="77777777" w:rsidR="00F14BB8" w:rsidRDefault="00F14BB8">
      <w:pPr>
        <w:spacing w:after="20"/>
        <w:rPr>
          <w:rFonts w:hint="eastAsia"/>
        </w:rPr>
      </w:pPr>
    </w:p>
    <w:p w14:paraId="1F8B9FBE" w14:textId="77777777" w:rsidR="00F14BB8" w:rsidRDefault="00A65DEB">
      <w:pPr>
        <w:rPr>
          <w:rFonts w:hint="eastAsia"/>
        </w:rPr>
      </w:pPr>
      <w:r>
        <w:br w:type="page"/>
      </w:r>
    </w:p>
    <w:p w14:paraId="4A7C0EF8" w14:textId="77777777" w:rsidR="00F14BB8" w:rsidRDefault="00A65DEB">
      <w:pPr>
        <w:pStyle w:val="Heading1"/>
        <w:spacing w:before="260" w:after="120"/>
      </w:pPr>
      <w:r>
        <w:rPr>
          <w:rFonts w:ascii="Carlito" w:hAnsi="Carlito"/>
        </w:rPr>
        <w:t>1. Purpose and Scope</w:t>
      </w:r>
    </w:p>
    <w:p w14:paraId="14571CDC" w14:textId="77777777" w:rsidR="00F14BB8" w:rsidRDefault="00A65DEB">
      <w:pPr>
        <w:spacing w:after="140" w:line="259" w:lineRule="auto"/>
        <w:rPr>
          <w:rFonts w:hint="eastAsia"/>
        </w:rPr>
      </w:pPr>
      <w:r>
        <w:t>CERBERUS BASE SERVICE defines how one registered Base can inspect and maintain its own structure. The paper assumes that the Base is already self-describing: Tables, Fields, object identities, links, and important structural expectations are represented in governed Registries or equivalent contracts. BASE SERVICE does not invent those expectations. It reads them, compares them with the current implementation, and reports the difference.</w:t>
      </w:r>
    </w:p>
    <w:p w14:paraId="6CFAD273" w14:textId="77777777" w:rsidR="00F14BB8" w:rsidRDefault="00A65DEB">
      <w:pPr>
        <w:spacing w:after="140" w:line="259" w:lineRule="auto"/>
        <w:rPr>
          <w:rFonts w:hint="eastAsia"/>
        </w:rPr>
      </w:pPr>
      <w:r>
        <w:t>The architecture is deliberately structural. It is concerned with whether a required relationship exists, whether a target is the correct type, whether cardinality is valid, whether a canonical structure agrees with its registered contract, and whether a dependency is available. It is not a generic measure of how much text or metadata happens to be populated. A record can be small and Ideal; another can contain hundreds of populated fields and still be Forbidden because one critical contract is violated.</w:t>
      </w:r>
    </w:p>
    <w:p w14:paraId="6D687E42" w14:textId="77777777" w:rsidR="00F14BB8" w:rsidRDefault="00A65DEB">
      <w:pPr>
        <w:pStyle w:val="Heading2"/>
        <w:spacing w:after="80"/>
      </w:pPr>
      <w:r>
        <w:rPr>
          <w:rFonts w:ascii="Carlito" w:hAnsi="Carlito"/>
        </w:rPr>
        <w:t>1.1 Core terms</w:t>
      </w:r>
    </w:p>
    <w:tbl>
      <w:tblPr>
        <w:tblStyle w:val="TableGrid"/>
        <w:tblW w:w="0" w:type="auto"/>
        <w:jc w:val="center"/>
        <w:tblLook w:val="04A0" w:firstRow="1" w:lastRow="0" w:firstColumn="1" w:lastColumn="0" w:noHBand="0" w:noVBand="1"/>
      </w:tblPr>
      <w:tblGrid>
        <w:gridCol w:w="2232"/>
        <w:gridCol w:w="7344"/>
      </w:tblGrid>
      <w:tr w:rsidR="00F14BB8" w14:paraId="00138C7E" w14:textId="77777777">
        <w:trPr>
          <w:tblHeader/>
          <w:jc w:val="center"/>
        </w:trPr>
        <w:tc>
          <w:tcPr>
            <w:tcW w:w="2232" w:type="dxa"/>
            <w:shd w:val="clear" w:color="auto" w:fill="17365D"/>
            <w:tcMar>
              <w:top w:w="110" w:type="dxa"/>
              <w:left w:w="110" w:type="dxa"/>
              <w:bottom w:w="110" w:type="dxa"/>
              <w:right w:w="110" w:type="dxa"/>
            </w:tcMar>
            <w:vAlign w:val="center"/>
          </w:tcPr>
          <w:p w14:paraId="5CC0AD2D" w14:textId="77777777" w:rsidR="00F14BB8" w:rsidRDefault="00A65DEB">
            <w:pPr>
              <w:rPr>
                <w:rFonts w:hint="eastAsia"/>
              </w:rPr>
            </w:pPr>
            <w:r>
              <w:rPr>
                <w:b/>
                <w:color w:val="FFFFFF"/>
                <w:sz w:val="19"/>
              </w:rPr>
              <w:t>Term</w:t>
            </w:r>
          </w:p>
        </w:tc>
        <w:tc>
          <w:tcPr>
            <w:tcW w:w="7344" w:type="dxa"/>
            <w:shd w:val="clear" w:color="auto" w:fill="17365D"/>
            <w:tcMar>
              <w:top w:w="110" w:type="dxa"/>
              <w:left w:w="110" w:type="dxa"/>
              <w:bottom w:w="110" w:type="dxa"/>
              <w:right w:w="110" w:type="dxa"/>
            </w:tcMar>
            <w:vAlign w:val="center"/>
          </w:tcPr>
          <w:p w14:paraId="66C07348" w14:textId="77777777" w:rsidR="00F14BB8" w:rsidRDefault="00A65DEB">
            <w:pPr>
              <w:rPr>
                <w:rFonts w:hint="eastAsia"/>
              </w:rPr>
            </w:pPr>
            <w:r>
              <w:rPr>
                <w:b/>
                <w:color w:val="FFFFFF"/>
                <w:sz w:val="19"/>
              </w:rPr>
              <w:t>Definition</w:t>
            </w:r>
          </w:p>
        </w:tc>
      </w:tr>
      <w:tr w:rsidR="00F14BB8" w14:paraId="6892A2DF" w14:textId="77777777">
        <w:trPr>
          <w:jc w:val="center"/>
        </w:trPr>
        <w:tc>
          <w:tcPr>
            <w:tcW w:w="2232" w:type="dxa"/>
            <w:shd w:val="clear" w:color="auto" w:fill="FFFFFF"/>
            <w:tcMar>
              <w:top w:w="100" w:type="dxa"/>
              <w:left w:w="110" w:type="dxa"/>
              <w:bottom w:w="100" w:type="dxa"/>
              <w:right w:w="110" w:type="dxa"/>
            </w:tcMar>
            <w:vAlign w:val="center"/>
          </w:tcPr>
          <w:p w14:paraId="09017081" w14:textId="77777777" w:rsidR="00F14BB8" w:rsidRDefault="00A65DEB">
            <w:pPr>
              <w:rPr>
                <w:rFonts w:hint="eastAsia"/>
              </w:rPr>
            </w:pPr>
            <w:r>
              <w:rPr>
                <w:sz w:val="19"/>
              </w:rPr>
              <w:t>Declared Base</w:t>
            </w:r>
          </w:p>
        </w:tc>
        <w:tc>
          <w:tcPr>
            <w:tcW w:w="7344" w:type="dxa"/>
            <w:shd w:val="clear" w:color="auto" w:fill="FFFFFF"/>
            <w:tcMar>
              <w:top w:w="100" w:type="dxa"/>
              <w:left w:w="110" w:type="dxa"/>
              <w:bottom w:w="100" w:type="dxa"/>
              <w:right w:w="110" w:type="dxa"/>
            </w:tcMar>
            <w:vAlign w:val="center"/>
          </w:tcPr>
          <w:p w14:paraId="1745B738" w14:textId="77777777" w:rsidR="00F14BB8" w:rsidRDefault="00A65DEB">
            <w:pPr>
              <w:rPr>
                <w:rFonts w:hint="eastAsia"/>
              </w:rPr>
            </w:pPr>
            <w:r>
              <w:rPr>
                <w:sz w:val="19"/>
              </w:rPr>
              <w:t>The canonical structure and expectations registered for the Base: Tables, Fields, contracts, identities, relationships, and applicable Rules.</w:t>
            </w:r>
          </w:p>
        </w:tc>
      </w:tr>
      <w:tr w:rsidR="00F14BB8" w14:paraId="2171912E" w14:textId="77777777">
        <w:trPr>
          <w:jc w:val="center"/>
        </w:trPr>
        <w:tc>
          <w:tcPr>
            <w:tcW w:w="2232" w:type="dxa"/>
            <w:shd w:val="clear" w:color="auto" w:fill="F7F9FB"/>
            <w:tcMar>
              <w:top w:w="100" w:type="dxa"/>
              <w:left w:w="110" w:type="dxa"/>
              <w:bottom w:w="100" w:type="dxa"/>
              <w:right w:w="110" w:type="dxa"/>
            </w:tcMar>
            <w:vAlign w:val="center"/>
          </w:tcPr>
          <w:p w14:paraId="5C7F3040" w14:textId="77777777" w:rsidR="00F14BB8" w:rsidRDefault="00A65DEB">
            <w:pPr>
              <w:rPr>
                <w:rFonts w:hint="eastAsia"/>
              </w:rPr>
            </w:pPr>
            <w:r>
              <w:rPr>
                <w:sz w:val="19"/>
              </w:rPr>
              <w:t>Observed Base</w:t>
            </w:r>
          </w:p>
        </w:tc>
        <w:tc>
          <w:tcPr>
            <w:tcW w:w="7344" w:type="dxa"/>
            <w:shd w:val="clear" w:color="auto" w:fill="F7F9FB"/>
            <w:tcMar>
              <w:top w:w="100" w:type="dxa"/>
              <w:left w:w="110" w:type="dxa"/>
              <w:bottom w:w="100" w:type="dxa"/>
              <w:right w:w="110" w:type="dxa"/>
            </w:tcMar>
            <w:vAlign w:val="center"/>
          </w:tcPr>
          <w:p w14:paraId="166AFCD1" w14:textId="77777777" w:rsidR="00F14BB8" w:rsidRDefault="00A65DEB">
            <w:pPr>
              <w:rPr>
                <w:rFonts w:hint="eastAsia"/>
              </w:rPr>
            </w:pPr>
            <w:r>
              <w:rPr>
                <w:sz w:val="19"/>
              </w:rPr>
              <w:t>The current runtime state actually present in the implementation.</w:t>
            </w:r>
          </w:p>
        </w:tc>
      </w:tr>
      <w:tr w:rsidR="00F14BB8" w14:paraId="58FD9A01" w14:textId="77777777">
        <w:trPr>
          <w:jc w:val="center"/>
        </w:trPr>
        <w:tc>
          <w:tcPr>
            <w:tcW w:w="2232" w:type="dxa"/>
            <w:shd w:val="clear" w:color="auto" w:fill="FFFFFF"/>
            <w:tcMar>
              <w:top w:w="100" w:type="dxa"/>
              <w:left w:w="110" w:type="dxa"/>
              <w:bottom w:w="100" w:type="dxa"/>
              <w:right w:w="110" w:type="dxa"/>
            </w:tcMar>
            <w:vAlign w:val="center"/>
          </w:tcPr>
          <w:p w14:paraId="1CDB4E7B" w14:textId="77777777" w:rsidR="00F14BB8" w:rsidRDefault="00A65DEB">
            <w:pPr>
              <w:rPr>
                <w:rFonts w:hint="eastAsia"/>
              </w:rPr>
            </w:pPr>
            <w:r>
              <w:rPr>
                <w:sz w:val="19"/>
              </w:rPr>
              <w:t>Diagnostic Contract</w:t>
            </w:r>
          </w:p>
        </w:tc>
        <w:tc>
          <w:tcPr>
            <w:tcW w:w="7344" w:type="dxa"/>
            <w:shd w:val="clear" w:color="auto" w:fill="FFFFFF"/>
            <w:tcMar>
              <w:top w:w="100" w:type="dxa"/>
              <w:left w:w="110" w:type="dxa"/>
              <w:bottom w:w="100" w:type="dxa"/>
              <w:right w:w="110" w:type="dxa"/>
            </w:tcMar>
            <w:vAlign w:val="center"/>
          </w:tcPr>
          <w:p w14:paraId="245E8413" w14:textId="77777777" w:rsidR="00F14BB8" w:rsidRDefault="00A65DEB">
            <w:pPr>
              <w:rPr>
                <w:rFonts w:hint="eastAsia"/>
              </w:rPr>
            </w:pPr>
            <w:r>
              <w:rPr>
                <w:sz w:val="19"/>
              </w:rPr>
              <w:t>A registered test stating where it applies, what should be true, and how failure is classified.</w:t>
            </w:r>
          </w:p>
        </w:tc>
      </w:tr>
      <w:tr w:rsidR="00F14BB8" w14:paraId="6352AAD7" w14:textId="77777777">
        <w:trPr>
          <w:jc w:val="center"/>
        </w:trPr>
        <w:tc>
          <w:tcPr>
            <w:tcW w:w="2232" w:type="dxa"/>
            <w:shd w:val="clear" w:color="auto" w:fill="F7F9FB"/>
            <w:tcMar>
              <w:top w:w="100" w:type="dxa"/>
              <w:left w:w="110" w:type="dxa"/>
              <w:bottom w:w="100" w:type="dxa"/>
              <w:right w:w="110" w:type="dxa"/>
            </w:tcMar>
            <w:vAlign w:val="center"/>
          </w:tcPr>
          <w:p w14:paraId="1409EEAF" w14:textId="77777777" w:rsidR="00F14BB8" w:rsidRDefault="00A65DEB">
            <w:pPr>
              <w:rPr>
                <w:rFonts w:hint="eastAsia"/>
              </w:rPr>
            </w:pPr>
            <w:r>
              <w:rPr>
                <w:sz w:val="19"/>
              </w:rPr>
              <w:t>Diagnostic Finding</w:t>
            </w:r>
          </w:p>
        </w:tc>
        <w:tc>
          <w:tcPr>
            <w:tcW w:w="7344" w:type="dxa"/>
            <w:shd w:val="clear" w:color="auto" w:fill="F7F9FB"/>
            <w:tcMar>
              <w:top w:w="100" w:type="dxa"/>
              <w:left w:w="110" w:type="dxa"/>
              <w:bottom w:w="100" w:type="dxa"/>
              <w:right w:w="110" w:type="dxa"/>
            </w:tcMar>
            <w:vAlign w:val="center"/>
          </w:tcPr>
          <w:p w14:paraId="5C166CA4" w14:textId="77777777" w:rsidR="00F14BB8" w:rsidRDefault="00A65DEB">
            <w:pPr>
              <w:rPr>
                <w:rFonts w:hint="eastAsia"/>
              </w:rPr>
            </w:pPr>
            <w:r>
              <w:rPr>
                <w:sz w:val="19"/>
              </w:rPr>
              <w:t>The evidence produced when observed structure is evaluated against an applicable Diagnostic Contract.</w:t>
            </w:r>
          </w:p>
        </w:tc>
      </w:tr>
      <w:tr w:rsidR="00F14BB8" w14:paraId="4101168B" w14:textId="77777777">
        <w:trPr>
          <w:jc w:val="center"/>
        </w:trPr>
        <w:tc>
          <w:tcPr>
            <w:tcW w:w="2232" w:type="dxa"/>
            <w:shd w:val="clear" w:color="auto" w:fill="FFFFFF"/>
            <w:tcMar>
              <w:top w:w="100" w:type="dxa"/>
              <w:left w:w="110" w:type="dxa"/>
              <w:bottom w:w="100" w:type="dxa"/>
              <w:right w:w="110" w:type="dxa"/>
            </w:tcMar>
            <w:vAlign w:val="center"/>
          </w:tcPr>
          <w:p w14:paraId="7570DD15" w14:textId="77777777" w:rsidR="00F14BB8" w:rsidRDefault="00A65DEB">
            <w:pPr>
              <w:rPr>
                <w:rFonts w:hint="eastAsia"/>
              </w:rPr>
            </w:pPr>
            <w:r>
              <w:rPr>
                <w:sz w:val="19"/>
              </w:rPr>
              <w:t>Integrity State</w:t>
            </w:r>
          </w:p>
        </w:tc>
        <w:tc>
          <w:tcPr>
            <w:tcW w:w="7344" w:type="dxa"/>
            <w:shd w:val="clear" w:color="auto" w:fill="FFFFFF"/>
            <w:tcMar>
              <w:top w:w="100" w:type="dxa"/>
              <w:left w:w="110" w:type="dxa"/>
              <w:bottom w:w="100" w:type="dxa"/>
              <w:right w:w="110" w:type="dxa"/>
            </w:tcMar>
            <w:vAlign w:val="center"/>
          </w:tcPr>
          <w:p w14:paraId="05DE6CD0" w14:textId="77777777" w:rsidR="00F14BB8" w:rsidRDefault="00A65DEB">
            <w:pPr>
              <w:rPr>
                <w:rFonts w:hint="eastAsia"/>
              </w:rPr>
            </w:pPr>
            <w:r>
              <w:rPr>
                <w:sz w:val="19"/>
              </w:rPr>
              <w:t>One of Forbidden, Fix, Warning, Okay, or Ideal.</w:t>
            </w:r>
          </w:p>
        </w:tc>
      </w:tr>
      <w:tr w:rsidR="00F14BB8" w14:paraId="73ADC6A0" w14:textId="77777777">
        <w:trPr>
          <w:jc w:val="center"/>
        </w:trPr>
        <w:tc>
          <w:tcPr>
            <w:tcW w:w="2232" w:type="dxa"/>
            <w:shd w:val="clear" w:color="auto" w:fill="F7F9FB"/>
            <w:tcMar>
              <w:top w:w="100" w:type="dxa"/>
              <w:left w:w="110" w:type="dxa"/>
              <w:bottom w:w="100" w:type="dxa"/>
              <w:right w:w="110" w:type="dxa"/>
            </w:tcMar>
            <w:vAlign w:val="center"/>
          </w:tcPr>
          <w:p w14:paraId="61CAA810" w14:textId="77777777" w:rsidR="00F14BB8" w:rsidRDefault="00A65DEB">
            <w:pPr>
              <w:rPr>
                <w:rFonts w:hint="eastAsia"/>
              </w:rPr>
            </w:pPr>
            <w:r>
              <w:rPr>
                <w:sz w:val="19"/>
              </w:rPr>
              <w:t>Service Item</w:t>
            </w:r>
          </w:p>
        </w:tc>
        <w:tc>
          <w:tcPr>
            <w:tcW w:w="7344" w:type="dxa"/>
            <w:shd w:val="clear" w:color="auto" w:fill="F7F9FB"/>
            <w:tcMar>
              <w:top w:w="100" w:type="dxa"/>
              <w:left w:w="110" w:type="dxa"/>
              <w:bottom w:w="100" w:type="dxa"/>
              <w:right w:w="110" w:type="dxa"/>
            </w:tcMar>
            <w:vAlign w:val="center"/>
          </w:tcPr>
          <w:p w14:paraId="369E5849" w14:textId="77777777" w:rsidR="00F14BB8" w:rsidRDefault="00A65DEB">
            <w:pPr>
              <w:rPr>
                <w:rFonts w:hint="eastAsia"/>
              </w:rPr>
            </w:pPr>
            <w:r>
              <w:rPr>
                <w:sz w:val="19"/>
              </w:rPr>
              <w:t>Derived maintenance work produced from a diagnostic finding when intervention is warranted.</w:t>
            </w:r>
          </w:p>
        </w:tc>
      </w:tr>
      <w:tr w:rsidR="00F14BB8" w14:paraId="163EA2E7" w14:textId="77777777">
        <w:trPr>
          <w:jc w:val="center"/>
        </w:trPr>
        <w:tc>
          <w:tcPr>
            <w:tcW w:w="2232" w:type="dxa"/>
            <w:shd w:val="clear" w:color="auto" w:fill="FFFFFF"/>
            <w:tcMar>
              <w:top w:w="100" w:type="dxa"/>
              <w:left w:w="110" w:type="dxa"/>
              <w:bottom w:w="100" w:type="dxa"/>
              <w:right w:w="110" w:type="dxa"/>
            </w:tcMar>
            <w:vAlign w:val="center"/>
          </w:tcPr>
          <w:p w14:paraId="6CA9EDB8" w14:textId="77777777" w:rsidR="00F14BB8" w:rsidRDefault="00A65DEB">
            <w:pPr>
              <w:rPr>
                <w:rFonts w:hint="eastAsia"/>
              </w:rPr>
            </w:pPr>
            <w:r>
              <w:rPr>
                <w:sz w:val="19"/>
              </w:rPr>
              <w:t>Service Priority</w:t>
            </w:r>
          </w:p>
        </w:tc>
        <w:tc>
          <w:tcPr>
            <w:tcW w:w="7344" w:type="dxa"/>
            <w:shd w:val="clear" w:color="auto" w:fill="FFFFFF"/>
            <w:tcMar>
              <w:top w:w="100" w:type="dxa"/>
              <w:left w:w="110" w:type="dxa"/>
              <w:bottom w:w="100" w:type="dxa"/>
              <w:right w:w="110" w:type="dxa"/>
            </w:tcMar>
            <w:vAlign w:val="center"/>
          </w:tcPr>
          <w:p w14:paraId="4E11A6F3" w14:textId="77777777" w:rsidR="00F14BB8" w:rsidRDefault="00A65DEB">
            <w:pPr>
              <w:rPr>
                <w:rFonts w:hint="eastAsia"/>
              </w:rPr>
            </w:pPr>
            <w:r>
              <w:rPr>
                <w:sz w:val="19"/>
              </w:rPr>
              <w:t>A separate ranking of when service should be addressed, considering operational impact as well as integrity state.</w:t>
            </w:r>
          </w:p>
        </w:tc>
      </w:tr>
    </w:tbl>
    <w:p w14:paraId="7BFC3D99" w14:textId="77777777" w:rsidR="00F14BB8" w:rsidRDefault="00F14BB8">
      <w:pPr>
        <w:spacing w:after="20"/>
        <w:rPr>
          <w:rFonts w:hint="eastAsia"/>
        </w:rPr>
      </w:pPr>
    </w:p>
    <w:p w14:paraId="16D413F1" w14:textId="77777777" w:rsidR="00F14BB8" w:rsidRDefault="00A65DEB">
      <w:pPr>
        <w:pStyle w:val="Heading2"/>
        <w:spacing w:after="80"/>
      </w:pPr>
      <w:r>
        <w:rPr>
          <w:rFonts w:ascii="Carlito" w:hAnsi="Carlito"/>
        </w:rPr>
        <w:t>1.2 Boundaries</w:t>
      </w:r>
    </w:p>
    <w:p w14:paraId="610DB3AE" w14:textId="77777777" w:rsidR="00F14BB8" w:rsidRDefault="00A65DEB">
      <w:pPr>
        <w:spacing w:after="140" w:line="259" w:lineRule="auto"/>
        <w:rPr>
          <w:rFonts w:hint="eastAsia"/>
        </w:rPr>
      </w:pPr>
      <w:r>
        <w:t>This paper intentionally stops at the boundary of one Base. It does not define Stack-to-Base expansion, Home Base federation, Base Crawlers, local SOLAR handoff, BOOTSTRAP handoff, or cross-Base service reporting. Those mechanisms depend on the local integrity architecture defined here and are treated separately.</w:t>
      </w:r>
    </w:p>
    <w:p w14:paraId="65B2FDB7" w14:textId="77777777" w:rsidR="00F14BB8" w:rsidRDefault="00A65DEB">
      <w:pPr>
        <w:pStyle w:val="Heading1"/>
        <w:spacing w:before="260" w:after="120"/>
      </w:pPr>
      <w:r>
        <w:rPr>
          <w:rFonts w:ascii="Carlito" w:hAnsi="Carlito"/>
        </w:rPr>
        <w:t>2. From Self-Description to Self-Service</w:t>
      </w:r>
    </w:p>
    <w:p w14:paraId="1EBC37B7" w14:textId="77777777" w:rsidR="00F14BB8" w:rsidRDefault="00A65DEB">
      <w:pPr>
        <w:spacing w:after="140" w:line="259" w:lineRule="auto"/>
        <w:rPr>
          <w:rFonts w:hint="eastAsia"/>
        </w:rPr>
      </w:pPr>
      <w:r>
        <w:t>A self-documenting system has an unusual maintenance advantage: its own architecture can become the specification against which its runtime health is measured. If the Registry says a computational BitGroup requires one Formula link, the absence of that link is not an interpretive opinion. It is a structural discrepancy. If a canonical identity must be unique and two active records claim it, the conflict is equally observable.</w:t>
      </w:r>
    </w:p>
    <w:p w14:paraId="35B21FFA" w14:textId="77777777" w:rsidR="00F14BB8" w:rsidRDefault="00A65DEB">
      <w:pPr>
        <w:spacing w:after="140" w:line="259" w:lineRule="auto"/>
        <w:rPr>
          <w:rFonts w:hint="eastAsia"/>
        </w:rPr>
      </w:pPr>
      <w:r>
        <w:t>BASE SERVICE therefore begins with a simple comparison: declared structure versus observed structure. The declared side represents what the Base says should be true under an applicable contract. The observed side represents what is actually true in the implementation. A mismatch produces a Diagnostic Finding at the exact structural location where the mismatch occurs.</w:t>
      </w:r>
    </w:p>
    <w:tbl>
      <w:tblPr>
        <w:tblW w:w="0" w:type="auto"/>
        <w:jc w:val="center"/>
        <w:tblLook w:val="04A0" w:firstRow="1" w:lastRow="0" w:firstColumn="1" w:lastColumn="0" w:noHBand="0" w:noVBand="1"/>
      </w:tblPr>
      <w:tblGrid>
        <w:gridCol w:w="9878"/>
      </w:tblGrid>
      <w:tr w:rsidR="00F14BB8" w14:paraId="189F27F9" w14:textId="77777777">
        <w:trPr>
          <w:cantSplit/>
          <w:jc w:val="center"/>
        </w:trPr>
        <w:tc>
          <w:tcPr>
            <w:tcW w:w="9878" w:type="dxa"/>
            <w:tcBorders>
              <w:top w:val="nil"/>
              <w:left w:val="single" w:sz="18" w:space="0" w:color="17365D"/>
              <w:bottom w:val="nil"/>
              <w:right w:val="nil"/>
            </w:tcBorders>
            <w:shd w:val="clear" w:color="auto" w:fill="F2F5F7"/>
            <w:tcMar>
              <w:top w:w="160" w:type="dxa"/>
              <w:left w:w="180" w:type="dxa"/>
              <w:bottom w:w="160" w:type="dxa"/>
              <w:right w:w="180" w:type="dxa"/>
            </w:tcMar>
          </w:tcPr>
          <w:p w14:paraId="0D819204" w14:textId="77777777" w:rsidR="00F14BB8" w:rsidRDefault="00A65DEB">
            <w:pPr>
              <w:spacing w:after="100"/>
              <w:rPr>
                <w:rFonts w:hint="eastAsia"/>
              </w:rPr>
            </w:pPr>
            <w:r>
              <w:rPr>
                <w:b/>
                <w:color w:val="17365D"/>
                <w:sz w:val="21"/>
              </w:rPr>
              <w:t>SERVICE PRINCIPLE</w:t>
            </w:r>
          </w:p>
          <w:p w14:paraId="3ECB4EE9" w14:textId="77777777" w:rsidR="00F14BB8" w:rsidRDefault="00A65DEB">
            <w:pPr>
              <w:spacing w:after="0" w:line="259" w:lineRule="auto"/>
              <w:rPr>
                <w:rFonts w:hint="eastAsia"/>
              </w:rPr>
            </w:pPr>
            <w:r>
              <w:t>The Base is the source of truth; service is a derived view of whether the Base currently conforms to its own registered contracts.</w:t>
            </w:r>
          </w:p>
        </w:tc>
      </w:tr>
    </w:tbl>
    <w:p w14:paraId="2CCD4171" w14:textId="77777777" w:rsidR="00F14BB8" w:rsidRDefault="00F14BB8">
      <w:pPr>
        <w:spacing w:after="0"/>
        <w:rPr>
          <w:rFonts w:hint="eastAsia"/>
        </w:rPr>
      </w:pPr>
    </w:p>
    <w:p w14:paraId="5954588D" w14:textId="77777777" w:rsidR="00F14BB8" w:rsidRDefault="00A65DEB">
      <w:pPr>
        <w:spacing w:before="160" w:after="80"/>
        <w:jc w:val="center"/>
        <w:rPr>
          <w:rFonts w:hint="eastAsia"/>
        </w:rPr>
      </w:pPr>
      <w:r>
        <w:rPr>
          <w:noProof/>
        </w:rPr>
        <w:drawing>
          <wp:inline distT="0" distB="0" distL="0" distR="0" wp14:anchorId="44D8DF8E" wp14:editId="4F052B51">
            <wp:extent cx="6263640" cy="34102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self_description_service.png"/>
                    <pic:cNvPicPr/>
                  </pic:nvPicPr>
                  <pic:blipFill>
                    <a:blip r:embed="rId8"/>
                    <a:stretch>
                      <a:fillRect/>
                    </a:stretch>
                  </pic:blipFill>
                  <pic:spPr>
                    <a:xfrm>
                      <a:off x="0" y="0"/>
                      <a:ext cx="6263640" cy="3410204"/>
                    </a:xfrm>
                    <a:prstGeom prst="rect">
                      <a:avLst/>
                    </a:prstGeom>
                  </pic:spPr>
                </pic:pic>
              </a:graphicData>
            </a:graphic>
          </wp:inline>
        </w:drawing>
      </w:r>
    </w:p>
    <w:p w14:paraId="13D60486" w14:textId="77777777" w:rsidR="00F14BB8" w:rsidRDefault="00A65DEB">
      <w:pPr>
        <w:keepNext/>
        <w:spacing w:after="180"/>
        <w:jc w:val="center"/>
        <w:rPr>
          <w:rFonts w:hint="eastAsia"/>
        </w:rPr>
      </w:pPr>
      <w:r>
        <w:rPr>
          <w:b/>
          <w:color w:val="4F81BD"/>
          <w:sz w:val="19"/>
        </w:rPr>
        <w:t xml:space="preserve">Figure 1. </w:t>
      </w:r>
      <w:r>
        <w:rPr>
          <w:color w:val="56626E"/>
          <w:sz w:val="19"/>
        </w:rPr>
        <w:t>Self-description becomes self-service when registered expectations are compared deterministically with current runtime structure.</w:t>
      </w:r>
    </w:p>
    <w:p w14:paraId="1478405B" w14:textId="77777777" w:rsidR="00F14BB8" w:rsidRDefault="00A65DEB">
      <w:pPr>
        <w:spacing w:after="140" w:line="259" w:lineRule="auto"/>
        <w:rPr>
          <w:rFonts w:hint="eastAsia"/>
        </w:rPr>
      </w:pPr>
      <w:r>
        <w:t>The same mechanism can identify healthy state. A contract that passes contributes evidence toward Okay or Ideal integrity. Consequently, BASE SERVICE is not only an error detector. It is a structured health model capable of explaining why an object is valid, incomplete, degraded, or invalid for a particular use.</w:t>
      </w:r>
    </w:p>
    <w:p w14:paraId="644994F5" w14:textId="77777777" w:rsidR="00F14BB8" w:rsidRDefault="00A65DEB">
      <w:pPr>
        <w:pStyle w:val="Heading1"/>
        <w:spacing w:before="260" w:after="120"/>
      </w:pPr>
      <w:r>
        <w:rPr>
          <w:rFonts w:ascii="Carlito" w:hAnsi="Carlito"/>
        </w:rPr>
        <w:t>3. Canonical Schema Coordinates</w:t>
      </w:r>
    </w:p>
    <w:p w14:paraId="75E47A27" w14:textId="77777777" w:rsidR="00F14BB8" w:rsidRDefault="00A65DEB">
      <w:pPr>
        <w:spacing w:after="140" w:line="259" w:lineRule="auto"/>
        <w:rPr>
          <w:rFonts w:hint="eastAsia"/>
        </w:rPr>
      </w:pPr>
      <w:r>
        <w:t>The diagnostic system requires a compact way to name the schema it is inspecting. CERBERUS assigns each canonical Table a letter according to its stable Table Registry position and each canonical Field a number according to its stable Field Registry position. The resulting coordinate is human-readable, machine-addressable, and independent of runtime identifiers.</w:t>
      </w:r>
    </w:p>
    <w:p w14:paraId="592F33BC" w14:textId="77777777" w:rsidR="00F14BB8" w:rsidRDefault="00A65DEB">
      <w:pPr>
        <w:spacing w:after="140" w:line="259" w:lineRule="auto"/>
        <w:rPr>
          <w:rFonts w:hint="eastAsia"/>
        </w:rPr>
      </w:pPr>
      <w:r>
        <w:t>The basic form is Table Letter + Field Number. A12 means canonical Table A, canonical Field 12. A structural edge is written as a relationship between coordinates: A12 → G41. The meaning is not merely that two records happen to be linked; it identifies the exact schema relationship whose integrity is being evaluated.</w:t>
      </w:r>
    </w:p>
    <w:p w14:paraId="02E0A006" w14:textId="77777777" w:rsidR="00F14BB8" w:rsidRDefault="00A65DEB">
      <w:pPr>
        <w:spacing w:before="160" w:after="80"/>
        <w:jc w:val="center"/>
        <w:rPr>
          <w:rFonts w:hint="eastAsia"/>
        </w:rPr>
      </w:pPr>
      <w:r>
        <w:rPr>
          <w:noProof/>
        </w:rPr>
        <w:drawing>
          <wp:inline distT="0" distB="0" distL="0" distR="0" wp14:anchorId="145BAF60" wp14:editId="1C63AD66">
            <wp:extent cx="6263640" cy="34102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schema_coordinate_grid.png"/>
                    <pic:cNvPicPr/>
                  </pic:nvPicPr>
                  <pic:blipFill>
                    <a:blip r:embed="rId9"/>
                    <a:stretch>
                      <a:fillRect/>
                    </a:stretch>
                  </pic:blipFill>
                  <pic:spPr>
                    <a:xfrm>
                      <a:off x="0" y="0"/>
                      <a:ext cx="6263640" cy="3410204"/>
                    </a:xfrm>
                    <a:prstGeom prst="rect">
                      <a:avLst/>
                    </a:prstGeom>
                  </pic:spPr>
                </pic:pic>
              </a:graphicData>
            </a:graphic>
          </wp:inline>
        </w:drawing>
      </w:r>
    </w:p>
    <w:p w14:paraId="7E67A8CB" w14:textId="77777777" w:rsidR="00F14BB8" w:rsidRDefault="00A65DEB">
      <w:pPr>
        <w:keepNext/>
        <w:spacing w:after="180"/>
        <w:jc w:val="center"/>
        <w:rPr>
          <w:rFonts w:hint="eastAsia"/>
        </w:rPr>
      </w:pPr>
      <w:r>
        <w:rPr>
          <w:b/>
          <w:color w:val="4F81BD"/>
          <w:sz w:val="19"/>
        </w:rPr>
        <w:t xml:space="preserve">Figure 2. </w:t>
      </w:r>
      <w:r>
        <w:rPr>
          <w:color w:val="56626E"/>
          <w:sz w:val="19"/>
        </w:rPr>
        <w:t>Canonical schema coordinates identify Tables by letter and Fields by number; A12 → G41 names an exact registered relationship.</w:t>
      </w:r>
    </w:p>
    <w:p w14:paraId="69C370CD" w14:textId="77777777" w:rsidR="00F14BB8" w:rsidRDefault="00A65DEB">
      <w:pPr>
        <w:pStyle w:val="Heading2"/>
        <w:spacing w:after="80"/>
      </w:pPr>
      <w:r>
        <w:rPr>
          <w:rFonts w:ascii="Carlito" w:hAnsi="Carlito"/>
        </w:rPr>
        <w:t>3.1 Minimal coordinate grammar</w:t>
      </w:r>
    </w:p>
    <w:tbl>
      <w:tblPr>
        <w:tblStyle w:val="TableGrid"/>
        <w:tblW w:w="0" w:type="auto"/>
        <w:jc w:val="center"/>
        <w:tblLook w:val="04A0" w:firstRow="1" w:lastRow="0" w:firstColumn="1" w:lastColumn="0" w:noHBand="0" w:noVBand="1"/>
      </w:tblPr>
      <w:tblGrid>
        <w:gridCol w:w="1944"/>
        <w:gridCol w:w="3096"/>
        <w:gridCol w:w="4536"/>
      </w:tblGrid>
      <w:tr w:rsidR="00F14BB8" w14:paraId="3A8D95D6" w14:textId="77777777">
        <w:trPr>
          <w:tblHeader/>
          <w:jc w:val="center"/>
        </w:trPr>
        <w:tc>
          <w:tcPr>
            <w:tcW w:w="1944" w:type="dxa"/>
            <w:shd w:val="clear" w:color="auto" w:fill="17365D"/>
            <w:tcMar>
              <w:top w:w="110" w:type="dxa"/>
              <w:left w:w="110" w:type="dxa"/>
              <w:bottom w:w="110" w:type="dxa"/>
              <w:right w:w="110" w:type="dxa"/>
            </w:tcMar>
            <w:vAlign w:val="center"/>
          </w:tcPr>
          <w:p w14:paraId="09CB5F63" w14:textId="77777777" w:rsidR="00F14BB8" w:rsidRDefault="00A65DEB">
            <w:pPr>
              <w:rPr>
                <w:rFonts w:hint="eastAsia"/>
              </w:rPr>
            </w:pPr>
            <w:r>
              <w:rPr>
                <w:b/>
                <w:color w:val="FFFFFF"/>
                <w:sz w:val="19"/>
              </w:rPr>
              <w:t>Form</w:t>
            </w:r>
          </w:p>
        </w:tc>
        <w:tc>
          <w:tcPr>
            <w:tcW w:w="3096" w:type="dxa"/>
            <w:shd w:val="clear" w:color="auto" w:fill="17365D"/>
            <w:tcMar>
              <w:top w:w="110" w:type="dxa"/>
              <w:left w:w="110" w:type="dxa"/>
              <w:bottom w:w="110" w:type="dxa"/>
              <w:right w:w="110" w:type="dxa"/>
            </w:tcMar>
            <w:vAlign w:val="center"/>
          </w:tcPr>
          <w:p w14:paraId="5A17168E" w14:textId="77777777" w:rsidR="00F14BB8" w:rsidRDefault="00A65DEB">
            <w:pPr>
              <w:rPr>
                <w:rFonts w:hint="eastAsia"/>
              </w:rPr>
            </w:pPr>
            <w:r>
              <w:rPr>
                <w:b/>
                <w:color w:val="FFFFFF"/>
                <w:sz w:val="19"/>
              </w:rPr>
              <w:t>Meaning</w:t>
            </w:r>
          </w:p>
        </w:tc>
        <w:tc>
          <w:tcPr>
            <w:tcW w:w="4536" w:type="dxa"/>
            <w:shd w:val="clear" w:color="auto" w:fill="17365D"/>
            <w:tcMar>
              <w:top w:w="110" w:type="dxa"/>
              <w:left w:w="110" w:type="dxa"/>
              <w:bottom w:w="110" w:type="dxa"/>
              <w:right w:w="110" w:type="dxa"/>
            </w:tcMar>
            <w:vAlign w:val="center"/>
          </w:tcPr>
          <w:p w14:paraId="42C92B44" w14:textId="77777777" w:rsidR="00F14BB8" w:rsidRDefault="00A65DEB">
            <w:pPr>
              <w:rPr>
                <w:rFonts w:hint="eastAsia"/>
              </w:rPr>
            </w:pPr>
            <w:r>
              <w:rPr>
                <w:b/>
                <w:color w:val="FFFFFF"/>
                <w:sz w:val="19"/>
              </w:rPr>
              <w:t>Example</w:t>
            </w:r>
          </w:p>
        </w:tc>
      </w:tr>
      <w:tr w:rsidR="00F14BB8" w14:paraId="1CD56423" w14:textId="77777777">
        <w:trPr>
          <w:jc w:val="center"/>
        </w:trPr>
        <w:tc>
          <w:tcPr>
            <w:tcW w:w="1944" w:type="dxa"/>
            <w:shd w:val="clear" w:color="auto" w:fill="FFFFFF"/>
            <w:tcMar>
              <w:top w:w="100" w:type="dxa"/>
              <w:left w:w="110" w:type="dxa"/>
              <w:bottom w:w="100" w:type="dxa"/>
              <w:right w:w="110" w:type="dxa"/>
            </w:tcMar>
            <w:vAlign w:val="center"/>
          </w:tcPr>
          <w:p w14:paraId="64BA0D2E" w14:textId="77777777" w:rsidR="00F14BB8" w:rsidRDefault="00A65DEB">
            <w:pPr>
              <w:rPr>
                <w:rFonts w:hint="eastAsia"/>
              </w:rPr>
            </w:pPr>
            <w:r>
              <w:rPr>
                <w:sz w:val="19"/>
              </w:rPr>
              <w:t>A12</w:t>
            </w:r>
          </w:p>
        </w:tc>
        <w:tc>
          <w:tcPr>
            <w:tcW w:w="3096" w:type="dxa"/>
            <w:shd w:val="clear" w:color="auto" w:fill="FFFFFF"/>
            <w:tcMar>
              <w:top w:w="100" w:type="dxa"/>
              <w:left w:w="110" w:type="dxa"/>
              <w:bottom w:w="100" w:type="dxa"/>
              <w:right w:w="110" w:type="dxa"/>
            </w:tcMar>
            <w:vAlign w:val="center"/>
          </w:tcPr>
          <w:p w14:paraId="509880C4" w14:textId="77777777" w:rsidR="00F14BB8" w:rsidRDefault="00A65DEB">
            <w:pPr>
              <w:rPr>
                <w:rFonts w:hint="eastAsia"/>
              </w:rPr>
            </w:pPr>
            <w:r>
              <w:rPr>
                <w:sz w:val="19"/>
              </w:rPr>
              <w:t>One canonical Field location</w:t>
            </w:r>
          </w:p>
        </w:tc>
        <w:tc>
          <w:tcPr>
            <w:tcW w:w="4536" w:type="dxa"/>
            <w:shd w:val="clear" w:color="auto" w:fill="FFFFFF"/>
            <w:tcMar>
              <w:top w:w="100" w:type="dxa"/>
              <w:left w:w="110" w:type="dxa"/>
              <w:bottom w:w="100" w:type="dxa"/>
              <w:right w:w="110" w:type="dxa"/>
            </w:tcMar>
            <w:vAlign w:val="center"/>
          </w:tcPr>
          <w:p w14:paraId="0590BDFE" w14:textId="77777777" w:rsidR="00F14BB8" w:rsidRDefault="00A65DEB">
            <w:pPr>
              <w:rPr>
                <w:rFonts w:hint="eastAsia"/>
              </w:rPr>
            </w:pPr>
            <w:r>
              <w:rPr>
                <w:sz w:val="19"/>
              </w:rPr>
              <w:t>Inspect or refer to Table A, Field 12.</w:t>
            </w:r>
          </w:p>
        </w:tc>
      </w:tr>
      <w:tr w:rsidR="00F14BB8" w14:paraId="07129804" w14:textId="77777777">
        <w:trPr>
          <w:jc w:val="center"/>
        </w:trPr>
        <w:tc>
          <w:tcPr>
            <w:tcW w:w="1944" w:type="dxa"/>
            <w:shd w:val="clear" w:color="auto" w:fill="F7F9FB"/>
            <w:tcMar>
              <w:top w:w="100" w:type="dxa"/>
              <w:left w:w="110" w:type="dxa"/>
              <w:bottom w:w="100" w:type="dxa"/>
              <w:right w:w="110" w:type="dxa"/>
            </w:tcMar>
            <w:vAlign w:val="center"/>
          </w:tcPr>
          <w:p w14:paraId="416F424B" w14:textId="77777777" w:rsidR="00F14BB8" w:rsidRDefault="00A65DEB">
            <w:pPr>
              <w:rPr>
                <w:rFonts w:hint="eastAsia"/>
              </w:rPr>
            </w:pPr>
            <w:r>
              <w:rPr>
                <w:sz w:val="19"/>
              </w:rPr>
              <w:t>A12 → G41</w:t>
            </w:r>
          </w:p>
        </w:tc>
        <w:tc>
          <w:tcPr>
            <w:tcW w:w="3096" w:type="dxa"/>
            <w:shd w:val="clear" w:color="auto" w:fill="F7F9FB"/>
            <w:tcMar>
              <w:top w:w="100" w:type="dxa"/>
              <w:left w:w="110" w:type="dxa"/>
              <w:bottom w:w="100" w:type="dxa"/>
              <w:right w:w="110" w:type="dxa"/>
            </w:tcMar>
            <w:vAlign w:val="center"/>
          </w:tcPr>
          <w:p w14:paraId="644F1E32" w14:textId="77777777" w:rsidR="00F14BB8" w:rsidRDefault="00A65DEB">
            <w:pPr>
              <w:rPr>
                <w:rFonts w:hint="eastAsia"/>
              </w:rPr>
            </w:pPr>
            <w:r>
              <w:rPr>
                <w:sz w:val="19"/>
              </w:rPr>
              <w:t>One directed structural relationship</w:t>
            </w:r>
          </w:p>
        </w:tc>
        <w:tc>
          <w:tcPr>
            <w:tcW w:w="4536" w:type="dxa"/>
            <w:shd w:val="clear" w:color="auto" w:fill="F7F9FB"/>
            <w:tcMar>
              <w:top w:w="100" w:type="dxa"/>
              <w:left w:w="110" w:type="dxa"/>
              <w:bottom w:w="100" w:type="dxa"/>
              <w:right w:w="110" w:type="dxa"/>
            </w:tcMar>
            <w:vAlign w:val="center"/>
          </w:tcPr>
          <w:p w14:paraId="4A465408" w14:textId="77777777" w:rsidR="00F14BB8" w:rsidRDefault="00A65DEB">
            <w:pPr>
              <w:rPr>
                <w:rFonts w:hint="eastAsia"/>
              </w:rPr>
            </w:pPr>
            <w:r>
              <w:rPr>
                <w:sz w:val="19"/>
              </w:rPr>
              <w:t>Evaluate the expected edge from A12 to G41.</w:t>
            </w:r>
          </w:p>
        </w:tc>
      </w:tr>
      <w:tr w:rsidR="00F14BB8" w14:paraId="410AEE6D" w14:textId="77777777">
        <w:trPr>
          <w:jc w:val="center"/>
        </w:trPr>
        <w:tc>
          <w:tcPr>
            <w:tcW w:w="1944" w:type="dxa"/>
            <w:shd w:val="clear" w:color="auto" w:fill="FFFFFF"/>
            <w:tcMar>
              <w:top w:w="100" w:type="dxa"/>
              <w:left w:w="110" w:type="dxa"/>
              <w:bottom w:w="100" w:type="dxa"/>
              <w:right w:w="110" w:type="dxa"/>
            </w:tcMar>
            <w:vAlign w:val="center"/>
          </w:tcPr>
          <w:p w14:paraId="6F5E9483" w14:textId="77777777" w:rsidR="00F14BB8" w:rsidRDefault="00A65DEB">
            <w:pPr>
              <w:rPr>
                <w:rFonts w:hint="eastAsia"/>
              </w:rPr>
            </w:pPr>
            <w:r>
              <w:rPr>
                <w:sz w:val="19"/>
              </w:rPr>
              <w:t>A12 → G41 → C7</w:t>
            </w:r>
          </w:p>
        </w:tc>
        <w:tc>
          <w:tcPr>
            <w:tcW w:w="3096" w:type="dxa"/>
            <w:shd w:val="clear" w:color="auto" w:fill="FFFFFF"/>
            <w:tcMar>
              <w:top w:w="100" w:type="dxa"/>
              <w:left w:w="110" w:type="dxa"/>
              <w:bottom w:w="100" w:type="dxa"/>
              <w:right w:w="110" w:type="dxa"/>
            </w:tcMar>
            <w:vAlign w:val="center"/>
          </w:tcPr>
          <w:p w14:paraId="1A74553C" w14:textId="77777777" w:rsidR="00F14BB8" w:rsidRDefault="00A65DEB">
            <w:pPr>
              <w:rPr>
                <w:rFonts w:hint="eastAsia"/>
              </w:rPr>
            </w:pPr>
            <w:r>
              <w:rPr>
                <w:sz w:val="19"/>
              </w:rPr>
              <w:t>A bounded dependency path</w:t>
            </w:r>
          </w:p>
        </w:tc>
        <w:tc>
          <w:tcPr>
            <w:tcW w:w="4536" w:type="dxa"/>
            <w:shd w:val="clear" w:color="auto" w:fill="FFFFFF"/>
            <w:tcMar>
              <w:top w:w="100" w:type="dxa"/>
              <w:left w:w="110" w:type="dxa"/>
              <w:bottom w:w="100" w:type="dxa"/>
              <w:right w:w="110" w:type="dxa"/>
            </w:tcMar>
            <w:vAlign w:val="center"/>
          </w:tcPr>
          <w:p w14:paraId="7BF6AAFF" w14:textId="77777777" w:rsidR="00F14BB8" w:rsidRDefault="00A65DEB">
            <w:pPr>
              <w:rPr>
                <w:rFonts w:hint="eastAsia"/>
              </w:rPr>
            </w:pPr>
            <w:r>
              <w:rPr>
                <w:sz w:val="19"/>
              </w:rPr>
              <w:t>Trace a diagnostic or dependency through several exact schema locations.</w:t>
            </w:r>
          </w:p>
        </w:tc>
      </w:tr>
    </w:tbl>
    <w:p w14:paraId="5B6993C1" w14:textId="77777777" w:rsidR="00F14BB8" w:rsidRDefault="00F14BB8">
      <w:pPr>
        <w:spacing w:after="20"/>
        <w:rPr>
          <w:rFonts w:hint="eastAsia"/>
        </w:rPr>
      </w:pPr>
    </w:p>
    <w:p w14:paraId="7C5629E0" w14:textId="77777777" w:rsidR="00F14BB8" w:rsidRDefault="00A65DEB">
      <w:pPr>
        <w:spacing w:after="140" w:line="259" w:lineRule="auto"/>
        <w:rPr>
          <w:rFonts w:hint="eastAsia"/>
        </w:rPr>
      </w:pPr>
      <w:r>
        <w:t>The coordinate describes schema, not a particular record instance. A diagnostic finding carries the record identity separately. This keeps the schema language compact while still allowing a finding to resolve to one exact record, field, and relationship in the Base.</w:t>
      </w:r>
    </w:p>
    <w:p w14:paraId="1091839E" w14:textId="77777777" w:rsidR="00F14BB8" w:rsidRDefault="00A65DEB">
      <w:pPr>
        <w:pStyle w:val="Heading2"/>
        <w:spacing w:after="80"/>
      </w:pPr>
      <w:r>
        <w:rPr>
          <w:rFonts w:ascii="Carlito" w:hAnsi="Carlito"/>
        </w:rPr>
        <w:t>3.2 Canonical order</w:t>
      </w:r>
    </w:p>
    <w:p w14:paraId="39730703" w14:textId="77777777" w:rsidR="00F14BB8" w:rsidRDefault="00A65DEB">
      <w:pPr>
        <w:spacing w:after="140" w:line="259" w:lineRule="auto"/>
        <w:rPr>
          <w:rFonts w:hint="eastAsia"/>
        </w:rPr>
      </w:pPr>
      <w:r>
        <w:t>Coordinates must derive from canonical Registry order, not from a mutable Airtable Grid view. Reordering fields for a convenient human view must not silently change A12 into A19. Once a coordinate is published within a contract version, it remains stable for that version. Retired positions should be deprecated or reserved rather than reassigned to unrelated semantics when historical diagnostic traceability matters.</w:t>
      </w:r>
    </w:p>
    <w:p w14:paraId="0CE0C3ED" w14:textId="77777777" w:rsidR="00F14BB8" w:rsidRDefault="00A65DEB">
      <w:pPr>
        <w:pStyle w:val="Heading1"/>
        <w:spacing w:before="260" w:after="120"/>
      </w:pPr>
      <w:r>
        <w:rPr>
          <w:rFonts w:ascii="Carlito" w:hAnsi="Carlito"/>
        </w:rPr>
        <w:t>4. Coordinate Stability and Platform Independence</w:t>
      </w:r>
    </w:p>
    <w:p w14:paraId="25C919AA" w14:textId="77777777" w:rsidR="00F14BB8" w:rsidRDefault="00A65DEB">
      <w:pPr>
        <w:spacing w:after="140" w:line="259" w:lineRule="auto"/>
        <w:rPr>
          <w:rFonts w:hint="eastAsia"/>
        </w:rPr>
      </w:pPr>
      <w:r>
        <w:t>Airtable table IDs and field IDs are implementation addresses. They are useful to scripts, but they are not suitable as the conceptual diagnostic language of CERBERUS. A canonical coordinate can bind to those runtime IDs underneath the Registry while preserving a stable semantic address above them.</w:t>
      </w:r>
    </w:p>
    <w:p w14:paraId="2EEA5BEF" w14:textId="77777777" w:rsidR="00F14BB8" w:rsidRDefault="00A65DEB">
      <w:pPr>
        <w:spacing w:before="160" w:after="80"/>
        <w:jc w:val="center"/>
        <w:rPr>
          <w:rFonts w:hint="eastAsia"/>
        </w:rPr>
      </w:pPr>
      <w:r>
        <w:rPr>
          <w:noProof/>
        </w:rPr>
        <w:drawing>
          <wp:inline distT="0" distB="0" distL="0" distR="0" wp14:anchorId="36FFEC62" wp14:editId="131C4CA3">
            <wp:extent cx="6263640" cy="34102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coordinate_independence.png"/>
                    <pic:cNvPicPr/>
                  </pic:nvPicPr>
                  <pic:blipFill>
                    <a:blip r:embed="rId10"/>
                    <a:stretch>
                      <a:fillRect/>
                    </a:stretch>
                  </pic:blipFill>
                  <pic:spPr>
                    <a:xfrm>
                      <a:off x="0" y="0"/>
                      <a:ext cx="6263640" cy="3410204"/>
                    </a:xfrm>
                    <a:prstGeom prst="rect">
                      <a:avLst/>
                    </a:prstGeom>
                  </pic:spPr>
                </pic:pic>
              </a:graphicData>
            </a:graphic>
          </wp:inline>
        </w:drawing>
      </w:r>
    </w:p>
    <w:p w14:paraId="6FD5BD1B" w14:textId="77777777" w:rsidR="00F14BB8" w:rsidRDefault="00A65DEB">
      <w:pPr>
        <w:keepNext/>
        <w:spacing w:after="180"/>
        <w:jc w:val="center"/>
        <w:rPr>
          <w:rFonts w:hint="eastAsia"/>
        </w:rPr>
      </w:pPr>
      <w:r>
        <w:rPr>
          <w:b/>
          <w:color w:val="4F81BD"/>
          <w:sz w:val="19"/>
        </w:rPr>
        <w:t xml:space="preserve">Figure 3. </w:t>
      </w:r>
      <w:r>
        <w:rPr>
          <w:color w:val="56626E"/>
          <w:sz w:val="19"/>
        </w:rPr>
        <w:t>The same CERBERUS schema coordinate can bind to Airtable today and to another runtime later without changing the diagnostic contract.</w:t>
      </w:r>
    </w:p>
    <w:p w14:paraId="75C4BA7A" w14:textId="77777777" w:rsidR="00F14BB8" w:rsidRDefault="00A65DEB">
      <w:pPr>
        <w:spacing w:after="140" w:line="259" w:lineRule="auto"/>
        <w:rPr>
          <w:rFonts w:hint="eastAsia"/>
        </w:rPr>
      </w:pPr>
      <w:r>
        <w:t>This separation also simplifies migration. If a Table moves, a Field is recreated, or the Base is compiled into another platform, the Registry updates the implementation binding while the canonical contract can continue to refer to A12 → G41. Runtime rebinding is therefore distinct from semantic renaming.</w:t>
      </w:r>
    </w:p>
    <w:p w14:paraId="1732DC53" w14:textId="77777777" w:rsidR="00F14BB8" w:rsidRDefault="00A65DEB">
      <w:pPr>
        <w:pStyle w:val="Heading2"/>
        <w:spacing w:after="80"/>
      </w:pPr>
      <w:r>
        <w:rPr>
          <w:rFonts w:ascii="Carlito" w:hAnsi="Carlito"/>
        </w:rPr>
        <w:t>4.1 Coordinate versioning</w:t>
      </w:r>
    </w:p>
    <w:p w14:paraId="153B1553" w14:textId="77777777" w:rsidR="00F14BB8" w:rsidRDefault="00A65DEB">
      <w:pPr>
        <w:spacing w:after="140" w:line="259" w:lineRule="auto"/>
        <w:rPr>
          <w:rFonts w:hint="eastAsia"/>
        </w:rPr>
      </w:pPr>
      <w:r>
        <w:t>Schema stability does not require the Base to stop evolving. Instead, coordinate meaning is evaluated within the applicable contract version. New Tables and Fields can extend a contract, while breaking changes can publish a new version. Historical findings remain interpretable because their coordinates are read against the version under which they were produced.</w:t>
      </w:r>
    </w:p>
    <w:p w14:paraId="16ADDB56" w14:textId="77777777" w:rsidR="00F14BB8" w:rsidRDefault="00A65DEB">
      <w:pPr>
        <w:pStyle w:val="Heading1"/>
        <w:spacing w:before="260" w:after="120"/>
      </w:pPr>
      <w:r>
        <w:rPr>
          <w:rFonts w:ascii="Carlito" w:hAnsi="Carlito"/>
        </w:rPr>
        <w:t>5. Diagnostic Contracts</w:t>
      </w:r>
    </w:p>
    <w:p w14:paraId="26C41EFA" w14:textId="77777777" w:rsidR="00F14BB8" w:rsidRDefault="00A65DEB">
      <w:pPr>
        <w:spacing w:after="140" w:line="259" w:lineRule="auto"/>
        <w:rPr>
          <w:rFonts w:hint="eastAsia"/>
        </w:rPr>
      </w:pPr>
      <w:r>
        <w:t>A Diagnostic Contract is the reusable inspection primitive of BASE SERVICE. It does not describe one record. It describes what must, may, or must not be true at a canonical schema location for every record to which the contract applies. This moves diagnostic metadata to the schema level rather than multiplying it across every record instance.</w:t>
      </w:r>
    </w:p>
    <w:p w14:paraId="4CE52128" w14:textId="77777777" w:rsidR="00F14BB8" w:rsidRDefault="00A65DEB">
      <w:pPr>
        <w:pStyle w:val="Heading2"/>
        <w:spacing w:after="80"/>
      </w:pPr>
      <w:r>
        <w:rPr>
          <w:rFonts w:ascii="Carlito" w:hAnsi="Carlito"/>
        </w:rPr>
        <w:t>5.1 Minimum contract anatomy</w:t>
      </w:r>
    </w:p>
    <w:tbl>
      <w:tblPr>
        <w:tblStyle w:val="TableGrid"/>
        <w:tblW w:w="0" w:type="auto"/>
        <w:jc w:val="center"/>
        <w:tblLook w:val="04A0" w:firstRow="1" w:lastRow="0" w:firstColumn="1" w:lastColumn="0" w:noHBand="0" w:noVBand="1"/>
      </w:tblPr>
      <w:tblGrid>
        <w:gridCol w:w="2376"/>
        <w:gridCol w:w="6984"/>
      </w:tblGrid>
      <w:tr w:rsidR="00F14BB8" w14:paraId="30186AB5" w14:textId="77777777">
        <w:trPr>
          <w:tblHeader/>
          <w:jc w:val="center"/>
        </w:trPr>
        <w:tc>
          <w:tcPr>
            <w:tcW w:w="2376" w:type="dxa"/>
            <w:shd w:val="clear" w:color="auto" w:fill="17365D"/>
            <w:tcMar>
              <w:top w:w="110" w:type="dxa"/>
              <w:left w:w="110" w:type="dxa"/>
              <w:bottom w:w="110" w:type="dxa"/>
              <w:right w:w="110" w:type="dxa"/>
            </w:tcMar>
            <w:vAlign w:val="center"/>
          </w:tcPr>
          <w:p w14:paraId="0D35C830" w14:textId="77777777" w:rsidR="00F14BB8" w:rsidRDefault="00A65DEB">
            <w:pPr>
              <w:rPr>
                <w:rFonts w:hint="eastAsia"/>
              </w:rPr>
            </w:pPr>
            <w:r>
              <w:rPr>
                <w:b/>
                <w:color w:val="FFFFFF"/>
                <w:sz w:val="19"/>
              </w:rPr>
              <w:t>Component</w:t>
            </w:r>
          </w:p>
        </w:tc>
        <w:tc>
          <w:tcPr>
            <w:tcW w:w="6984" w:type="dxa"/>
            <w:shd w:val="clear" w:color="auto" w:fill="17365D"/>
            <w:tcMar>
              <w:top w:w="110" w:type="dxa"/>
              <w:left w:w="110" w:type="dxa"/>
              <w:bottom w:w="110" w:type="dxa"/>
              <w:right w:w="110" w:type="dxa"/>
            </w:tcMar>
            <w:vAlign w:val="center"/>
          </w:tcPr>
          <w:p w14:paraId="634D85F1" w14:textId="77777777" w:rsidR="00F14BB8" w:rsidRDefault="00A65DEB">
            <w:pPr>
              <w:rPr>
                <w:rFonts w:hint="eastAsia"/>
              </w:rPr>
            </w:pPr>
            <w:r>
              <w:rPr>
                <w:b/>
                <w:color w:val="FFFFFF"/>
                <w:sz w:val="19"/>
              </w:rPr>
              <w:t>Question answered</w:t>
            </w:r>
          </w:p>
        </w:tc>
      </w:tr>
      <w:tr w:rsidR="00F14BB8" w14:paraId="0028426D" w14:textId="77777777">
        <w:trPr>
          <w:jc w:val="center"/>
        </w:trPr>
        <w:tc>
          <w:tcPr>
            <w:tcW w:w="2376" w:type="dxa"/>
            <w:shd w:val="clear" w:color="auto" w:fill="FFFFFF"/>
            <w:tcMar>
              <w:top w:w="100" w:type="dxa"/>
              <w:left w:w="110" w:type="dxa"/>
              <w:bottom w:w="100" w:type="dxa"/>
              <w:right w:w="110" w:type="dxa"/>
            </w:tcMar>
            <w:vAlign w:val="center"/>
          </w:tcPr>
          <w:p w14:paraId="33C27AC5" w14:textId="77777777" w:rsidR="00F14BB8" w:rsidRDefault="00A65DEB">
            <w:pPr>
              <w:rPr>
                <w:rFonts w:hint="eastAsia"/>
              </w:rPr>
            </w:pPr>
            <w:r>
              <w:rPr>
                <w:sz w:val="19"/>
              </w:rPr>
              <w:t>Source</w:t>
            </w:r>
          </w:p>
        </w:tc>
        <w:tc>
          <w:tcPr>
            <w:tcW w:w="6984" w:type="dxa"/>
            <w:shd w:val="clear" w:color="auto" w:fill="FFFFFF"/>
            <w:tcMar>
              <w:top w:w="100" w:type="dxa"/>
              <w:left w:w="110" w:type="dxa"/>
              <w:bottom w:w="100" w:type="dxa"/>
              <w:right w:w="110" w:type="dxa"/>
            </w:tcMar>
            <w:vAlign w:val="center"/>
          </w:tcPr>
          <w:p w14:paraId="46ECA950" w14:textId="77777777" w:rsidR="00F14BB8" w:rsidRDefault="00A65DEB">
            <w:pPr>
              <w:rPr>
                <w:rFonts w:hint="eastAsia"/>
              </w:rPr>
            </w:pPr>
            <w:r>
              <w:rPr>
                <w:sz w:val="19"/>
              </w:rPr>
              <w:t>Where does inspection begin?</w:t>
            </w:r>
          </w:p>
        </w:tc>
      </w:tr>
      <w:tr w:rsidR="00F14BB8" w14:paraId="18172F24" w14:textId="77777777">
        <w:trPr>
          <w:jc w:val="center"/>
        </w:trPr>
        <w:tc>
          <w:tcPr>
            <w:tcW w:w="2376" w:type="dxa"/>
            <w:shd w:val="clear" w:color="auto" w:fill="F7F9FB"/>
            <w:tcMar>
              <w:top w:w="100" w:type="dxa"/>
              <w:left w:w="110" w:type="dxa"/>
              <w:bottom w:w="100" w:type="dxa"/>
              <w:right w:w="110" w:type="dxa"/>
            </w:tcMar>
            <w:vAlign w:val="center"/>
          </w:tcPr>
          <w:p w14:paraId="2388F357" w14:textId="77777777" w:rsidR="00F14BB8" w:rsidRDefault="00A65DEB">
            <w:pPr>
              <w:rPr>
                <w:rFonts w:hint="eastAsia"/>
              </w:rPr>
            </w:pPr>
            <w:r>
              <w:rPr>
                <w:sz w:val="19"/>
              </w:rPr>
              <w:t>Target</w:t>
            </w:r>
          </w:p>
        </w:tc>
        <w:tc>
          <w:tcPr>
            <w:tcW w:w="6984" w:type="dxa"/>
            <w:shd w:val="clear" w:color="auto" w:fill="F7F9FB"/>
            <w:tcMar>
              <w:top w:w="100" w:type="dxa"/>
              <w:left w:w="110" w:type="dxa"/>
              <w:bottom w:w="100" w:type="dxa"/>
              <w:right w:w="110" w:type="dxa"/>
            </w:tcMar>
            <w:vAlign w:val="center"/>
          </w:tcPr>
          <w:p w14:paraId="57EC1CBC" w14:textId="77777777" w:rsidR="00F14BB8" w:rsidRDefault="00A65DEB">
            <w:pPr>
              <w:rPr>
                <w:rFonts w:hint="eastAsia"/>
              </w:rPr>
            </w:pPr>
            <w:r>
              <w:rPr>
                <w:sz w:val="19"/>
              </w:rPr>
              <w:t>What exact target or target class is expected, if any?</w:t>
            </w:r>
          </w:p>
        </w:tc>
      </w:tr>
      <w:tr w:rsidR="00F14BB8" w14:paraId="60B9062C" w14:textId="77777777">
        <w:trPr>
          <w:jc w:val="center"/>
        </w:trPr>
        <w:tc>
          <w:tcPr>
            <w:tcW w:w="2376" w:type="dxa"/>
            <w:shd w:val="clear" w:color="auto" w:fill="FFFFFF"/>
            <w:tcMar>
              <w:top w:w="100" w:type="dxa"/>
              <w:left w:w="110" w:type="dxa"/>
              <w:bottom w:w="100" w:type="dxa"/>
              <w:right w:w="110" w:type="dxa"/>
            </w:tcMar>
            <w:vAlign w:val="center"/>
          </w:tcPr>
          <w:p w14:paraId="4C783F8F" w14:textId="77777777" w:rsidR="00F14BB8" w:rsidRDefault="00A65DEB">
            <w:pPr>
              <w:rPr>
                <w:rFonts w:hint="eastAsia"/>
              </w:rPr>
            </w:pPr>
            <w:r>
              <w:rPr>
                <w:sz w:val="19"/>
              </w:rPr>
              <w:t>Applicability condition</w:t>
            </w:r>
          </w:p>
        </w:tc>
        <w:tc>
          <w:tcPr>
            <w:tcW w:w="6984" w:type="dxa"/>
            <w:shd w:val="clear" w:color="auto" w:fill="FFFFFF"/>
            <w:tcMar>
              <w:top w:w="100" w:type="dxa"/>
              <w:left w:w="110" w:type="dxa"/>
              <w:bottom w:w="100" w:type="dxa"/>
              <w:right w:w="110" w:type="dxa"/>
            </w:tcMar>
            <w:vAlign w:val="center"/>
          </w:tcPr>
          <w:p w14:paraId="3C2B35BA" w14:textId="77777777" w:rsidR="00F14BB8" w:rsidRDefault="00A65DEB">
            <w:pPr>
              <w:rPr>
                <w:rFonts w:hint="eastAsia"/>
              </w:rPr>
            </w:pPr>
            <w:r>
              <w:rPr>
                <w:sz w:val="19"/>
              </w:rPr>
              <w:t>Under what object state or role does this contract apply?</w:t>
            </w:r>
          </w:p>
        </w:tc>
      </w:tr>
      <w:tr w:rsidR="00F14BB8" w14:paraId="13C4577D" w14:textId="77777777">
        <w:trPr>
          <w:jc w:val="center"/>
        </w:trPr>
        <w:tc>
          <w:tcPr>
            <w:tcW w:w="2376" w:type="dxa"/>
            <w:shd w:val="clear" w:color="auto" w:fill="F7F9FB"/>
            <w:tcMar>
              <w:top w:w="100" w:type="dxa"/>
              <w:left w:w="110" w:type="dxa"/>
              <w:bottom w:w="100" w:type="dxa"/>
              <w:right w:w="110" w:type="dxa"/>
            </w:tcMar>
            <w:vAlign w:val="center"/>
          </w:tcPr>
          <w:p w14:paraId="352EAB83" w14:textId="77777777" w:rsidR="00F14BB8" w:rsidRDefault="00A65DEB">
            <w:pPr>
              <w:rPr>
                <w:rFonts w:hint="eastAsia"/>
              </w:rPr>
            </w:pPr>
            <w:r>
              <w:rPr>
                <w:sz w:val="19"/>
              </w:rPr>
              <w:t>Expectation</w:t>
            </w:r>
          </w:p>
        </w:tc>
        <w:tc>
          <w:tcPr>
            <w:tcW w:w="6984" w:type="dxa"/>
            <w:shd w:val="clear" w:color="auto" w:fill="F7F9FB"/>
            <w:tcMar>
              <w:top w:w="100" w:type="dxa"/>
              <w:left w:w="110" w:type="dxa"/>
              <w:bottom w:w="100" w:type="dxa"/>
              <w:right w:w="110" w:type="dxa"/>
            </w:tcMar>
            <w:vAlign w:val="center"/>
          </w:tcPr>
          <w:p w14:paraId="5A769F26" w14:textId="77777777" w:rsidR="00F14BB8" w:rsidRDefault="00A65DEB">
            <w:pPr>
              <w:rPr>
                <w:rFonts w:hint="eastAsia"/>
              </w:rPr>
            </w:pPr>
            <w:r>
              <w:rPr>
                <w:sz w:val="19"/>
              </w:rPr>
              <w:t>What must be true: presence, cardinality, type, structure, consistency, or another registered condition?</w:t>
            </w:r>
          </w:p>
        </w:tc>
      </w:tr>
      <w:tr w:rsidR="00F14BB8" w14:paraId="299FA4D3" w14:textId="77777777">
        <w:trPr>
          <w:jc w:val="center"/>
        </w:trPr>
        <w:tc>
          <w:tcPr>
            <w:tcW w:w="2376" w:type="dxa"/>
            <w:shd w:val="clear" w:color="auto" w:fill="FFFFFF"/>
            <w:tcMar>
              <w:top w:w="100" w:type="dxa"/>
              <w:left w:w="110" w:type="dxa"/>
              <w:bottom w:w="100" w:type="dxa"/>
              <w:right w:w="110" w:type="dxa"/>
            </w:tcMar>
            <w:vAlign w:val="center"/>
          </w:tcPr>
          <w:p w14:paraId="6E5D125A" w14:textId="77777777" w:rsidR="00F14BB8" w:rsidRDefault="00A65DEB">
            <w:pPr>
              <w:rPr>
                <w:rFonts w:hint="eastAsia"/>
              </w:rPr>
            </w:pPr>
            <w:r>
              <w:rPr>
                <w:sz w:val="19"/>
              </w:rPr>
              <w:t>Failure state</w:t>
            </w:r>
          </w:p>
        </w:tc>
        <w:tc>
          <w:tcPr>
            <w:tcW w:w="6984" w:type="dxa"/>
            <w:shd w:val="clear" w:color="auto" w:fill="FFFFFF"/>
            <w:tcMar>
              <w:top w:w="100" w:type="dxa"/>
              <w:left w:w="110" w:type="dxa"/>
              <w:bottom w:w="100" w:type="dxa"/>
              <w:right w:w="110" w:type="dxa"/>
            </w:tcMar>
            <w:vAlign w:val="center"/>
          </w:tcPr>
          <w:p w14:paraId="0395EC87" w14:textId="77777777" w:rsidR="00F14BB8" w:rsidRDefault="00A65DEB">
            <w:pPr>
              <w:rPr>
                <w:rFonts w:hint="eastAsia"/>
              </w:rPr>
            </w:pPr>
            <w:r>
              <w:rPr>
                <w:sz w:val="19"/>
              </w:rPr>
              <w:t>What integrity state should be emitted when the expectation is violated?</w:t>
            </w:r>
          </w:p>
        </w:tc>
      </w:tr>
    </w:tbl>
    <w:p w14:paraId="6C830BD1" w14:textId="77777777" w:rsidR="00F14BB8" w:rsidRDefault="00F14BB8">
      <w:pPr>
        <w:spacing w:after="20"/>
        <w:rPr>
          <w:rFonts w:hint="eastAsia"/>
        </w:rPr>
      </w:pPr>
    </w:p>
    <w:p w14:paraId="7A69309B" w14:textId="77777777" w:rsidR="00F14BB8" w:rsidRDefault="00A65DEB">
      <w:pPr>
        <w:spacing w:before="160" w:after="80"/>
        <w:jc w:val="center"/>
        <w:rPr>
          <w:rFonts w:hint="eastAsia"/>
        </w:rPr>
      </w:pPr>
      <w:r>
        <w:rPr>
          <w:noProof/>
        </w:rPr>
        <w:drawing>
          <wp:inline distT="0" distB="0" distL="0" distR="0" wp14:anchorId="3FB4C54F" wp14:editId="1502351A">
            <wp:extent cx="6263640" cy="341020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diagnostic_contract.png"/>
                    <pic:cNvPicPr/>
                  </pic:nvPicPr>
                  <pic:blipFill>
                    <a:blip r:embed="rId11"/>
                    <a:stretch>
                      <a:fillRect/>
                    </a:stretch>
                  </pic:blipFill>
                  <pic:spPr>
                    <a:xfrm>
                      <a:off x="0" y="0"/>
                      <a:ext cx="6263640" cy="3410204"/>
                    </a:xfrm>
                    <a:prstGeom prst="rect">
                      <a:avLst/>
                    </a:prstGeom>
                  </pic:spPr>
                </pic:pic>
              </a:graphicData>
            </a:graphic>
          </wp:inline>
        </w:drawing>
      </w:r>
    </w:p>
    <w:p w14:paraId="307AA8DD" w14:textId="77777777" w:rsidR="00F14BB8" w:rsidRDefault="00A65DEB">
      <w:pPr>
        <w:keepNext/>
        <w:spacing w:after="180"/>
        <w:jc w:val="center"/>
        <w:rPr>
          <w:rFonts w:hint="eastAsia"/>
        </w:rPr>
      </w:pPr>
      <w:r>
        <w:rPr>
          <w:b/>
          <w:color w:val="4F81BD"/>
          <w:sz w:val="19"/>
        </w:rPr>
        <w:t xml:space="preserve">Figure 4. </w:t>
      </w:r>
      <w:r>
        <w:rPr>
          <w:color w:val="56626E"/>
          <w:sz w:val="19"/>
        </w:rPr>
        <w:t>A compact Diagnostic Contract can inspect every applicable record while keeping the expectation itself registered only once.</w:t>
      </w:r>
    </w:p>
    <w:p w14:paraId="6CACF82E" w14:textId="77777777" w:rsidR="00F14BB8" w:rsidRDefault="00A65DEB">
      <w:pPr>
        <w:spacing w:after="140" w:line="259" w:lineRule="auto"/>
        <w:rPr>
          <w:rFonts w:hint="eastAsia"/>
        </w:rPr>
      </w:pPr>
      <w:r>
        <w:t>For example, a contract may state that B12 must resolve to C1 exactly once whenever the source record is a computational BitGroup. The diagnostic engine applies the contract to every qualifying BitGroup, reads the observed relationship, and emits a Fix finding when zero targets exist or a Forbidden finding if a prohibited target type is linked, depending on the contract design.</w:t>
      </w:r>
    </w:p>
    <w:p w14:paraId="42B9EB01" w14:textId="77777777" w:rsidR="00F14BB8" w:rsidRDefault="00A65DEB">
      <w:pPr>
        <w:pStyle w:val="Heading2"/>
        <w:spacing w:after="80"/>
      </w:pPr>
      <w:r>
        <w:rPr>
          <w:rFonts w:ascii="Carlito" w:hAnsi="Carlito"/>
        </w:rPr>
        <w:t>5.2 Contract Registry</w:t>
      </w:r>
    </w:p>
    <w:p w14:paraId="71796D96" w14:textId="77777777" w:rsidR="00F14BB8" w:rsidRDefault="00A65DEB">
      <w:pPr>
        <w:spacing w:after="140" w:line="259" w:lineRule="auto"/>
        <w:rPr>
          <w:rFonts w:hint="eastAsia"/>
        </w:rPr>
      </w:pPr>
      <w:r>
        <w:t>A dedicated Diagnostic Contract Registry is justified when expectations become numerous enough that embedding them directly into the Field Registry would make the Field Registry harder to reason about. The contract record can remain small: source, optional target, applicability, expectation, and failure state. Additional metadata should be added only when it carries genuinely new diagnostic information.</w:t>
      </w:r>
    </w:p>
    <w:p w14:paraId="5A6E06BB" w14:textId="77777777" w:rsidR="00F14BB8" w:rsidRDefault="00A65DEB">
      <w:pPr>
        <w:pStyle w:val="Heading1"/>
        <w:spacing w:before="260" w:after="120"/>
      </w:pPr>
      <w:r>
        <w:rPr>
          <w:rFonts w:ascii="Carlito" w:hAnsi="Carlito"/>
        </w:rPr>
        <w:t>6. Five-State Integrity Model</w:t>
      </w:r>
    </w:p>
    <w:p w14:paraId="4A051BB6" w14:textId="77777777" w:rsidR="00F14BB8" w:rsidRDefault="00A65DEB">
      <w:pPr>
        <w:spacing w:after="140" w:line="259" w:lineRule="auto"/>
        <w:rPr>
          <w:rFonts w:hint="eastAsia"/>
        </w:rPr>
      </w:pPr>
      <w:r>
        <w:t>The original service vocabulary can be reduced to five states by separating structural health from the reason for service and from the action taken next. Guided repair, cleanup, and anomaly review remain useful capabilities, but they do not need to be independent integrity levels.</w:t>
      </w:r>
    </w:p>
    <w:tbl>
      <w:tblPr>
        <w:tblStyle w:val="TableGrid"/>
        <w:tblW w:w="0" w:type="auto"/>
        <w:jc w:val="center"/>
        <w:tblLook w:val="04A0" w:firstRow="1" w:lastRow="0" w:firstColumn="1" w:lastColumn="0" w:noHBand="0" w:noVBand="1"/>
      </w:tblPr>
      <w:tblGrid>
        <w:gridCol w:w="1440"/>
        <w:gridCol w:w="5112"/>
        <w:gridCol w:w="3096"/>
      </w:tblGrid>
      <w:tr w:rsidR="00F14BB8" w14:paraId="139BB1FC" w14:textId="77777777">
        <w:trPr>
          <w:tblHeader/>
          <w:jc w:val="center"/>
        </w:trPr>
        <w:tc>
          <w:tcPr>
            <w:tcW w:w="1440" w:type="dxa"/>
            <w:shd w:val="clear" w:color="auto" w:fill="17365D"/>
            <w:tcMar>
              <w:top w:w="110" w:type="dxa"/>
              <w:left w:w="110" w:type="dxa"/>
              <w:bottom w:w="110" w:type="dxa"/>
              <w:right w:w="110" w:type="dxa"/>
            </w:tcMar>
            <w:vAlign w:val="center"/>
          </w:tcPr>
          <w:p w14:paraId="4104DE8C" w14:textId="77777777" w:rsidR="00F14BB8" w:rsidRDefault="00A65DEB">
            <w:pPr>
              <w:rPr>
                <w:rFonts w:hint="eastAsia"/>
              </w:rPr>
            </w:pPr>
            <w:r>
              <w:rPr>
                <w:b/>
                <w:color w:val="FFFFFF"/>
                <w:sz w:val="19"/>
              </w:rPr>
              <w:t>State</w:t>
            </w:r>
          </w:p>
        </w:tc>
        <w:tc>
          <w:tcPr>
            <w:tcW w:w="5112" w:type="dxa"/>
            <w:shd w:val="clear" w:color="auto" w:fill="17365D"/>
            <w:tcMar>
              <w:top w:w="110" w:type="dxa"/>
              <w:left w:w="110" w:type="dxa"/>
              <w:bottom w:w="110" w:type="dxa"/>
              <w:right w:w="110" w:type="dxa"/>
            </w:tcMar>
            <w:vAlign w:val="center"/>
          </w:tcPr>
          <w:p w14:paraId="72DA7AFF" w14:textId="77777777" w:rsidR="00F14BB8" w:rsidRDefault="00A65DEB">
            <w:pPr>
              <w:rPr>
                <w:rFonts w:hint="eastAsia"/>
              </w:rPr>
            </w:pPr>
            <w:r>
              <w:rPr>
                <w:b/>
                <w:color w:val="FFFFFF"/>
                <w:sz w:val="19"/>
              </w:rPr>
              <w:t>Meaning</w:t>
            </w:r>
          </w:p>
        </w:tc>
        <w:tc>
          <w:tcPr>
            <w:tcW w:w="3096" w:type="dxa"/>
            <w:shd w:val="clear" w:color="auto" w:fill="17365D"/>
            <w:tcMar>
              <w:top w:w="110" w:type="dxa"/>
              <w:left w:w="110" w:type="dxa"/>
              <w:bottom w:w="110" w:type="dxa"/>
              <w:right w:w="110" w:type="dxa"/>
            </w:tcMar>
            <w:vAlign w:val="center"/>
          </w:tcPr>
          <w:p w14:paraId="42AD762F" w14:textId="77777777" w:rsidR="00F14BB8" w:rsidRDefault="00A65DEB">
            <w:pPr>
              <w:rPr>
                <w:rFonts w:hint="eastAsia"/>
              </w:rPr>
            </w:pPr>
            <w:r>
              <w:rPr>
                <w:b/>
                <w:color w:val="FFFFFF"/>
                <w:sz w:val="19"/>
              </w:rPr>
              <w:t>Typical operational response</w:t>
            </w:r>
          </w:p>
        </w:tc>
      </w:tr>
      <w:tr w:rsidR="00F14BB8" w14:paraId="362C7458" w14:textId="77777777">
        <w:trPr>
          <w:jc w:val="center"/>
        </w:trPr>
        <w:tc>
          <w:tcPr>
            <w:tcW w:w="1440" w:type="dxa"/>
            <w:shd w:val="clear" w:color="auto" w:fill="FFFFFF"/>
            <w:tcMar>
              <w:top w:w="100" w:type="dxa"/>
              <w:left w:w="110" w:type="dxa"/>
              <w:bottom w:w="100" w:type="dxa"/>
              <w:right w:w="110" w:type="dxa"/>
            </w:tcMar>
            <w:vAlign w:val="center"/>
          </w:tcPr>
          <w:p w14:paraId="5707B9E8" w14:textId="77777777" w:rsidR="00F14BB8" w:rsidRDefault="00A65DEB">
            <w:pPr>
              <w:rPr>
                <w:rFonts w:hint="eastAsia"/>
              </w:rPr>
            </w:pPr>
            <w:r>
              <w:rPr>
                <w:sz w:val="18"/>
              </w:rPr>
              <w:t>Forbidden</w:t>
            </w:r>
          </w:p>
        </w:tc>
        <w:tc>
          <w:tcPr>
            <w:tcW w:w="5112" w:type="dxa"/>
            <w:shd w:val="clear" w:color="auto" w:fill="FFFFFF"/>
            <w:tcMar>
              <w:top w:w="100" w:type="dxa"/>
              <w:left w:w="110" w:type="dxa"/>
              <w:bottom w:w="100" w:type="dxa"/>
              <w:right w:w="110" w:type="dxa"/>
            </w:tcMar>
            <w:vAlign w:val="center"/>
          </w:tcPr>
          <w:p w14:paraId="5E73DD4F" w14:textId="77777777" w:rsidR="00F14BB8" w:rsidRDefault="00A65DEB">
            <w:pPr>
              <w:rPr>
                <w:rFonts w:hint="eastAsia"/>
              </w:rPr>
            </w:pPr>
            <w:r>
              <w:rPr>
                <w:sz w:val="18"/>
              </w:rPr>
              <w:t>A canonical contract is violated in a way that makes the affected use invalid.</w:t>
            </w:r>
          </w:p>
        </w:tc>
        <w:tc>
          <w:tcPr>
            <w:tcW w:w="3096" w:type="dxa"/>
            <w:shd w:val="clear" w:color="auto" w:fill="FFFFFF"/>
            <w:tcMar>
              <w:top w:w="100" w:type="dxa"/>
              <w:left w:w="110" w:type="dxa"/>
              <w:bottom w:w="100" w:type="dxa"/>
              <w:right w:w="110" w:type="dxa"/>
            </w:tcMar>
            <w:vAlign w:val="center"/>
          </w:tcPr>
          <w:p w14:paraId="1DFE0C59" w14:textId="77777777" w:rsidR="00F14BB8" w:rsidRDefault="00A65DEB">
            <w:pPr>
              <w:rPr>
                <w:rFonts w:hint="eastAsia"/>
              </w:rPr>
            </w:pPr>
            <w:r>
              <w:rPr>
                <w:sz w:val="18"/>
              </w:rPr>
              <w:t>Fail closed for the affected governed operation until the violating condition is repaired or explicitly superseded.</w:t>
            </w:r>
          </w:p>
        </w:tc>
      </w:tr>
      <w:tr w:rsidR="00F14BB8" w14:paraId="46CCEB47" w14:textId="77777777">
        <w:trPr>
          <w:jc w:val="center"/>
        </w:trPr>
        <w:tc>
          <w:tcPr>
            <w:tcW w:w="1440" w:type="dxa"/>
            <w:shd w:val="clear" w:color="auto" w:fill="F7F9FB"/>
            <w:tcMar>
              <w:top w:w="100" w:type="dxa"/>
              <w:left w:w="110" w:type="dxa"/>
              <w:bottom w:w="100" w:type="dxa"/>
              <w:right w:w="110" w:type="dxa"/>
            </w:tcMar>
            <w:vAlign w:val="center"/>
          </w:tcPr>
          <w:p w14:paraId="62782EC8" w14:textId="77777777" w:rsidR="00F14BB8" w:rsidRDefault="00A65DEB">
            <w:pPr>
              <w:rPr>
                <w:rFonts w:hint="eastAsia"/>
              </w:rPr>
            </w:pPr>
            <w:r>
              <w:rPr>
                <w:sz w:val="18"/>
              </w:rPr>
              <w:t>Fix</w:t>
            </w:r>
          </w:p>
        </w:tc>
        <w:tc>
          <w:tcPr>
            <w:tcW w:w="5112" w:type="dxa"/>
            <w:shd w:val="clear" w:color="auto" w:fill="F7F9FB"/>
            <w:tcMar>
              <w:top w:w="100" w:type="dxa"/>
              <w:left w:w="110" w:type="dxa"/>
              <w:bottom w:w="100" w:type="dxa"/>
              <w:right w:w="110" w:type="dxa"/>
            </w:tcMar>
            <w:vAlign w:val="center"/>
          </w:tcPr>
          <w:p w14:paraId="37A78E31" w14:textId="77777777" w:rsidR="00F14BB8" w:rsidRDefault="00A65DEB">
            <w:pPr>
              <w:rPr>
                <w:rFonts w:hint="eastAsia"/>
              </w:rPr>
            </w:pPr>
            <w:r>
              <w:rPr>
                <w:sz w:val="18"/>
              </w:rPr>
              <w:t>A definite defect or required omission exists. The requirement is known.</w:t>
            </w:r>
          </w:p>
        </w:tc>
        <w:tc>
          <w:tcPr>
            <w:tcW w:w="3096" w:type="dxa"/>
            <w:shd w:val="clear" w:color="auto" w:fill="F7F9FB"/>
            <w:tcMar>
              <w:top w:w="100" w:type="dxa"/>
              <w:left w:w="110" w:type="dxa"/>
              <w:bottom w:w="100" w:type="dxa"/>
              <w:right w:w="110" w:type="dxa"/>
            </w:tcMar>
            <w:vAlign w:val="center"/>
          </w:tcPr>
          <w:p w14:paraId="3206B7FB" w14:textId="77777777" w:rsidR="00F14BB8" w:rsidRDefault="00A65DEB">
            <w:pPr>
              <w:rPr>
                <w:rFonts w:hint="eastAsia"/>
              </w:rPr>
            </w:pPr>
            <w:r>
              <w:rPr>
                <w:sz w:val="18"/>
              </w:rPr>
              <w:t>Create or surface service work; provide guided repair when sufficient information exists.</w:t>
            </w:r>
          </w:p>
        </w:tc>
      </w:tr>
      <w:tr w:rsidR="00F14BB8" w14:paraId="623A9863" w14:textId="77777777">
        <w:trPr>
          <w:jc w:val="center"/>
        </w:trPr>
        <w:tc>
          <w:tcPr>
            <w:tcW w:w="1440" w:type="dxa"/>
            <w:shd w:val="clear" w:color="auto" w:fill="FFFFFF"/>
            <w:tcMar>
              <w:top w:w="100" w:type="dxa"/>
              <w:left w:w="110" w:type="dxa"/>
              <w:bottom w:w="100" w:type="dxa"/>
              <w:right w:w="110" w:type="dxa"/>
            </w:tcMar>
            <w:vAlign w:val="center"/>
          </w:tcPr>
          <w:p w14:paraId="3E6AED7E" w14:textId="77777777" w:rsidR="00F14BB8" w:rsidRDefault="00A65DEB">
            <w:pPr>
              <w:rPr>
                <w:rFonts w:hint="eastAsia"/>
              </w:rPr>
            </w:pPr>
            <w:r>
              <w:rPr>
                <w:sz w:val="18"/>
              </w:rPr>
              <w:t>Warning</w:t>
            </w:r>
          </w:p>
        </w:tc>
        <w:tc>
          <w:tcPr>
            <w:tcW w:w="5112" w:type="dxa"/>
            <w:shd w:val="clear" w:color="auto" w:fill="FFFFFF"/>
            <w:tcMar>
              <w:top w:w="100" w:type="dxa"/>
              <w:left w:w="110" w:type="dxa"/>
              <w:bottom w:w="100" w:type="dxa"/>
              <w:right w:w="110" w:type="dxa"/>
            </w:tcMar>
            <w:vAlign w:val="center"/>
          </w:tcPr>
          <w:p w14:paraId="2725C76D" w14:textId="77777777" w:rsidR="00F14BB8" w:rsidRDefault="00A65DEB">
            <w:pPr>
              <w:rPr>
                <w:rFonts w:hint="eastAsia"/>
              </w:rPr>
            </w:pPr>
            <w:r>
              <w:rPr>
                <w:sz w:val="18"/>
              </w:rPr>
              <w:t>The structure remains usable for its declared role, but a known deficiency, anomaly, deprecation, or cleanup condition deserves attention.</w:t>
            </w:r>
          </w:p>
        </w:tc>
        <w:tc>
          <w:tcPr>
            <w:tcW w:w="3096" w:type="dxa"/>
            <w:shd w:val="clear" w:color="auto" w:fill="FFFFFF"/>
            <w:tcMar>
              <w:top w:w="100" w:type="dxa"/>
              <w:left w:w="110" w:type="dxa"/>
              <w:bottom w:w="100" w:type="dxa"/>
              <w:right w:w="110" w:type="dxa"/>
            </w:tcMar>
            <w:vAlign w:val="center"/>
          </w:tcPr>
          <w:p w14:paraId="6F607377" w14:textId="77777777" w:rsidR="00F14BB8" w:rsidRDefault="00A65DEB">
            <w:pPr>
              <w:rPr>
                <w:rFonts w:hint="eastAsia"/>
              </w:rPr>
            </w:pPr>
            <w:r>
              <w:rPr>
                <w:sz w:val="18"/>
              </w:rPr>
              <w:t>Continue operation where permitted; schedule review or maintenance according to priority.</w:t>
            </w:r>
          </w:p>
        </w:tc>
      </w:tr>
      <w:tr w:rsidR="00F14BB8" w14:paraId="31DD9099" w14:textId="77777777">
        <w:trPr>
          <w:jc w:val="center"/>
        </w:trPr>
        <w:tc>
          <w:tcPr>
            <w:tcW w:w="1440" w:type="dxa"/>
            <w:shd w:val="clear" w:color="auto" w:fill="F7F9FB"/>
            <w:tcMar>
              <w:top w:w="100" w:type="dxa"/>
              <w:left w:w="110" w:type="dxa"/>
              <w:bottom w:w="100" w:type="dxa"/>
              <w:right w:w="110" w:type="dxa"/>
            </w:tcMar>
            <w:vAlign w:val="center"/>
          </w:tcPr>
          <w:p w14:paraId="7CF4E70D" w14:textId="77777777" w:rsidR="00F14BB8" w:rsidRDefault="00A65DEB">
            <w:pPr>
              <w:rPr>
                <w:rFonts w:hint="eastAsia"/>
              </w:rPr>
            </w:pPr>
            <w:r>
              <w:rPr>
                <w:sz w:val="18"/>
              </w:rPr>
              <w:t>Okay</w:t>
            </w:r>
          </w:p>
        </w:tc>
        <w:tc>
          <w:tcPr>
            <w:tcW w:w="5112" w:type="dxa"/>
            <w:shd w:val="clear" w:color="auto" w:fill="F7F9FB"/>
            <w:tcMar>
              <w:top w:w="100" w:type="dxa"/>
              <w:left w:w="110" w:type="dxa"/>
              <w:bottom w:w="100" w:type="dxa"/>
              <w:right w:w="110" w:type="dxa"/>
            </w:tcMar>
            <w:vAlign w:val="center"/>
          </w:tcPr>
          <w:p w14:paraId="5A50DCCD" w14:textId="77777777" w:rsidR="00F14BB8" w:rsidRDefault="00A65DEB">
            <w:pPr>
              <w:rPr>
                <w:rFonts w:hint="eastAsia"/>
              </w:rPr>
            </w:pPr>
            <w:r>
              <w:rPr>
                <w:sz w:val="18"/>
              </w:rPr>
              <w:t>All requirements necessary for the object’s declared role are satisfied.</w:t>
            </w:r>
          </w:p>
        </w:tc>
        <w:tc>
          <w:tcPr>
            <w:tcW w:w="3096" w:type="dxa"/>
            <w:shd w:val="clear" w:color="auto" w:fill="F7F9FB"/>
            <w:tcMar>
              <w:top w:w="100" w:type="dxa"/>
              <w:left w:w="110" w:type="dxa"/>
              <w:bottom w:w="100" w:type="dxa"/>
              <w:right w:w="110" w:type="dxa"/>
            </w:tcMar>
            <w:vAlign w:val="center"/>
          </w:tcPr>
          <w:p w14:paraId="6B3380B5" w14:textId="77777777" w:rsidR="00F14BB8" w:rsidRDefault="00A65DEB">
            <w:pPr>
              <w:rPr>
                <w:rFonts w:hint="eastAsia"/>
              </w:rPr>
            </w:pPr>
            <w:r>
              <w:rPr>
                <w:sz w:val="18"/>
              </w:rPr>
              <w:t>Normal operation. Optional improvements may still exist.</w:t>
            </w:r>
          </w:p>
        </w:tc>
      </w:tr>
      <w:tr w:rsidR="00F14BB8" w14:paraId="23F30226" w14:textId="77777777">
        <w:trPr>
          <w:jc w:val="center"/>
        </w:trPr>
        <w:tc>
          <w:tcPr>
            <w:tcW w:w="1440" w:type="dxa"/>
            <w:shd w:val="clear" w:color="auto" w:fill="FFFFFF"/>
            <w:tcMar>
              <w:top w:w="100" w:type="dxa"/>
              <w:left w:w="110" w:type="dxa"/>
              <w:bottom w:w="100" w:type="dxa"/>
              <w:right w:w="110" w:type="dxa"/>
            </w:tcMar>
            <w:vAlign w:val="center"/>
          </w:tcPr>
          <w:p w14:paraId="1C010631" w14:textId="77777777" w:rsidR="00F14BB8" w:rsidRDefault="00A65DEB">
            <w:pPr>
              <w:rPr>
                <w:rFonts w:hint="eastAsia"/>
              </w:rPr>
            </w:pPr>
            <w:r>
              <w:rPr>
                <w:sz w:val="18"/>
              </w:rPr>
              <w:t>Ideal</w:t>
            </w:r>
          </w:p>
        </w:tc>
        <w:tc>
          <w:tcPr>
            <w:tcW w:w="5112" w:type="dxa"/>
            <w:shd w:val="clear" w:color="auto" w:fill="FFFFFF"/>
            <w:tcMar>
              <w:top w:w="100" w:type="dxa"/>
              <w:left w:w="110" w:type="dxa"/>
              <w:bottom w:w="100" w:type="dxa"/>
              <w:right w:w="110" w:type="dxa"/>
            </w:tcMar>
            <w:vAlign w:val="center"/>
          </w:tcPr>
          <w:p w14:paraId="6E5739A6" w14:textId="77777777" w:rsidR="00F14BB8" w:rsidRDefault="00A65DEB">
            <w:pPr>
              <w:rPr>
                <w:rFonts w:hint="eastAsia"/>
              </w:rPr>
            </w:pPr>
            <w:r>
              <w:rPr>
                <w:sz w:val="18"/>
              </w:rPr>
              <w:t>All applicable required and preferred integrity conditions are satisfied.</w:t>
            </w:r>
          </w:p>
        </w:tc>
        <w:tc>
          <w:tcPr>
            <w:tcW w:w="3096" w:type="dxa"/>
            <w:shd w:val="clear" w:color="auto" w:fill="FFFFFF"/>
            <w:tcMar>
              <w:top w:w="100" w:type="dxa"/>
              <w:left w:w="110" w:type="dxa"/>
              <w:bottom w:w="100" w:type="dxa"/>
              <w:right w:w="110" w:type="dxa"/>
            </w:tcMar>
            <w:vAlign w:val="center"/>
          </w:tcPr>
          <w:p w14:paraId="234B89D2" w14:textId="77777777" w:rsidR="00F14BB8" w:rsidRDefault="00A65DEB">
            <w:pPr>
              <w:rPr>
                <w:rFonts w:hint="eastAsia"/>
              </w:rPr>
            </w:pPr>
            <w:r>
              <w:rPr>
                <w:sz w:val="18"/>
              </w:rPr>
              <w:t>No known applicable service improvement is currently identified.</w:t>
            </w:r>
          </w:p>
        </w:tc>
      </w:tr>
    </w:tbl>
    <w:p w14:paraId="3CA642DF" w14:textId="77777777" w:rsidR="00F14BB8" w:rsidRDefault="00F14BB8">
      <w:pPr>
        <w:spacing w:after="20"/>
        <w:rPr>
          <w:rFonts w:hint="eastAsia"/>
        </w:rPr>
      </w:pPr>
    </w:p>
    <w:p w14:paraId="51604166" w14:textId="77777777" w:rsidR="00F14BB8" w:rsidRDefault="00A65DEB">
      <w:pPr>
        <w:spacing w:before="160" w:after="80"/>
        <w:jc w:val="center"/>
        <w:rPr>
          <w:rFonts w:hint="eastAsia"/>
        </w:rPr>
      </w:pPr>
      <w:r>
        <w:rPr>
          <w:noProof/>
        </w:rPr>
        <w:drawing>
          <wp:inline distT="0" distB="0" distL="0" distR="0" wp14:anchorId="10BBF247" wp14:editId="154A3A61">
            <wp:extent cx="6263640" cy="341020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five_state_model.png"/>
                    <pic:cNvPicPr/>
                  </pic:nvPicPr>
                  <pic:blipFill>
                    <a:blip r:embed="rId12"/>
                    <a:stretch>
                      <a:fillRect/>
                    </a:stretch>
                  </pic:blipFill>
                  <pic:spPr>
                    <a:xfrm>
                      <a:off x="0" y="0"/>
                      <a:ext cx="6263640" cy="3410204"/>
                    </a:xfrm>
                    <a:prstGeom prst="rect">
                      <a:avLst/>
                    </a:prstGeom>
                  </pic:spPr>
                </pic:pic>
              </a:graphicData>
            </a:graphic>
          </wp:inline>
        </w:drawing>
      </w:r>
    </w:p>
    <w:p w14:paraId="74B9BE78" w14:textId="77777777" w:rsidR="00F14BB8" w:rsidRDefault="00A65DEB">
      <w:pPr>
        <w:keepNext/>
        <w:spacing w:after="180"/>
        <w:jc w:val="center"/>
        <w:rPr>
          <w:rFonts w:hint="eastAsia"/>
        </w:rPr>
      </w:pPr>
      <w:r>
        <w:rPr>
          <w:b/>
          <w:color w:val="4F81BD"/>
          <w:sz w:val="19"/>
        </w:rPr>
        <w:t xml:space="preserve">Figure 5. </w:t>
      </w:r>
      <w:r>
        <w:rPr>
          <w:color w:val="56626E"/>
          <w:sz w:val="19"/>
        </w:rPr>
        <w:t>The five-state language is compact enough for Base-wide display while preserving a meaningful distinction between invalid, defective, degraded, valid, and fully satisfied structures.</w:t>
      </w:r>
    </w:p>
    <w:p w14:paraId="14CCE853" w14:textId="77777777" w:rsidR="00F14BB8" w:rsidRDefault="00A65DEB">
      <w:pPr>
        <w:pStyle w:val="Heading2"/>
        <w:spacing w:after="80"/>
      </w:pPr>
      <w:r>
        <w:rPr>
          <w:rFonts w:ascii="Carlito" w:hAnsi="Carlito"/>
        </w:rPr>
        <w:t>6.1 Precedence</w:t>
      </w:r>
    </w:p>
    <w:p w14:paraId="13F96CD4" w14:textId="77777777" w:rsidR="00F14BB8" w:rsidRDefault="00A65DEB">
      <w:pPr>
        <w:spacing w:after="140" w:line="259" w:lineRule="auto"/>
        <w:rPr>
          <w:rFonts w:hint="eastAsia"/>
        </w:rPr>
      </w:pPr>
      <w:r>
        <w:t>A simple categorical precedence can resolve an object’s local integrity: any applicable Forbidden violation yields Forbidden; otherwise any Fix violation yields Fix; otherwise any Warning condition yields Warning; otherwise the object is Okay; and it becomes Ideal when all applicable preferred conditions are also satisfied. This precedence is more meaningful than averaging states together.</w:t>
      </w:r>
    </w:p>
    <w:p w14:paraId="62D0CF17" w14:textId="77777777" w:rsidR="00F14BB8" w:rsidRDefault="00A65DEB">
      <w:pPr>
        <w:pStyle w:val="Heading2"/>
        <w:spacing w:after="80"/>
      </w:pPr>
      <w:r>
        <w:rPr>
          <w:rFonts w:ascii="Carlito" w:hAnsi="Carlito"/>
        </w:rPr>
        <w:t>6.2 State is not a score</w:t>
      </w:r>
    </w:p>
    <w:p w14:paraId="7FA58988" w14:textId="77777777" w:rsidR="00F14BB8" w:rsidRDefault="00A65DEB">
      <w:pPr>
        <w:spacing w:after="140" w:line="259" w:lineRule="auto"/>
        <w:rPr>
          <w:rFonts w:hint="eastAsia"/>
        </w:rPr>
      </w:pPr>
      <w:r>
        <w:t>Forbidden does not mean “0 percent complete,” and Ideal does not mean “100 percent of every field populated.” The state describes the strongest applicable structural consequence. Quantitative ranking, if useful, belongs in a separate Integrity Index and service-priority model.</w:t>
      </w:r>
    </w:p>
    <w:p w14:paraId="0C9A20FE" w14:textId="77777777" w:rsidR="00F14BB8" w:rsidRDefault="00A65DEB">
      <w:pPr>
        <w:pStyle w:val="Heading1"/>
        <w:spacing w:before="260" w:after="120"/>
      </w:pPr>
      <w:r>
        <w:rPr>
          <w:rFonts w:ascii="Carlito" w:hAnsi="Carlito"/>
        </w:rPr>
        <w:t>7. Contextual Integrity and Minimum Sufficiency</w:t>
      </w:r>
    </w:p>
    <w:p w14:paraId="0FF06A0C" w14:textId="77777777" w:rsidR="00F14BB8" w:rsidRDefault="00A65DEB">
      <w:pPr>
        <w:spacing w:after="140" w:line="259" w:lineRule="auto"/>
        <w:rPr>
          <w:rFonts w:hint="eastAsia"/>
        </w:rPr>
      </w:pPr>
      <w:r>
        <w:t>Field completeness alone is a poor measure of integrity because different objects exist to satisfy different contracts. A Symbol with a glyph but no registered meaning may be severely deficient because semantic interpretation is central to that object. A BitWord with complete Bits, BitGroups, Reader, and computational contracts may remain functionally valid even if a preferred Family relationship has not yet been assigned.</w:t>
      </w:r>
    </w:p>
    <w:p w14:paraId="15210390" w14:textId="77777777" w:rsidR="00F14BB8" w:rsidRDefault="00A65DEB">
      <w:pPr>
        <w:spacing w:before="160" w:after="80"/>
        <w:jc w:val="center"/>
        <w:rPr>
          <w:rFonts w:hint="eastAsia"/>
        </w:rPr>
      </w:pPr>
      <w:r>
        <w:rPr>
          <w:noProof/>
        </w:rPr>
        <w:drawing>
          <wp:inline distT="0" distB="0" distL="0" distR="0" wp14:anchorId="5BAE51A3" wp14:editId="497EAF1C">
            <wp:extent cx="6263640" cy="341020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contextual_integrity.png"/>
                    <pic:cNvPicPr/>
                  </pic:nvPicPr>
                  <pic:blipFill>
                    <a:blip r:embed="rId13"/>
                    <a:stretch>
                      <a:fillRect/>
                    </a:stretch>
                  </pic:blipFill>
                  <pic:spPr>
                    <a:xfrm>
                      <a:off x="0" y="0"/>
                      <a:ext cx="6263640" cy="3410204"/>
                    </a:xfrm>
                    <a:prstGeom prst="rect">
                      <a:avLst/>
                    </a:prstGeom>
                  </pic:spPr>
                </pic:pic>
              </a:graphicData>
            </a:graphic>
          </wp:inline>
        </w:drawing>
      </w:r>
    </w:p>
    <w:p w14:paraId="2E925D71" w14:textId="77777777" w:rsidR="00F14BB8" w:rsidRDefault="00A65DEB">
      <w:pPr>
        <w:keepNext/>
        <w:spacing w:after="180"/>
        <w:jc w:val="center"/>
        <w:rPr>
          <w:rFonts w:hint="eastAsia"/>
        </w:rPr>
      </w:pPr>
      <w:r>
        <w:rPr>
          <w:b/>
          <w:color w:val="4F81BD"/>
          <w:sz w:val="19"/>
        </w:rPr>
        <w:t xml:space="preserve">Figure 6. </w:t>
      </w:r>
      <w:r>
        <w:rPr>
          <w:color w:val="56626E"/>
          <w:sz w:val="19"/>
        </w:rPr>
        <w:t>Context determines severity: visually similar blank fields can produce very different service states because the object contracts are different.</w:t>
      </w:r>
    </w:p>
    <w:p w14:paraId="40177F62" w14:textId="77777777" w:rsidR="00F14BB8" w:rsidRDefault="00A65DEB">
      <w:pPr>
        <w:pStyle w:val="Heading2"/>
        <w:spacing w:after="80"/>
      </w:pPr>
      <w:r>
        <w:rPr>
          <w:rFonts w:ascii="Carlito" w:hAnsi="Carlito"/>
        </w:rPr>
        <w:t>7.1 Minimum Sufficiency</w:t>
      </w:r>
    </w:p>
    <w:p w14:paraId="607EA971" w14:textId="77777777" w:rsidR="00F14BB8" w:rsidRDefault="00A65DEB">
      <w:pPr>
        <w:spacing w:after="140" w:line="259" w:lineRule="auto"/>
        <w:rPr>
          <w:rFonts w:hint="eastAsia"/>
        </w:rPr>
      </w:pPr>
      <w:r>
        <w:t>An object is Okay when the information and relationships required for its declared role are satisfied. It is not penalized for fields that do not apply. This makes BASE SERVICE compatible with bounded, specialized Tables and prevents a universal “fill everything” mentality from becoming an architectural requirement.</w:t>
      </w:r>
    </w:p>
    <w:p w14:paraId="763741E5" w14:textId="77777777" w:rsidR="00F14BB8" w:rsidRDefault="00A65DEB">
      <w:pPr>
        <w:pStyle w:val="Heading2"/>
        <w:spacing w:after="80"/>
      </w:pPr>
      <w:r>
        <w:rPr>
          <w:rFonts w:ascii="Carlito" w:hAnsi="Carlito"/>
        </w:rPr>
        <w:t>7.2 Anti-bloat interpretation of Ideal</w:t>
      </w:r>
    </w:p>
    <w:p w14:paraId="40E7D2F8" w14:textId="77777777" w:rsidR="00F14BB8" w:rsidRDefault="00A65DEB">
      <w:pPr>
        <w:spacing w:after="140" w:line="259" w:lineRule="auto"/>
        <w:rPr>
          <w:rFonts w:hint="eastAsia"/>
        </w:rPr>
      </w:pPr>
      <w:r>
        <w:t>Ideal means that all applicable required and desirable conditions are currently satisfied. It does not reward redundant metadata. If a value is already deterministically recoverable from canonical structure, duplicating it elsewhere should not improve integrity and may instead create a redundancy diagnostic. The service architecture therefore reinforces the broader CERBERUS principle of storing each authoritative fact where it belongs.</w:t>
      </w:r>
    </w:p>
    <w:tbl>
      <w:tblPr>
        <w:tblW w:w="0" w:type="auto"/>
        <w:jc w:val="center"/>
        <w:tblLook w:val="04A0" w:firstRow="1" w:lastRow="0" w:firstColumn="1" w:lastColumn="0" w:noHBand="0" w:noVBand="1"/>
      </w:tblPr>
      <w:tblGrid>
        <w:gridCol w:w="9878"/>
      </w:tblGrid>
      <w:tr w:rsidR="00F14BB8" w14:paraId="3D5E8B40" w14:textId="77777777">
        <w:trPr>
          <w:cantSplit/>
          <w:jc w:val="center"/>
        </w:trPr>
        <w:tc>
          <w:tcPr>
            <w:tcW w:w="9878" w:type="dxa"/>
            <w:tcBorders>
              <w:top w:val="nil"/>
              <w:left w:val="single" w:sz="18" w:space="0" w:color="17365D"/>
              <w:bottom w:val="nil"/>
              <w:right w:val="nil"/>
            </w:tcBorders>
            <w:shd w:val="clear" w:color="auto" w:fill="F2F5F7"/>
            <w:tcMar>
              <w:top w:w="160" w:type="dxa"/>
              <w:left w:w="180" w:type="dxa"/>
              <w:bottom w:w="160" w:type="dxa"/>
              <w:right w:w="180" w:type="dxa"/>
            </w:tcMar>
          </w:tcPr>
          <w:p w14:paraId="189559C6" w14:textId="77777777" w:rsidR="00F14BB8" w:rsidRDefault="00A65DEB">
            <w:pPr>
              <w:spacing w:after="100"/>
              <w:rPr>
                <w:rFonts w:hint="eastAsia"/>
              </w:rPr>
            </w:pPr>
            <w:r>
              <w:rPr>
                <w:b/>
                <w:color w:val="17365D"/>
                <w:sz w:val="21"/>
              </w:rPr>
              <w:t>CONTEXTUAL INTEGRITY LAW</w:t>
            </w:r>
          </w:p>
          <w:p w14:paraId="34A1C710" w14:textId="77777777" w:rsidR="00F14BB8" w:rsidRDefault="00A65DEB">
            <w:pPr>
              <w:spacing w:after="0" w:line="259" w:lineRule="auto"/>
              <w:rPr>
                <w:rFonts w:hint="eastAsia"/>
              </w:rPr>
            </w:pPr>
            <w:r>
              <w:t>The significance of missing or conflicting information is determined by its role in the applicable object contract, not merely by the visual fact that a field is empty.</w:t>
            </w:r>
          </w:p>
        </w:tc>
      </w:tr>
    </w:tbl>
    <w:p w14:paraId="6F10F94D" w14:textId="77777777" w:rsidR="00F14BB8" w:rsidRDefault="00F14BB8">
      <w:pPr>
        <w:spacing w:after="0"/>
        <w:rPr>
          <w:rFonts w:hint="eastAsia"/>
        </w:rPr>
      </w:pPr>
    </w:p>
    <w:p w14:paraId="7939041E" w14:textId="77777777" w:rsidR="00F14BB8" w:rsidRDefault="00A65DEB">
      <w:pPr>
        <w:pStyle w:val="Heading1"/>
        <w:spacing w:before="260" w:after="120"/>
      </w:pPr>
      <w:r>
        <w:rPr>
          <w:rFonts w:ascii="Carlito" w:hAnsi="Carlito"/>
        </w:rPr>
        <w:t>8. Diagnostic Classes</w:t>
      </w:r>
    </w:p>
    <w:p w14:paraId="1B5FEA90" w14:textId="77777777" w:rsidR="00F14BB8" w:rsidRDefault="00A65DEB">
      <w:pPr>
        <w:spacing w:after="140" w:line="259" w:lineRule="auto"/>
        <w:rPr>
          <w:rFonts w:hint="eastAsia"/>
        </w:rPr>
      </w:pPr>
      <w:r>
        <w:t>Integrity state answers how serious a condition is. Diagnostic class answers what kind of structural question produced the condition. Keeping these dimensions separate allows one five-state language to describe many kinds of faults without proliferating status categories.</w:t>
      </w:r>
    </w:p>
    <w:tbl>
      <w:tblPr>
        <w:tblStyle w:val="TableGrid"/>
        <w:tblW w:w="0" w:type="auto"/>
        <w:jc w:val="center"/>
        <w:tblLook w:val="04A0" w:firstRow="1" w:lastRow="0" w:firstColumn="1" w:lastColumn="0" w:noHBand="0" w:noVBand="1"/>
      </w:tblPr>
      <w:tblGrid>
        <w:gridCol w:w="1440"/>
        <w:gridCol w:w="3456"/>
        <w:gridCol w:w="4752"/>
      </w:tblGrid>
      <w:tr w:rsidR="00F14BB8" w14:paraId="0465A524" w14:textId="77777777">
        <w:trPr>
          <w:tblHeader/>
          <w:jc w:val="center"/>
        </w:trPr>
        <w:tc>
          <w:tcPr>
            <w:tcW w:w="1440" w:type="dxa"/>
            <w:shd w:val="clear" w:color="auto" w:fill="17365D"/>
            <w:tcMar>
              <w:top w:w="110" w:type="dxa"/>
              <w:left w:w="110" w:type="dxa"/>
              <w:bottom w:w="110" w:type="dxa"/>
              <w:right w:w="110" w:type="dxa"/>
            </w:tcMar>
            <w:vAlign w:val="center"/>
          </w:tcPr>
          <w:p w14:paraId="49B64CEF" w14:textId="77777777" w:rsidR="00F14BB8" w:rsidRDefault="00A65DEB">
            <w:pPr>
              <w:rPr>
                <w:rFonts w:hint="eastAsia"/>
              </w:rPr>
            </w:pPr>
            <w:r>
              <w:rPr>
                <w:b/>
                <w:color w:val="FFFFFF"/>
                <w:sz w:val="19"/>
              </w:rPr>
              <w:t>Class</w:t>
            </w:r>
          </w:p>
        </w:tc>
        <w:tc>
          <w:tcPr>
            <w:tcW w:w="3456" w:type="dxa"/>
            <w:shd w:val="clear" w:color="auto" w:fill="17365D"/>
            <w:tcMar>
              <w:top w:w="110" w:type="dxa"/>
              <w:left w:w="110" w:type="dxa"/>
              <w:bottom w:w="110" w:type="dxa"/>
              <w:right w:w="110" w:type="dxa"/>
            </w:tcMar>
            <w:vAlign w:val="center"/>
          </w:tcPr>
          <w:p w14:paraId="71B2569F" w14:textId="77777777" w:rsidR="00F14BB8" w:rsidRDefault="00A65DEB">
            <w:pPr>
              <w:rPr>
                <w:rFonts w:hint="eastAsia"/>
              </w:rPr>
            </w:pPr>
            <w:r>
              <w:rPr>
                <w:b/>
                <w:color w:val="FFFFFF"/>
                <w:sz w:val="19"/>
              </w:rPr>
              <w:t>Primary question</w:t>
            </w:r>
          </w:p>
        </w:tc>
        <w:tc>
          <w:tcPr>
            <w:tcW w:w="4752" w:type="dxa"/>
            <w:shd w:val="clear" w:color="auto" w:fill="17365D"/>
            <w:tcMar>
              <w:top w:w="110" w:type="dxa"/>
              <w:left w:w="110" w:type="dxa"/>
              <w:bottom w:w="110" w:type="dxa"/>
              <w:right w:w="110" w:type="dxa"/>
            </w:tcMar>
            <w:vAlign w:val="center"/>
          </w:tcPr>
          <w:p w14:paraId="61B1FDE2" w14:textId="77777777" w:rsidR="00F14BB8" w:rsidRDefault="00A65DEB">
            <w:pPr>
              <w:rPr>
                <w:rFonts w:hint="eastAsia"/>
              </w:rPr>
            </w:pPr>
            <w:r>
              <w:rPr>
                <w:b/>
                <w:color w:val="FFFFFF"/>
                <w:sz w:val="19"/>
              </w:rPr>
              <w:t>Example</w:t>
            </w:r>
          </w:p>
        </w:tc>
      </w:tr>
      <w:tr w:rsidR="00F14BB8" w14:paraId="3CDCC71E" w14:textId="77777777">
        <w:trPr>
          <w:jc w:val="center"/>
        </w:trPr>
        <w:tc>
          <w:tcPr>
            <w:tcW w:w="1440" w:type="dxa"/>
            <w:shd w:val="clear" w:color="auto" w:fill="FFFFFF"/>
            <w:tcMar>
              <w:top w:w="100" w:type="dxa"/>
              <w:left w:w="110" w:type="dxa"/>
              <w:bottom w:w="100" w:type="dxa"/>
              <w:right w:w="110" w:type="dxa"/>
            </w:tcMar>
            <w:vAlign w:val="center"/>
          </w:tcPr>
          <w:p w14:paraId="4A7D07FB" w14:textId="77777777" w:rsidR="00F14BB8" w:rsidRDefault="00A65DEB">
            <w:pPr>
              <w:rPr>
                <w:rFonts w:hint="eastAsia"/>
              </w:rPr>
            </w:pPr>
            <w:r>
              <w:rPr>
                <w:sz w:val="17"/>
              </w:rPr>
              <w:t>Presence</w:t>
            </w:r>
          </w:p>
        </w:tc>
        <w:tc>
          <w:tcPr>
            <w:tcW w:w="3456" w:type="dxa"/>
            <w:shd w:val="clear" w:color="auto" w:fill="FFFFFF"/>
            <w:tcMar>
              <w:top w:w="100" w:type="dxa"/>
              <w:left w:w="110" w:type="dxa"/>
              <w:bottom w:w="100" w:type="dxa"/>
              <w:right w:w="110" w:type="dxa"/>
            </w:tcMar>
            <w:vAlign w:val="center"/>
          </w:tcPr>
          <w:p w14:paraId="39A800F9" w14:textId="77777777" w:rsidR="00F14BB8" w:rsidRDefault="00A65DEB">
            <w:pPr>
              <w:rPr>
                <w:rFonts w:hint="eastAsia"/>
              </w:rPr>
            </w:pPr>
            <w:r>
              <w:rPr>
                <w:sz w:val="17"/>
              </w:rPr>
              <w:t>Is required information present?</w:t>
            </w:r>
          </w:p>
        </w:tc>
        <w:tc>
          <w:tcPr>
            <w:tcW w:w="4752" w:type="dxa"/>
            <w:shd w:val="clear" w:color="auto" w:fill="FFFFFF"/>
            <w:tcMar>
              <w:top w:w="100" w:type="dxa"/>
              <w:left w:w="110" w:type="dxa"/>
              <w:bottom w:w="100" w:type="dxa"/>
              <w:right w:w="110" w:type="dxa"/>
            </w:tcMar>
            <w:vAlign w:val="center"/>
          </w:tcPr>
          <w:p w14:paraId="7D3A33A9" w14:textId="77777777" w:rsidR="00F14BB8" w:rsidRDefault="00A65DEB">
            <w:pPr>
              <w:rPr>
                <w:rFonts w:hint="eastAsia"/>
              </w:rPr>
            </w:pPr>
            <w:r>
              <w:rPr>
                <w:sz w:val="17"/>
              </w:rPr>
              <w:t>A required Reader link is blank.</w:t>
            </w:r>
          </w:p>
        </w:tc>
      </w:tr>
      <w:tr w:rsidR="00F14BB8" w14:paraId="6C27E8DF" w14:textId="77777777">
        <w:trPr>
          <w:jc w:val="center"/>
        </w:trPr>
        <w:tc>
          <w:tcPr>
            <w:tcW w:w="1440" w:type="dxa"/>
            <w:shd w:val="clear" w:color="auto" w:fill="F7F9FB"/>
            <w:tcMar>
              <w:top w:w="100" w:type="dxa"/>
              <w:left w:w="110" w:type="dxa"/>
              <w:bottom w:w="100" w:type="dxa"/>
              <w:right w:w="110" w:type="dxa"/>
            </w:tcMar>
            <w:vAlign w:val="center"/>
          </w:tcPr>
          <w:p w14:paraId="7CCF92F3" w14:textId="77777777" w:rsidR="00F14BB8" w:rsidRDefault="00A65DEB">
            <w:pPr>
              <w:rPr>
                <w:rFonts w:hint="eastAsia"/>
              </w:rPr>
            </w:pPr>
            <w:r>
              <w:rPr>
                <w:sz w:val="17"/>
              </w:rPr>
              <w:t>Relationship</w:t>
            </w:r>
          </w:p>
        </w:tc>
        <w:tc>
          <w:tcPr>
            <w:tcW w:w="3456" w:type="dxa"/>
            <w:shd w:val="clear" w:color="auto" w:fill="F7F9FB"/>
            <w:tcMar>
              <w:top w:w="100" w:type="dxa"/>
              <w:left w:w="110" w:type="dxa"/>
              <w:bottom w:w="100" w:type="dxa"/>
              <w:right w:w="110" w:type="dxa"/>
            </w:tcMar>
            <w:vAlign w:val="center"/>
          </w:tcPr>
          <w:p w14:paraId="4245784D" w14:textId="77777777" w:rsidR="00F14BB8" w:rsidRDefault="00A65DEB">
            <w:pPr>
              <w:rPr>
                <w:rFonts w:hint="eastAsia"/>
              </w:rPr>
            </w:pPr>
            <w:r>
              <w:rPr>
                <w:sz w:val="17"/>
              </w:rPr>
              <w:t>Does the expected edge exist?</w:t>
            </w:r>
          </w:p>
        </w:tc>
        <w:tc>
          <w:tcPr>
            <w:tcW w:w="4752" w:type="dxa"/>
            <w:shd w:val="clear" w:color="auto" w:fill="F7F9FB"/>
            <w:tcMar>
              <w:top w:w="100" w:type="dxa"/>
              <w:left w:w="110" w:type="dxa"/>
              <w:bottom w:w="100" w:type="dxa"/>
              <w:right w:w="110" w:type="dxa"/>
            </w:tcMar>
            <w:vAlign w:val="center"/>
          </w:tcPr>
          <w:p w14:paraId="7E24FDC2" w14:textId="77777777" w:rsidR="00F14BB8" w:rsidRDefault="00A65DEB">
            <w:pPr>
              <w:rPr>
                <w:rFonts w:hint="eastAsia"/>
              </w:rPr>
            </w:pPr>
            <w:r>
              <w:rPr>
                <w:sz w:val="17"/>
              </w:rPr>
              <w:t>A BitGroup does not resolve to its registered Formula.</w:t>
            </w:r>
          </w:p>
        </w:tc>
      </w:tr>
      <w:tr w:rsidR="00F14BB8" w14:paraId="0E8F0A07" w14:textId="77777777">
        <w:trPr>
          <w:jc w:val="center"/>
        </w:trPr>
        <w:tc>
          <w:tcPr>
            <w:tcW w:w="1440" w:type="dxa"/>
            <w:shd w:val="clear" w:color="auto" w:fill="FFFFFF"/>
            <w:tcMar>
              <w:top w:w="100" w:type="dxa"/>
              <w:left w:w="110" w:type="dxa"/>
              <w:bottom w:w="100" w:type="dxa"/>
              <w:right w:w="110" w:type="dxa"/>
            </w:tcMar>
            <w:vAlign w:val="center"/>
          </w:tcPr>
          <w:p w14:paraId="521D9458" w14:textId="77777777" w:rsidR="00F14BB8" w:rsidRDefault="00A65DEB">
            <w:pPr>
              <w:rPr>
                <w:rFonts w:hint="eastAsia"/>
              </w:rPr>
            </w:pPr>
            <w:r>
              <w:rPr>
                <w:sz w:val="17"/>
              </w:rPr>
              <w:t>Cardinality</w:t>
            </w:r>
          </w:p>
        </w:tc>
        <w:tc>
          <w:tcPr>
            <w:tcW w:w="3456" w:type="dxa"/>
            <w:shd w:val="clear" w:color="auto" w:fill="FFFFFF"/>
            <w:tcMar>
              <w:top w:w="100" w:type="dxa"/>
              <w:left w:w="110" w:type="dxa"/>
              <w:bottom w:w="100" w:type="dxa"/>
              <w:right w:w="110" w:type="dxa"/>
            </w:tcMar>
            <w:vAlign w:val="center"/>
          </w:tcPr>
          <w:p w14:paraId="53D0CC02" w14:textId="77777777" w:rsidR="00F14BB8" w:rsidRDefault="00A65DEB">
            <w:pPr>
              <w:rPr>
                <w:rFonts w:hint="eastAsia"/>
              </w:rPr>
            </w:pPr>
            <w:r>
              <w:rPr>
                <w:sz w:val="17"/>
              </w:rPr>
              <w:t>Are there the correct number of targets?</w:t>
            </w:r>
          </w:p>
        </w:tc>
        <w:tc>
          <w:tcPr>
            <w:tcW w:w="4752" w:type="dxa"/>
            <w:shd w:val="clear" w:color="auto" w:fill="FFFFFF"/>
            <w:tcMar>
              <w:top w:w="100" w:type="dxa"/>
              <w:left w:w="110" w:type="dxa"/>
              <w:bottom w:w="100" w:type="dxa"/>
              <w:right w:w="110" w:type="dxa"/>
            </w:tcMar>
            <w:vAlign w:val="center"/>
          </w:tcPr>
          <w:p w14:paraId="0C2F52FA" w14:textId="77777777" w:rsidR="00F14BB8" w:rsidRDefault="00A65DEB">
            <w:pPr>
              <w:rPr>
                <w:rFonts w:hint="eastAsia"/>
              </w:rPr>
            </w:pPr>
            <w:r>
              <w:rPr>
                <w:sz w:val="17"/>
              </w:rPr>
              <w:t>A one-to-one contract resolves to three targets.</w:t>
            </w:r>
          </w:p>
        </w:tc>
      </w:tr>
      <w:tr w:rsidR="00F14BB8" w14:paraId="59084DC1" w14:textId="77777777">
        <w:trPr>
          <w:jc w:val="center"/>
        </w:trPr>
        <w:tc>
          <w:tcPr>
            <w:tcW w:w="1440" w:type="dxa"/>
            <w:shd w:val="clear" w:color="auto" w:fill="F7F9FB"/>
            <w:tcMar>
              <w:top w:w="100" w:type="dxa"/>
              <w:left w:w="110" w:type="dxa"/>
              <w:bottom w:w="100" w:type="dxa"/>
              <w:right w:w="110" w:type="dxa"/>
            </w:tcMar>
            <w:vAlign w:val="center"/>
          </w:tcPr>
          <w:p w14:paraId="208073C7" w14:textId="77777777" w:rsidR="00F14BB8" w:rsidRDefault="00A65DEB">
            <w:pPr>
              <w:rPr>
                <w:rFonts w:hint="eastAsia"/>
              </w:rPr>
            </w:pPr>
            <w:r>
              <w:rPr>
                <w:sz w:val="17"/>
              </w:rPr>
              <w:t>Type</w:t>
            </w:r>
          </w:p>
        </w:tc>
        <w:tc>
          <w:tcPr>
            <w:tcW w:w="3456" w:type="dxa"/>
            <w:shd w:val="clear" w:color="auto" w:fill="F7F9FB"/>
            <w:tcMar>
              <w:top w:w="100" w:type="dxa"/>
              <w:left w:w="110" w:type="dxa"/>
              <w:bottom w:w="100" w:type="dxa"/>
              <w:right w:w="110" w:type="dxa"/>
            </w:tcMar>
            <w:vAlign w:val="center"/>
          </w:tcPr>
          <w:p w14:paraId="7AE66CD6" w14:textId="77777777" w:rsidR="00F14BB8" w:rsidRDefault="00A65DEB">
            <w:pPr>
              <w:rPr>
                <w:rFonts w:hint="eastAsia"/>
              </w:rPr>
            </w:pPr>
            <w:r>
              <w:rPr>
                <w:sz w:val="17"/>
              </w:rPr>
              <w:t>Does the relationship terminate at the correct object class?</w:t>
            </w:r>
          </w:p>
        </w:tc>
        <w:tc>
          <w:tcPr>
            <w:tcW w:w="4752" w:type="dxa"/>
            <w:shd w:val="clear" w:color="auto" w:fill="F7F9FB"/>
            <w:tcMar>
              <w:top w:w="100" w:type="dxa"/>
              <w:left w:w="110" w:type="dxa"/>
              <w:bottom w:w="100" w:type="dxa"/>
              <w:right w:w="110" w:type="dxa"/>
            </w:tcMar>
            <w:vAlign w:val="center"/>
          </w:tcPr>
          <w:p w14:paraId="74EA3BE2" w14:textId="77777777" w:rsidR="00F14BB8" w:rsidRDefault="00A65DEB">
            <w:pPr>
              <w:rPr>
                <w:rFonts w:hint="eastAsia"/>
              </w:rPr>
            </w:pPr>
            <w:r>
              <w:rPr>
                <w:sz w:val="17"/>
              </w:rPr>
              <w:t>A Formula field links to a non-Formula object.</w:t>
            </w:r>
          </w:p>
        </w:tc>
      </w:tr>
      <w:tr w:rsidR="00F14BB8" w14:paraId="730729CB" w14:textId="77777777">
        <w:trPr>
          <w:jc w:val="center"/>
        </w:trPr>
        <w:tc>
          <w:tcPr>
            <w:tcW w:w="1440" w:type="dxa"/>
            <w:shd w:val="clear" w:color="auto" w:fill="FFFFFF"/>
            <w:tcMar>
              <w:top w:w="100" w:type="dxa"/>
              <w:left w:w="110" w:type="dxa"/>
              <w:bottom w:w="100" w:type="dxa"/>
              <w:right w:w="110" w:type="dxa"/>
            </w:tcMar>
            <w:vAlign w:val="center"/>
          </w:tcPr>
          <w:p w14:paraId="2E9BBA4F" w14:textId="77777777" w:rsidR="00F14BB8" w:rsidRDefault="00A65DEB">
            <w:pPr>
              <w:rPr>
                <w:rFonts w:hint="eastAsia"/>
              </w:rPr>
            </w:pPr>
            <w:r>
              <w:rPr>
                <w:sz w:val="17"/>
              </w:rPr>
              <w:t>Consistency</w:t>
            </w:r>
          </w:p>
        </w:tc>
        <w:tc>
          <w:tcPr>
            <w:tcW w:w="3456" w:type="dxa"/>
            <w:shd w:val="clear" w:color="auto" w:fill="FFFFFF"/>
            <w:tcMar>
              <w:top w:w="100" w:type="dxa"/>
              <w:left w:w="110" w:type="dxa"/>
              <w:bottom w:w="100" w:type="dxa"/>
              <w:right w:w="110" w:type="dxa"/>
            </w:tcMar>
            <w:vAlign w:val="center"/>
          </w:tcPr>
          <w:p w14:paraId="27473055" w14:textId="77777777" w:rsidR="00F14BB8" w:rsidRDefault="00A65DEB">
            <w:pPr>
              <w:rPr>
                <w:rFonts w:hint="eastAsia"/>
              </w:rPr>
            </w:pPr>
            <w:r>
              <w:rPr>
                <w:sz w:val="17"/>
              </w:rPr>
              <w:t>Do structures that should agree actually agree?</w:t>
            </w:r>
          </w:p>
        </w:tc>
        <w:tc>
          <w:tcPr>
            <w:tcW w:w="4752" w:type="dxa"/>
            <w:shd w:val="clear" w:color="auto" w:fill="FFFFFF"/>
            <w:tcMar>
              <w:top w:w="100" w:type="dxa"/>
              <w:left w:w="110" w:type="dxa"/>
              <w:bottom w:w="100" w:type="dxa"/>
              <w:right w:w="110" w:type="dxa"/>
            </w:tcMar>
            <w:vAlign w:val="center"/>
          </w:tcPr>
          <w:p w14:paraId="7115F93A" w14:textId="77777777" w:rsidR="00F14BB8" w:rsidRDefault="00A65DEB">
            <w:pPr>
              <w:rPr>
                <w:rFonts w:hint="eastAsia"/>
              </w:rPr>
            </w:pPr>
            <w:r>
              <w:rPr>
                <w:sz w:val="17"/>
              </w:rPr>
              <w:t>Reader Formula does not agree with the BitGroup Formula contract.</w:t>
            </w:r>
          </w:p>
        </w:tc>
      </w:tr>
      <w:tr w:rsidR="00F14BB8" w14:paraId="0B218BF4" w14:textId="77777777">
        <w:trPr>
          <w:jc w:val="center"/>
        </w:trPr>
        <w:tc>
          <w:tcPr>
            <w:tcW w:w="1440" w:type="dxa"/>
            <w:shd w:val="clear" w:color="auto" w:fill="F7F9FB"/>
            <w:tcMar>
              <w:top w:w="100" w:type="dxa"/>
              <w:left w:w="110" w:type="dxa"/>
              <w:bottom w:w="100" w:type="dxa"/>
              <w:right w:w="110" w:type="dxa"/>
            </w:tcMar>
            <w:vAlign w:val="center"/>
          </w:tcPr>
          <w:p w14:paraId="74DB3705" w14:textId="77777777" w:rsidR="00F14BB8" w:rsidRDefault="00A65DEB">
            <w:pPr>
              <w:rPr>
                <w:rFonts w:hint="eastAsia"/>
              </w:rPr>
            </w:pPr>
            <w:r>
              <w:rPr>
                <w:sz w:val="17"/>
              </w:rPr>
              <w:t>Structure</w:t>
            </w:r>
          </w:p>
        </w:tc>
        <w:tc>
          <w:tcPr>
            <w:tcW w:w="3456" w:type="dxa"/>
            <w:shd w:val="clear" w:color="auto" w:fill="F7F9FB"/>
            <w:tcMar>
              <w:top w:w="100" w:type="dxa"/>
              <w:left w:w="110" w:type="dxa"/>
              <w:bottom w:w="100" w:type="dxa"/>
              <w:right w:w="110" w:type="dxa"/>
            </w:tcMar>
            <w:vAlign w:val="center"/>
          </w:tcPr>
          <w:p w14:paraId="18DAB8C6" w14:textId="77777777" w:rsidR="00F14BB8" w:rsidRDefault="00A65DEB">
            <w:pPr>
              <w:rPr>
                <w:rFonts w:hint="eastAsia"/>
              </w:rPr>
            </w:pPr>
            <w:r>
              <w:rPr>
                <w:sz w:val="17"/>
              </w:rPr>
              <w:t>Is ordering, width, nesting, or composition valid?</w:t>
            </w:r>
          </w:p>
        </w:tc>
        <w:tc>
          <w:tcPr>
            <w:tcW w:w="4752" w:type="dxa"/>
            <w:shd w:val="clear" w:color="auto" w:fill="F7F9FB"/>
            <w:tcMar>
              <w:top w:w="100" w:type="dxa"/>
              <w:left w:w="110" w:type="dxa"/>
              <w:bottom w:w="100" w:type="dxa"/>
              <w:right w:w="110" w:type="dxa"/>
            </w:tcMar>
            <w:vAlign w:val="center"/>
          </w:tcPr>
          <w:p w14:paraId="19EF4472" w14:textId="77777777" w:rsidR="00F14BB8" w:rsidRDefault="00A65DEB">
            <w:pPr>
              <w:rPr>
                <w:rFonts w:hint="eastAsia"/>
              </w:rPr>
            </w:pPr>
            <w:r>
              <w:rPr>
                <w:sz w:val="17"/>
              </w:rPr>
              <w:t>A BitWord placement violates its registered specification.</w:t>
            </w:r>
          </w:p>
        </w:tc>
      </w:tr>
      <w:tr w:rsidR="00F14BB8" w14:paraId="52B41A01" w14:textId="77777777">
        <w:trPr>
          <w:jc w:val="center"/>
        </w:trPr>
        <w:tc>
          <w:tcPr>
            <w:tcW w:w="1440" w:type="dxa"/>
            <w:shd w:val="clear" w:color="auto" w:fill="FFFFFF"/>
            <w:tcMar>
              <w:top w:w="100" w:type="dxa"/>
              <w:left w:w="110" w:type="dxa"/>
              <w:bottom w:w="100" w:type="dxa"/>
              <w:right w:w="110" w:type="dxa"/>
            </w:tcMar>
            <w:vAlign w:val="center"/>
          </w:tcPr>
          <w:p w14:paraId="2102CE82" w14:textId="77777777" w:rsidR="00F14BB8" w:rsidRDefault="00A65DEB">
            <w:pPr>
              <w:rPr>
                <w:rFonts w:hint="eastAsia"/>
              </w:rPr>
            </w:pPr>
            <w:r>
              <w:rPr>
                <w:sz w:val="17"/>
              </w:rPr>
              <w:t>Dependency</w:t>
            </w:r>
          </w:p>
        </w:tc>
        <w:tc>
          <w:tcPr>
            <w:tcW w:w="3456" w:type="dxa"/>
            <w:shd w:val="clear" w:color="auto" w:fill="FFFFFF"/>
            <w:tcMar>
              <w:top w:w="100" w:type="dxa"/>
              <w:left w:w="110" w:type="dxa"/>
              <w:bottom w:w="100" w:type="dxa"/>
              <w:right w:w="110" w:type="dxa"/>
            </w:tcMar>
            <w:vAlign w:val="center"/>
          </w:tcPr>
          <w:p w14:paraId="03B913EB" w14:textId="77777777" w:rsidR="00F14BB8" w:rsidRDefault="00A65DEB">
            <w:pPr>
              <w:rPr>
                <w:rFonts w:hint="eastAsia"/>
              </w:rPr>
            </w:pPr>
            <w:r>
              <w:rPr>
                <w:sz w:val="17"/>
              </w:rPr>
              <w:t>Is a required dependent structure available?</w:t>
            </w:r>
          </w:p>
        </w:tc>
        <w:tc>
          <w:tcPr>
            <w:tcW w:w="4752" w:type="dxa"/>
            <w:shd w:val="clear" w:color="auto" w:fill="FFFFFF"/>
            <w:tcMar>
              <w:top w:w="100" w:type="dxa"/>
              <w:left w:w="110" w:type="dxa"/>
              <w:bottom w:w="100" w:type="dxa"/>
              <w:right w:w="110" w:type="dxa"/>
            </w:tcMar>
            <w:vAlign w:val="center"/>
          </w:tcPr>
          <w:p w14:paraId="6E3DC4CF" w14:textId="77777777" w:rsidR="00F14BB8" w:rsidRDefault="00A65DEB">
            <w:pPr>
              <w:rPr>
                <w:rFonts w:hint="eastAsia"/>
              </w:rPr>
            </w:pPr>
            <w:r>
              <w:rPr>
                <w:sz w:val="17"/>
              </w:rPr>
              <w:t>An otherwise valid object depends on an unavailable computational component.</w:t>
            </w:r>
          </w:p>
        </w:tc>
      </w:tr>
      <w:tr w:rsidR="00F14BB8" w14:paraId="57AF1D2D" w14:textId="77777777">
        <w:trPr>
          <w:jc w:val="center"/>
        </w:trPr>
        <w:tc>
          <w:tcPr>
            <w:tcW w:w="1440" w:type="dxa"/>
            <w:shd w:val="clear" w:color="auto" w:fill="F7F9FB"/>
            <w:tcMar>
              <w:top w:w="100" w:type="dxa"/>
              <w:left w:w="110" w:type="dxa"/>
              <w:bottom w:w="100" w:type="dxa"/>
              <w:right w:w="110" w:type="dxa"/>
            </w:tcMar>
            <w:vAlign w:val="center"/>
          </w:tcPr>
          <w:p w14:paraId="62568C47" w14:textId="77777777" w:rsidR="00F14BB8" w:rsidRDefault="00A65DEB">
            <w:pPr>
              <w:rPr>
                <w:rFonts w:hint="eastAsia"/>
              </w:rPr>
            </w:pPr>
            <w:r>
              <w:rPr>
                <w:sz w:val="17"/>
              </w:rPr>
              <w:t>Lifecycle</w:t>
            </w:r>
          </w:p>
        </w:tc>
        <w:tc>
          <w:tcPr>
            <w:tcW w:w="3456" w:type="dxa"/>
            <w:shd w:val="clear" w:color="auto" w:fill="F7F9FB"/>
            <w:tcMar>
              <w:top w:w="100" w:type="dxa"/>
              <w:left w:w="110" w:type="dxa"/>
              <w:bottom w:w="100" w:type="dxa"/>
              <w:right w:w="110" w:type="dxa"/>
            </w:tcMar>
            <w:vAlign w:val="center"/>
          </w:tcPr>
          <w:p w14:paraId="2D50598F" w14:textId="77777777" w:rsidR="00F14BB8" w:rsidRDefault="00A65DEB">
            <w:pPr>
              <w:rPr>
                <w:rFonts w:hint="eastAsia"/>
              </w:rPr>
            </w:pPr>
            <w:r>
              <w:rPr>
                <w:sz w:val="17"/>
              </w:rPr>
              <w:t>Is status usage valid?</w:t>
            </w:r>
          </w:p>
        </w:tc>
        <w:tc>
          <w:tcPr>
            <w:tcW w:w="4752" w:type="dxa"/>
            <w:shd w:val="clear" w:color="auto" w:fill="F7F9FB"/>
            <w:tcMar>
              <w:top w:w="100" w:type="dxa"/>
              <w:left w:w="110" w:type="dxa"/>
              <w:bottom w:w="100" w:type="dxa"/>
              <w:right w:w="110" w:type="dxa"/>
            </w:tcMar>
            <w:vAlign w:val="center"/>
          </w:tcPr>
          <w:p w14:paraId="7E888DA6" w14:textId="77777777" w:rsidR="00F14BB8" w:rsidRDefault="00A65DEB">
            <w:pPr>
              <w:rPr>
                <w:rFonts w:hint="eastAsia"/>
              </w:rPr>
            </w:pPr>
            <w:r>
              <w:rPr>
                <w:sz w:val="17"/>
              </w:rPr>
              <w:t>A Deprecated object is used where only Active is permitted.</w:t>
            </w:r>
          </w:p>
        </w:tc>
      </w:tr>
      <w:tr w:rsidR="00F14BB8" w14:paraId="0F94A8EA" w14:textId="77777777">
        <w:trPr>
          <w:jc w:val="center"/>
        </w:trPr>
        <w:tc>
          <w:tcPr>
            <w:tcW w:w="1440" w:type="dxa"/>
            <w:shd w:val="clear" w:color="auto" w:fill="FFFFFF"/>
            <w:tcMar>
              <w:top w:w="100" w:type="dxa"/>
              <w:left w:w="110" w:type="dxa"/>
              <w:bottom w:w="100" w:type="dxa"/>
              <w:right w:w="110" w:type="dxa"/>
            </w:tcMar>
            <w:vAlign w:val="center"/>
          </w:tcPr>
          <w:p w14:paraId="73FF3B8F" w14:textId="77777777" w:rsidR="00F14BB8" w:rsidRDefault="00A65DEB">
            <w:pPr>
              <w:rPr>
                <w:rFonts w:hint="eastAsia"/>
              </w:rPr>
            </w:pPr>
            <w:r>
              <w:rPr>
                <w:sz w:val="17"/>
              </w:rPr>
              <w:t>Orphan</w:t>
            </w:r>
          </w:p>
        </w:tc>
        <w:tc>
          <w:tcPr>
            <w:tcW w:w="3456" w:type="dxa"/>
            <w:shd w:val="clear" w:color="auto" w:fill="FFFFFF"/>
            <w:tcMar>
              <w:top w:w="100" w:type="dxa"/>
              <w:left w:w="110" w:type="dxa"/>
              <w:bottom w:w="100" w:type="dxa"/>
              <w:right w:w="110" w:type="dxa"/>
            </w:tcMar>
            <w:vAlign w:val="center"/>
          </w:tcPr>
          <w:p w14:paraId="219CD297" w14:textId="77777777" w:rsidR="00F14BB8" w:rsidRDefault="00A65DEB">
            <w:pPr>
              <w:rPr>
                <w:rFonts w:hint="eastAsia"/>
              </w:rPr>
            </w:pPr>
            <w:r>
              <w:rPr>
                <w:sz w:val="17"/>
              </w:rPr>
              <w:t>Is an unexpected disconnection present?</w:t>
            </w:r>
          </w:p>
        </w:tc>
        <w:tc>
          <w:tcPr>
            <w:tcW w:w="4752" w:type="dxa"/>
            <w:shd w:val="clear" w:color="auto" w:fill="FFFFFF"/>
            <w:tcMar>
              <w:top w:w="100" w:type="dxa"/>
              <w:left w:w="110" w:type="dxa"/>
              <w:bottom w:w="100" w:type="dxa"/>
              <w:right w:w="110" w:type="dxa"/>
            </w:tcMar>
            <w:vAlign w:val="center"/>
          </w:tcPr>
          <w:p w14:paraId="1847A514" w14:textId="77777777" w:rsidR="00F14BB8" w:rsidRDefault="00A65DEB">
            <w:pPr>
              <w:rPr>
                <w:rFonts w:hint="eastAsia"/>
              </w:rPr>
            </w:pPr>
            <w:r>
              <w:rPr>
                <w:sz w:val="17"/>
              </w:rPr>
              <w:t>A registered object is unattached when the contract requires ownership.</w:t>
            </w:r>
          </w:p>
        </w:tc>
      </w:tr>
      <w:tr w:rsidR="00F14BB8" w14:paraId="16A97B47" w14:textId="77777777">
        <w:trPr>
          <w:jc w:val="center"/>
        </w:trPr>
        <w:tc>
          <w:tcPr>
            <w:tcW w:w="1440" w:type="dxa"/>
            <w:shd w:val="clear" w:color="auto" w:fill="F7F9FB"/>
            <w:tcMar>
              <w:top w:w="100" w:type="dxa"/>
              <w:left w:w="110" w:type="dxa"/>
              <w:bottom w:w="100" w:type="dxa"/>
              <w:right w:w="110" w:type="dxa"/>
            </w:tcMar>
            <w:vAlign w:val="center"/>
          </w:tcPr>
          <w:p w14:paraId="5520D8C5" w14:textId="77777777" w:rsidR="00F14BB8" w:rsidRDefault="00A65DEB">
            <w:pPr>
              <w:rPr>
                <w:rFonts w:hint="eastAsia"/>
              </w:rPr>
            </w:pPr>
            <w:r>
              <w:rPr>
                <w:sz w:val="17"/>
              </w:rPr>
              <w:t>Redundancy</w:t>
            </w:r>
          </w:p>
        </w:tc>
        <w:tc>
          <w:tcPr>
            <w:tcW w:w="3456" w:type="dxa"/>
            <w:shd w:val="clear" w:color="auto" w:fill="F7F9FB"/>
            <w:tcMar>
              <w:top w:w="100" w:type="dxa"/>
              <w:left w:w="110" w:type="dxa"/>
              <w:bottom w:w="100" w:type="dxa"/>
              <w:right w:w="110" w:type="dxa"/>
            </w:tcMar>
            <w:vAlign w:val="center"/>
          </w:tcPr>
          <w:p w14:paraId="6828ED82" w14:textId="77777777" w:rsidR="00F14BB8" w:rsidRDefault="00A65DEB">
            <w:pPr>
              <w:rPr>
                <w:rFonts w:hint="eastAsia"/>
              </w:rPr>
            </w:pPr>
            <w:r>
              <w:rPr>
                <w:sz w:val="17"/>
              </w:rPr>
              <w:t>Is duplicate or obsolete ownership competing with canonical data?</w:t>
            </w:r>
          </w:p>
        </w:tc>
        <w:tc>
          <w:tcPr>
            <w:tcW w:w="4752" w:type="dxa"/>
            <w:shd w:val="clear" w:color="auto" w:fill="F7F9FB"/>
            <w:tcMar>
              <w:top w:w="100" w:type="dxa"/>
              <w:left w:w="110" w:type="dxa"/>
              <w:bottom w:w="100" w:type="dxa"/>
              <w:right w:w="110" w:type="dxa"/>
            </w:tcMar>
            <w:vAlign w:val="center"/>
          </w:tcPr>
          <w:p w14:paraId="052C7C4E" w14:textId="77777777" w:rsidR="00F14BB8" w:rsidRDefault="00A65DEB">
            <w:pPr>
              <w:rPr>
                <w:rFonts w:hint="eastAsia"/>
              </w:rPr>
            </w:pPr>
            <w:r>
              <w:rPr>
                <w:sz w:val="17"/>
              </w:rPr>
              <w:t>A copied field is being maintained beside the canonical source.</w:t>
            </w:r>
          </w:p>
        </w:tc>
      </w:tr>
    </w:tbl>
    <w:p w14:paraId="7EEB1C72" w14:textId="77777777" w:rsidR="00F14BB8" w:rsidRDefault="00F14BB8">
      <w:pPr>
        <w:spacing w:after="20"/>
        <w:rPr>
          <w:rFonts w:hint="eastAsia"/>
        </w:rPr>
      </w:pPr>
    </w:p>
    <w:p w14:paraId="1CAF3076" w14:textId="77777777" w:rsidR="00F14BB8" w:rsidRDefault="00A65DEB">
      <w:pPr>
        <w:spacing w:before="160" w:after="80"/>
        <w:jc w:val="center"/>
        <w:rPr>
          <w:rFonts w:hint="eastAsia"/>
        </w:rPr>
      </w:pPr>
      <w:r>
        <w:rPr>
          <w:noProof/>
        </w:rPr>
        <w:drawing>
          <wp:inline distT="0" distB="0" distL="0" distR="0" wp14:anchorId="1C10974C" wp14:editId="4388F515">
            <wp:extent cx="6263640" cy="341020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diagnostic_classes.png"/>
                    <pic:cNvPicPr/>
                  </pic:nvPicPr>
                  <pic:blipFill>
                    <a:blip r:embed="rId14"/>
                    <a:stretch>
                      <a:fillRect/>
                    </a:stretch>
                  </pic:blipFill>
                  <pic:spPr>
                    <a:xfrm>
                      <a:off x="0" y="0"/>
                      <a:ext cx="6263640" cy="3410204"/>
                    </a:xfrm>
                    <a:prstGeom prst="rect">
                      <a:avLst/>
                    </a:prstGeom>
                  </pic:spPr>
                </pic:pic>
              </a:graphicData>
            </a:graphic>
          </wp:inline>
        </w:drawing>
      </w:r>
    </w:p>
    <w:p w14:paraId="07E2D9B1" w14:textId="77777777" w:rsidR="00F14BB8" w:rsidRDefault="00A65DEB">
      <w:pPr>
        <w:keepNext/>
        <w:spacing w:after="180"/>
        <w:jc w:val="center"/>
        <w:rPr>
          <w:rFonts w:hint="eastAsia"/>
        </w:rPr>
      </w:pPr>
      <w:r>
        <w:rPr>
          <w:b/>
          <w:color w:val="4F81BD"/>
          <w:sz w:val="19"/>
        </w:rPr>
        <w:t xml:space="preserve">Figure 7. </w:t>
      </w:r>
      <w:r>
        <w:rPr>
          <w:color w:val="56626E"/>
          <w:sz w:val="19"/>
        </w:rPr>
        <w:t>Diagnostic classes describe the kind of structural test without becoming additional integrity states.</w:t>
      </w:r>
    </w:p>
    <w:p w14:paraId="24C5FEF8" w14:textId="77777777" w:rsidR="00F14BB8" w:rsidRDefault="00A65DEB">
      <w:pPr>
        <w:pStyle w:val="Heading1"/>
        <w:spacing w:before="260" w:after="120"/>
      </w:pPr>
      <w:r>
        <w:rPr>
          <w:rFonts w:ascii="Carlito" w:hAnsi="Carlito"/>
        </w:rPr>
        <w:t>9. Diagnostic Locality and Dependency Impact</w:t>
      </w:r>
    </w:p>
    <w:p w14:paraId="5AD33540" w14:textId="77777777" w:rsidR="00F14BB8" w:rsidRDefault="00A65DEB">
      <w:pPr>
        <w:spacing w:after="140" w:line="259" w:lineRule="auto"/>
        <w:rPr>
          <w:rFonts w:hint="eastAsia"/>
        </w:rPr>
      </w:pPr>
      <w:r>
        <w:t>At large scale, diagnostics become unusable if one originating defect is copied as a local failure onto every dependent record. BASE SERVICE therefore distinguishes the location of the violated contract from the downstream impact caused by that violation.</w:t>
      </w:r>
    </w:p>
    <w:p w14:paraId="73AECB30" w14:textId="77777777" w:rsidR="00F14BB8" w:rsidRDefault="00A65DEB">
      <w:pPr>
        <w:spacing w:after="140" w:line="259" w:lineRule="auto"/>
        <w:rPr>
          <w:rFonts w:hint="eastAsia"/>
        </w:rPr>
      </w:pPr>
      <w:r>
        <w:t>If SCALAR-6 is missing a Formula contract and fifty BitWords depend on SCALAR-6, the local defect belongs to SCALAR-6. A dependent BitWord whose own construction is perfect should not be reported as locally malformed merely because a dependency has become degraded. Instead, the BitWord can carry or derive a dependency-impact state that points back to the originating finding.</w:t>
      </w:r>
    </w:p>
    <w:p w14:paraId="13B5E2B5" w14:textId="77777777" w:rsidR="00F14BB8" w:rsidRDefault="00A65DEB">
      <w:pPr>
        <w:spacing w:before="160" w:after="80"/>
        <w:jc w:val="center"/>
        <w:rPr>
          <w:rFonts w:hint="eastAsia"/>
        </w:rPr>
      </w:pPr>
      <w:r>
        <w:rPr>
          <w:noProof/>
        </w:rPr>
        <w:drawing>
          <wp:inline distT="0" distB="0" distL="0" distR="0" wp14:anchorId="782F027D" wp14:editId="3E7F69C6">
            <wp:extent cx="6263640" cy="341020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locality_impact.png"/>
                    <pic:cNvPicPr/>
                  </pic:nvPicPr>
                  <pic:blipFill>
                    <a:blip r:embed="rId15"/>
                    <a:stretch>
                      <a:fillRect/>
                    </a:stretch>
                  </pic:blipFill>
                  <pic:spPr>
                    <a:xfrm>
                      <a:off x="0" y="0"/>
                      <a:ext cx="6263640" cy="3410204"/>
                    </a:xfrm>
                    <a:prstGeom prst="rect">
                      <a:avLst/>
                    </a:prstGeom>
                  </pic:spPr>
                </pic:pic>
              </a:graphicData>
            </a:graphic>
          </wp:inline>
        </w:drawing>
      </w:r>
    </w:p>
    <w:p w14:paraId="43C6ED61" w14:textId="77777777" w:rsidR="00F14BB8" w:rsidRDefault="00A65DEB">
      <w:pPr>
        <w:keepNext/>
        <w:spacing w:after="180"/>
        <w:jc w:val="center"/>
        <w:rPr>
          <w:rFonts w:hint="eastAsia"/>
        </w:rPr>
      </w:pPr>
      <w:r>
        <w:rPr>
          <w:b/>
          <w:color w:val="4F81BD"/>
          <w:sz w:val="19"/>
        </w:rPr>
        <w:t xml:space="preserve">Figure 8. </w:t>
      </w:r>
      <w:r>
        <w:rPr>
          <w:color w:val="56626E"/>
          <w:sz w:val="19"/>
        </w:rPr>
        <w:t>Diagnostic locality preserves one originating fault while allowing downstream operational impact to propagate through dependency relationships.</w:t>
      </w:r>
    </w:p>
    <w:p w14:paraId="418D81D9" w14:textId="77777777" w:rsidR="00F14BB8" w:rsidRDefault="00A65DEB">
      <w:pPr>
        <w:pStyle w:val="Heading2"/>
        <w:spacing w:after="80"/>
      </w:pPr>
      <w:r>
        <w:rPr>
          <w:rFonts w:ascii="Carlito" w:hAnsi="Carlito"/>
        </w:rPr>
        <w:t>9.1 Why locality matters</w:t>
      </w:r>
    </w:p>
    <w:p w14:paraId="6CBB32FA" w14:textId="77777777" w:rsidR="00F14BB8" w:rsidRDefault="00A65DEB">
      <w:pPr>
        <w:spacing w:after="140" w:line="259" w:lineRule="auto"/>
        <w:rPr>
          <w:rFonts w:hint="eastAsia"/>
        </w:rPr>
      </w:pPr>
      <w:r>
        <w:t>Locality prevents service inflation. Without it, one missing Formula could generate thousands or millions of apparently independent Fix records. With locality, CERBERUS can say “one local Fix, 12,481 affected dependents.” This is both more accurate and more useful for prioritization because repairing one source defect can clear a large downstream impact surface.</w:t>
      </w:r>
    </w:p>
    <w:tbl>
      <w:tblPr>
        <w:tblW w:w="0" w:type="auto"/>
        <w:jc w:val="center"/>
        <w:tblLook w:val="04A0" w:firstRow="1" w:lastRow="0" w:firstColumn="1" w:lastColumn="0" w:noHBand="0" w:noVBand="1"/>
      </w:tblPr>
      <w:tblGrid>
        <w:gridCol w:w="9878"/>
      </w:tblGrid>
      <w:tr w:rsidR="00F14BB8" w14:paraId="7CA36E6F" w14:textId="77777777">
        <w:trPr>
          <w:cantSplit/>
          <w:jc w:val="center"/>
        </w:trPr>
        <w:tc>
          <w:tcPr>
            <w:tcW w:w="9878" w:type="dxa"/>
            <w:tcBorders>
              <w:top w:val="nil"/>
              <w:left w:val="single" w:sz="18" w:space="0" w:color="17365D"/>
              <w:bottom w:val="nil"/>
              <w:right w:val="nil"/>
            </w:tcBorders>
            <w:shd w:val="clear" w:color="auto" w:fill="F2F5F7"/>
            <w:tcMar>
              <w:top w:w="160" w:type="dxa"/>
              <w:left w:w="180" w:type="dxa"/>
              <w:bottom w:w="160" w:type="dxa"/>
              <w:right w:w="180" w:type="dxa"/>
            </w:tcMar>
          </w:tcPr>
          <w:p w14:paraId="649F9628" w14:textId="77777777" w:rsidR="00F14BB8" w:rsidRDefault="00A65DEB">
            <w:pPr>
              <w:spacing w:after="100"/>
              <w:rPr>
                <w:rFonts w:hint="eastAsia"/>
              </w:rPr>
            </w:pPr>
            <w:r>
              <w:rPr>
                <w:b/>
                <w:color w:val="17365D"/>
                <w:sz w:val="21"/>
              </w:rPr>
              <w:t>DIAGNOSTIC LOCALITY LAW</w:t>
            </w:r>
          </w:p>
          <w:p w14:paraId="5950679A" w14:textId="77777777" w:rsidR="00F14BB8" w:rsidRDefault="00A65DEB">
            <w:pPr>
              <w:spacing w:after="0" w:line="259" w:lineRule="auto"/>
              <w:rPr>
                <w:rFonts w:hint="eastAsia"/>
              </w:rPr>
            </w:pPr>
            <w:r>
              <w:t>A defect is attributed to the exact contract location where observed structure violates declared structure. Downstream impact may propagate without duplicating the originating defect.</w:t>
            </w:r>
          </w:p>
        </w:tc>
      </w:tr>
    </w:tbl>
    <w:p w14:paraId="24D0A351" w14:textId="77777777" w:rsidR="00F14BB8" w:rsidRDefault="00F14BB8">
      <w:pPr>
        <w:spacing w:after="0"/>
        <w:rPr>
          <w:rFonts w:hint="eastAsia"/>
        </w:rPr>
      </w:pPr>
    </w:p>
    <w:p w14:paraId="7316322A" w14:textId="77777777" w:rsidR="00F14BB8" w:rsidRDefault="00A65DEB">
      <w:pPr>
        <w:pStyle w:val="Heading1"/>
        <w:spacing w:before="260" w:after="120"/>
      </w:pPr>
      <w:r>
        <w:rPr>
          <w:rFonts w:ascii="Carlito" w:hAnsi="Carlito"/>
        </w:rPr>
        <w:t>10. Recursive Service Rollup</w:t>
      </w:r>
    </w:p>
    <w:p w14:paraId="358F69FF" w14:textId="77777777" w:rsidR="00F14BB8" w:rsidRDefault="00A65DEB">
      <w:pPr>
        <w:spacing w:after="140" w:line="259" w:lineRule="auto"/>
        <w:rPr>
          <w:rFonts w:hint="eastAsia"/>
        </w:rPr>
      </w:pPr>
      <w:r>
        <w:t>BASE SERVICE should be readable at the same nested resolutions used elsewhere in CERBERUS. Exact findings occur at Field or relationship contracts, but humans often begin at the level of a Table, Stack, or entire Base. The service system therefore rolls summaries upward while preserving exact drill-down downward.</w:t>
      </w:r>
    </w:p>
    <w:p w14:paraId="59E23553" w14:textId="77777777" w:rsidR="00F14BB8" w:rsidRDefault="00A65DEB">
      <w:pPr>
        <w:spacing w:before="160" w:after="80"/>
        <w:jc w:val="center"/>
        <w:rPr>
          <w:rFonts w:hint="eastAsia"/>
        </w:rPr>
      </w:pPr>
      <w:r>
        <w:rPr>
          <w:noProof/>
        </w:rPr>
        <w:drawing>
          <wp:inline distT="0" distB="0" distL="0" distR="0" wp14:anchorId="3909AE37" wp14:editId="436D534A">
            <wp:extent cx="6263640" cy="341020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recursive_rollup.png"/>
                    <pic:cNvPicPr/>
                  </pic:nvPicPr>
                  <pic:blipFill>
                    <a:blip r:embed="rId16"/>
                    <a:stretch>
                      <a:fillRect/>
                    </a:stretch>
                  </pic:blipFill>
                  <pic:spPr>
                    <a:xfrm>
                      <a:off x="0" y="0"/>
                      <a:ext cx="6263640" cy="3410204"/>
                    </a:xfrm>
                    <a:prstGeom prst="rect">
                      <a:avLst/>
                    </a:prstGeom>
                  </pic:spPr>
                </pic:pic>
              </a:graphicData>
            </a:graphic>
          </wp:inline>
        </w:drawing>
      </w:r>
    </w:p>
    <w:p w14:paraId="56249B40" w14:textId="77777777" w:rsidR="00F14BB8" w:rsidRDefault="00A65DEB">
      <w:pPr>
        <w:keepNext/>
        <w:spacing w:after="180"/>
        <w:jc w:val="center"/>
        <w:rPr>
          <w:rFonts w:hint="eastAsia"/>
        </w:rPr>
      </w:pPr>
      <w:r>
        <w:rPr>
          <w:b/>
          <w:color w:val="4F81BD"/>
          <w:sz w:val="19"/>
        </w:rPr>
        <w:t xml:space="preserve">Figure 9. </w:t>
      </w:r>
      <w:r>
        <w:rPr>
          <w:color w:val="56626E"/>
          <w:sz w:val="19"/>
        </w:rPr>
        <w:t>Service status can summarize upward from exact schema coordinates while retaining a deterministic path back to the originating contract.</w:t>
      </w:r>
    </w:p>
    <w:p w14:paraId="5564C7E1" w14:textId="77777777" w:rsidR="00F14BB8" w:rsidRDefault="00A65DEB">
      <w:pPr>
        <w:pStyle w:val="Heading2"/>
        <w:spacing w:after="80"/>
      </w:pPr>
      <w:r>
        <w:rPr>
          <w:rFonts w:ascii="Carlito" w:hAnsi="Carlito"/>
        </w:rPr>
        <w:t>10.1 Rollup dimensions</w:t>
      </w:r>
    </w:p>
    <w:p w14:paraId="1654F695" w14:textId="77777777" w:rsidR="00F14BB8" w:rsidRDefault="00A65DEB">
      <w:pPr>
        <w:spacing w:after="140" w:line="259" w:lineRule="auto"/>
        <w:rPr>
          <w:rFonts w:hint="eastAsia"/>
        </w:rPr>
      </w:pPr>
      <w:r>
        <w:t>A rollup can expose at least two distinct views. The first is the operating state of the structure’s required contract: whether the Table, Stack, or Base can currently perform the governed functions expected of it. The second is the service inventory: counts and categories of Forbidden, Fix, Warning, Okay, and Ideal findings or objects inside that scope.</w:t>
      </w:r>
    </w:p>
    <w:p w14:paraId="54845E8F" w14:textId="77777777" w:rsidR="00F14BB8" w:rsidRDefault="00A65DEB">
      <w:pPr>
        <w:spacing w:after="140" w:line="259" w:lineRule="auto"/>
        <w:rPr>
          <w:rFonts w:hint="eastAsia"/>
        </w:rPr>
      </w:pPr>
      <w:r>
        <w:t>The whole Base should not automatically become Forbidden merely because one isolated experimental record contains a Forbidden finding. A useful Base-level view can instead report “Operating State: Okay” while separately showing “2 Forbidden findings, both isolated experimental.” Contract impact and inventory are related but not identical.</w:t>
      </w:r>
    </w:p>
    <w:p w14:paraId="752C8922" w14:textId="77777777" w:rsidR="00F14BB8" w:rsidRDefault="00A65DEB">
      <w:pPr>
        <w:pStyle w:val="Heading2"/>
        <w:spacing w:after="80"/>
      </w:pPr>
      <w:r>
        <w:rPr>
          <w:rFonts w:ascii="Carlito" w:hAnsi="Carlito"/>
        </w:rPr>
        <w:t>10.2 Exact drill-down</w:t>
      </w:r>
    </w:p>
    <w:p w14:paraId="4895E0DA" w14:textId="77777777" w:rsidR="00F14BB8" w:rsidRDefault="00A65DEB">
      <w:pPr>
        <w:spacing w:after="140" w:line="259" w:lineRule="auto"/>
        <w:rPr>
          <w:rFonts w:hint="eastAsia"/>
        </w:rPr>
      </w:pPr>
      <w:r>
        <w:t>Every rollup should be reducible back to exact evidence. A user who sees “BOSS Stack: Warning” should be able to descend to the affected Table, Record, Field, and coordinate such as A12 → G41. Summary must never destroy provenance of the underlying diagnostic result.</w:t>
      </w:r>
    </w:p>
    <w:p w14:paraId="38DFDCA5" w14:textId="77777777" w:rsidR="00F14BB8" w:rsidRDefault="00A65DEB">
      <w:pPr>
        <w:pStyle w:val="Heading1"/>
        <w:spacing w:before="260" w:after="120"/>
      </w:pPr>
      <w:r>
        <w:rPr>
          <w:rFonts w:ascii="Carlito" w:hAnsi="Carlito"/>
        </w:rPr>
        <w:t>11. Integrity State, Integrity Index, and Service Priority</w:t>
      </w:r>
    </w:p>
    <w:p w14:paraId="7F206A6C" w14:textId="77777777" w:rsidR="00F14BB8" w:rsidRDefault="00A65DEB">
      <w:pPr>
        <w:spacing w:after="140" w:line="259" w:lineRule="auto"/>
        <w:rPr>
          <w:rFonts w:hint="eastAsia"/>
        </w:rPr>
      </w:pPr>
      <w:r>
        <w:t>The five integrity states are intentionally categorical. Large Bases may additionally benefit from quantitative ranking, but several questions must remain separate: what kind of condition exists, how well the object satisfies its applicable contract overall, and how urgently the service work should be addressed.</w:t>
      </w:r>
    </w:p>
    <w:tbl>
      <w:tblPr>
        <w:tblStyle w:val="TableGrid"/>
        <w:tblW w:w="0" w:type="auto"/>
        <w:jc w:val="center"/>
        <w:tblLook w:val="04A0" w:firstRow="1" w:lastRow="0" w:firstColumn="1" w:lastColumn="0" w:noHBand="0" w:noVBand="1"/>
      </w:tblPr>
      <w:tblGrid>
        <w:gridCol w:w="2232"/>
        <w:gridCol w:w="4968"/>
        <w:gridCol w:w="2448"/>
      </w:tblGrid>
      <w:tr w:rsidR="00F14BB8" w14:paraId="277CBEB5" w14:textId="77777777">
        <w:trPr>
          <w:tblHeader/>
          <w:jc w:val="center"/>
        </w:trPr>
        <w:tc>
          <w:tcPr>
            <w:tcW w:w="2232" w:type="dxa"/>
            <w:shd w:val="clear" w:color="auto" w:fill="17365D"/>
            <w:tcMar>
              <w:top w:w="110" w:type="dxa"/>
              <w:left w:w="110" w:type="dxa"/>
              <w:bottom w:w="110" w:type="dxa"/>
              <w:right w:w="110" w:type="dxa"/>
            </w:tcMar>
            <w:vAlign w:val="center"/>
          </w:tcPr>
          <w:p w14:paraId="199FB230" w14:textId="77777777" w:rsidR="00F14BB8" w:rsidRDefault="00A65DEB">
            <w:pPr>
              <w:rPr>
                <w:rFonts w:hint="eastAsia"/>
              </w:rPr>
            </w:pPr>
            <w:r>
              <w:rPr>
                <w:b/>
                <w:color w:val="FFFFFF"/>
                <w:sz w:val="19"/>
              </w:rPr>
              <w:t>Dimension</w:t>
            </w:r>
          </w:p>
        </w:tc>
        <w:tc>
          <w:tcPr>
            <w:tcW w:w="4968" w:type="dxa"/>
            <w:shd w:val="clear" w:color="auto" w:fill="17365D"/>
            <w:tcMar>
              <w:top w:w="110" w:type="dxa"/>
              <w:left w:w="110" w:type="dxa"/>
              <w:bottom w:w="110" w:type="dxa"/>
              <w:right w:w="110" w:type="dxa"/>
            </w:tcMar>
            <w:vAlign w:val="center"/>
          </w:tcPr>
          <w:p w14:paraId="1E83A625" w14:textId="77777777" w:rsidR="00F14BB8" w:rsidRDefault="00A65DEB">
            <w:pPr>
              <w:rPr>
                <w:rFonts w:hint="eastAsia"/>
              </w:rPr>
            </w:pPr>
            <w:r>
              <w:rPr>
                <w:b/>
                <w:color w:val="FFFFFF"/>
                <w:sz w:val="19"/>
              </w:rPr>
              <w:t>Question</w:t>
            </w:r>
          </w:p>
        </w:tc>
        <w:tc>
          <w:tcPr>
            <w:tcW w:w="2448" w:type="dxa"/>
            <w:shd w:val="clear" w:color="auto" w:fill="17365D"/>
            <w:tcMar>
              <w:top w:w="110" w:type="dxa"/>
              <w:left w:w="110" w:type="dxa"/>
              <w:bottom w:w="110" w:type="dxa"/>
              <w:right w:w="110" w:type="dxa"/>
            </w:tcMar>
            <w:vAlign w:val="center"/>
          </w:tcPr>
          <w:p w14:paraId="3B899097" w14:textId="77777777" w:rsidR="00F14BB8" w:rsidRDefault="00A65DEB">
            <w:pPr>
              <w:rPr>
                <w:rFonts w:hint="eastAsia"/>
              </w:rPr>
            </w:pPr>
            <w:r>
              <w:rPr>
                <w:b/>
                <w:color w:val="FFFFFF"/>
                <w:sz w:val="19"/>
              </w:rPr>
              <w:t>Example output</w:t>
            </w:r>
          </w:p>
        </w:tc>
      </w:tr>
      <w:tr w:rsidR="00F14BB8" w14:paraId="4D7FACD9" w14:textId="77777777">
        <w:trPr>
          <w:jc w:val="center"/>
        </w:trPr>
        <w:tc>
          <w:tcPr>
            <w:tcW w:w="2232" w:type="dxa"/>
            <w:shd w:val="clear" w:color="auto" w:fill="FFFFFF"/>
            <w:tcMar>
              <w:top w:w="100" w:type="dxa"/>
              <w:left w:w="110" w:type="dxa"/>
              <w:bottom w:w="100" w:type="dxa"/>
              <w:right w:w="110" w:type="dxa"/>
            </w:tcMar>
            <w:vAlign w:val="center"/>
          </w:tcPr>
          <w:p w14:paraId="77ACF506" w14:textId="77777777" w:rsidR="00F14BB8" w:rsidRDefault="00A65DEB">
            <w:pPr>
              <w:rPr>
                <w:rFonts w:hint="eastAsia"/>
              </w:rPr>
            </w:pPr>
            <w:r>
              <w:rPr>
                <w:sz w:val="19"/>
              </w:rPr>
              <w:t>Integrity State</w:t>
            </w:r>
          </w:p>
        </w:tc>
        <w:tc>
          <w:tcPr>
            <w:tcW w:w="4968" w:type="dxa"/>
            <w:shd w:val="clear" w:color="auto" w:fill="FFFFFF"/>
            <w:tcMar>
              <w:top w:w="100" w:type="dxa"/>
              <w:left w:w="110" w:type="dxa"/>
              <w:bottom w:w="100" w:type="dxa"/>
              <w:right w:w="110" w:type="dxa"/>
            </w:tcMar>
            <w:vAlign w:val="center"/>
          </w:tcPr>
          <w:p w14:paraId="4140EE20" w14:textId="77777777" w:rsidR="00F14BB8" w:rsidRDefault="00A65DEB">
            <w:pPr>
              <w:rPr>
                <w:rFonts w:hint="eastAsia"/>
              </w:rPr>
            </w:pPr>
            <w:r>
              <w:rPr>
                <w:sz w:val="19"/>
              </w:rPr>
              <w:t>What is the strongest applicable structural consequence?</w:t>
            </w:r>
          </w:p>
        </w:tc>
        <w:tc>
          <w:tcPr>
            <w:tcW w:w="2448" w:type="dxa"/>
            <w:shd w:val="clear" w:color="auto" w:fill="FFFFFF"/>
            <w:tcMar>
              <w:top w:w="100" w:type="dxa"/>
              <w:left w:w="110" w:type="dxa"/>
              <w:bottom w:w="100" w:type="dxa"/>
              <w:right w:w="110" w:type="dxa"/>
            </w:tcMar>
            <w:vAlign w:val="center"/>
          </w:tcPr>
          <w:p w14:paraId="72FC20B5" w14:textId="77777777" w:rsidR="00F14BB8" w:rsidRDefault="00A65DEB">
            <w:pPr>
              <w:rPr>
                <w:rFonts w:hint="eastAsia"/>
              </w:rPr>
            </w:pPr>
            <w:r>
              <w:rPr>
                <w:sz w:val="19"/>
              </w:rPr>
              <w:t>Fix</w:t>
            </w:r>
          </w:p>
        </w:tc>
      </w:tr>
      <w:tr w:rsidR="00F14BB8" w14:paraId="22C511A0" w14:textId="77777777">
        <w:trPr>
          <w:jc w:val="center"/>
        </w:trPr>
        <w:tc>
          <w:tcPr>
            <w:tcW w:w="2232" w:type="dxa"/>
            <w:shd w:val="clear" w:color="auto" w:fill="F7F9FB"/>
            <w:tcMar>
              <w:top w:w="100" w:type="dxa"/>
              <w:left w:w="110" w:type="dxa"/>
              <w:bottom w:w="100" w:type="dxa"/>
              <w:right w:w="110" w:type="dxa"/>
            </w:tcMar>
            <w:vAlign w:val="center"/>
          </w:tcPr>
          <w:p w14:paraId="3616ECA8" w14:textId="77777777" w:rsidR="00F14BB8" w:rsidRDefault="00A65DEB">
            <w:pPr>
              <w:rPr>
                <w:rFonts w:hint="eastAsia"/>
              </w:rPr>
            </w:pPr>
            <w:r>
              <w:rPr>
                <w:sz w:val="19"/>
              </w:rPr>
              <w:t>Integrity Index</w:t>
            </w:r>
          </w:p>
        </w:tc>
        <w:tc>
          <w:tcPr>
            <w:tcW w:w="4968" w:type="dxa"/>
            <w:shd w:val="clear" w:color="auto" w:fill="F7F9FB"/>
            <w:tcMar>
              <w:top w:w="100" w:type="dxa"/>
              <w:left w:w="110" w:type="dxa"/>
              <w:bottom w:w="100" w:type="dxa"/>
              <w:right w:w="110" w:type="dxa"/>
            </w:tcMar>
            <w:vAlign w:val="center"/>
          </w:tcPr>
          <w:p w14:paraId="2881AB1F" w14:textId="77777777" w:rsidR="00F14BB8" w:rsidRDefault="00A65DEB">
            <w:pPr>
              <w:rPr>
                <w:rFonts w:hint="eastAsia"/>
              </w:rPr>
            </w:pPr>
            <w:r>
              <w:rPr>
                <w:sz w:val="19"/>
              </w:rPr>
              <w:t>How completely does the object satisfy its applicable contracts?</w:t>
            </w:r>
          </w:p>
        </w:tc>
        <w:tc>
          <w:tcPr>
            <w:tcW w:w="2448" w:type="dxa"/>
            <w:shd w:val="clear" w:color="auto" w:fill="F7F9FB"/>
            <w:tcMar>
              <w:top w:w="100" w:type="dxa"/>
              <w:left w:w="110" w:type="dxa"/>
              <w:bottom w:w="100" w:type="dxa"/>
              <w:right w:w="110" w:type="dxa"/>
            </w:tcMar>
            <w:vAlign w:val="center"/>
          </w:tcPr>
          <w:p w14:paraId="118E7FAF" w14:textId="77777777" w:rsidR="00F14BB8" w:rsidRDefault="00A65DEB">
            <w:pPr>
              <w:rPr>
                <w:rFonts w:hint="eastAsia"/>
              </w:rPr>
            </w:pPr>
            <w:r>
              <w:rPr>
                <w:sz w:val="19"/>
              </w:rPr>
              <w:t>94% or another normalized score</w:t>
            </w:r>
          </w:p>
        </w:tc>
      </w:tr>
      <w:tr w:rsidR="00F14BB8" w14:paraId="17FD4F10" w14:textId="77777777">
        <w:trPr>
          <w:jc w:val="center"/>
        </w:trPr>
        <w:tc>
          <w:tcPr>
            <w:tcW w:w="2232" w:type="dxa"/>
            <w:shd w:val="clear" w:color="auto" w:fill="FFFFFF"/>
            <w:tcMar>
              <w:top w:w="100" w:type="dxa"/>
              <w:left w:w="110" w:type="dxa"/>
              <w:bottom w:w="100" w:type="dxa"/>
              <w:right w:w="110" w:type="dxa"/>
            </w:tcMar>
            <w:vAlign w:val="center"/>
          </w:tcPr>
          <w:p w14:paraId="7D41F1AD" w14:textId="77777777" w:rsidR="00F14BB8" w:rsidRDefault="00A65DEB">
            <w:pPr>
              <w:rPr>
                <w:rFonts w:hint="eastAsia"/>
              </w:rPr>
            </w:pPr>
            <w:r>
              <w:rPr>
                <w:sz w:val="19"/>
              </w:rPr>
              <w:t>Service Priority</w:t>
            </w:r>
          </w:p>
        </w:tc>
        <w:tc>
          <w:tcPr>
            <w:tcW w:w="4968" w:type="dxa"/>
            <w:shd w:val="clear" w:color="auto" w:fill="FFFFFF"/>
            <w:tcMar>
              <w:top w:w="100" w:type="dxa"/>
              <w:left w:w="110" w:type="dxa"/>
              <w:bottom w:w="100" w:type="dxa"/>
              <w:right w:w="110" w:type="dxa"/>
            </w:tcMar>
            <w:vAlign w:val="center"/>
          </w:tcPr>
          <w:p w14:paraId="65E16FC8" w14:textId="77777777" w:rsidR="00F14BB8" w:rsidRDefault="00A65DEB">
            <w:pPr>
              <w:rPr>
                <w:rFonts w:hint="eastAsia"/>
              </w:rPr>
            </w:pPr>
            <w:r>
              <w:rPr>
                <w:sz w:val="19"/>
              </w:rPr>
              <w:t>How soon should the service work be handled?</w:t>
            </w:r>
          </w:p>
        </w:tc>
        <w:tc>
          <w:tcPr>
            <w:tcW w:w="2448" w:type="dxa"/>
            <w:shd w:val="clear" w:color="auto" w:fill="FFFFFF"/>
            <w:tcMar>
              <w:top w:w="100" w:type="dxa"/>
              <w:left w:w="110" w:type="dxa"/>
              <w:bottom w:w="100" w:type="dxa"/>
              <w:right w:w="110" w:type="dxa"/>
            </w:tcMar>
            <w:vAlign w:val="center"/>
          </w:tcPr>
          <w:p w14:paraId="148A481D" w14:textId="77777777" w:rsidR="00F14BB8" w:rsidRDefault="00A65DEB">
            <w:pPr>
              <w:rPr>
                <w:rFonts w:hint="eastAsia"/>
              </w:rPr>
            </w:pPr>
            <w:r>
              <w:rPr>
                <w:sz w:val="19"/>
              </w:rPr>
              <w:t>Critical / High / Medium / Low, or another governed priority scale</w:t>
            </w:r>
          </w:p>
        </w:tc>
      </w:tr>
    </w:tbl>
    <w:p w14:paraId="6BCEDA13" w14:textId="77777777" w:rsidR="00F14BB8" w:rsidRDefault="00F14BB8">
      <w:pPr>
        <w:spacing w:after="20"/>
        <w:rPr>
          <w:rFonts w:hint="eastAsia"/>
        </w:rPr>
      </w:pPr>
    </w:p>
    <w:p w14:paraId="7990ECC1" w14:textId="77777777" w:rsidR="00F14BB8" w:rsidRDefault="00A65DEB">
      <w:pPr>
        <w:spacing w:before="160" w:after="80"/>
        <w:jc w:val="center"/>
        <w:rPr>
          <w:rFonts w:hint="eastAsia"/>
        </w:rPr>
      </w:pPr>
      <w:r>
        <w:rPr>
          <w:noProof/>
        </w:rPr>
        <w:drawing>
          <wp:inline distT="0" distB="0" distL="0" distR="0" wp14:anchorId="54211985" wp14:editId="14DCE2C7">
            <wp:extent cx="6263640" cy="341020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state_priority.png"/>
                    <pic:cNvPicPr/>
                  </pic:nvPicPr>
                  <pic:blipFill>
                    <a:blip r:embed="rId17"/>
                    <a:stretch>
                      <a:fillRect/>
                    </a:stretch>
                  </pic:blipFill>
                  <pic:spPr>
                    <a:xfrm>
                      <a:off x="0" y="0"/>
                      <a:ext cx="6263640" cy="3410204"/>
                    </a:xfrm>
                    <a:prstGeom prst="rect">
                      <a:avLst/>
                    </a:prstGeom>
                  </pic:spPr>
                </pic:pic>
              </a:graphicData>
            </a:graphic>
          </wp:inline>
        </w:drawing>
      </w:r>
    </w:p>
    <w:p w14:paraId="47D7B0DB" w14:textId="77777777" w:rsidR="00F14BB8" w:rsidRDefault="00A65DEB">
      <w:pPr>
        <w:keepNext/>
        <w:spacing w:after="180"/>
        <w:jc w:val="center"/>
        <w:rPr>
          <w:rFonts w:hint="eastAsia"/>
        </w:rPr>
      </w:pPr>
      <w:r>
        <w:rPr>
          <w:b/>
          <w:color w:val="4F81BD"/>
          <w:sz w:val="19"/>
        </w:rPr>
        <w:t xml:space="preserve">Figure 10. </w:t>
      </w:r>
      <w:r>
        <w:rPr>
          <w:color w:val="56626E"/>
          <w:sz w:val="19"/>
        </w:rPr>
        <w:t>Service priority may be high even when a local integrity defect is small, because dependency reach and operational use can dominate urgency.</w:t>
      </w:r>
    </w:p>
    <w:p w14:paraId="38A8AE6E" w14:textId="77777777" w:rsidR="00F14BB8" w:rsidRDefault="00A65DEB">
      <w:pPr>
        <w:pStyle w:val="Heading2"/>
        <w:spacing w:after="80"/>
      </w:pPr>
      <w:r>
        <w:rPr>
          <w:rFonts w:ascii="Carlito" w:hAnsi="Carlito"/>
        </w:rPr>
        <w:t>11.1 Integrity Index</w:t>
      </w:r>
    </w:p>
    <w:p w14:paraId="3A3888E1" w14:textId="77777777" w:rsidR="00F14BB8" w:rsidRDefault="00A65DEB">
      <w:pPr>
        <w:spacing w:after="140" w:line="259" w:lineRule="auto"/>
        <w:rPr>
          <w:rFonts w:hint="eastAsia"/>
        </w:rPr>
      </w:pPr>
      <w:r>
        <w:t>If an Integrity Index is implemented, it should measure satisfaction of applicable Diagnostic Contracts rather than percentage of populated fields. Contract weighting may eventually distinguish critical structural obligations from minor preferred conditions, but the exact scoring formula should remain an implementation choice until sufficient real diagnostic data exists to validate it.</w:t>
      </w:r>
    </w:p>
    <w:p w14:paraId="25E7EE31" w14:textId="77777777" w:rsidR="00F14BB8" w:rsidRDefault="00A65DEB">
      <w:pPr>
        <w:pStyle w:val="Heading2"/>
        <w:spacing w:after="80"/>
      </w:pPr>
      <w:r>
        <w:rPr>
          <w:rFonts w:ascii="Carlito" w:hAnsi="Carlito"/>
        </w:rPr>
        <w:t>11.2 Priority by graph impact</w:t>
      </w:r>
    </w:p>
    <w:p w14:paraId="4DA98818" w14:textId="77777777" w:rsidR="00F14BB8" w:rsidRDefault="00A65DEB">
      <w:pPr>
        <w:spacing w:after="140" w:line="259" w:lineRule="auto"/>
        <w:rPr>
          <w:rFonts w:hint="eastAsia"/>
        </w:rPr>
      </w:pPr>
      <w:r>
        <w:t>Service Priority can incorporate factors such as integrity state, dependency reach, active usage, operational criticality, whether the issue blocks other repairs, and confidence that a repair is known. A single Fix affecting a central Formula used by thousands of structures may rationally outrank many low-impact Warnings.</w:t>
      </w:r>
    </w:p>
    <w:p w14:paraId="7BD6E6B1" w14:textId="77777777" w:rsidR="00F14BB8" w:rsidRDefault="00A65DEB">
      <w:pPr>
        <w:pStyle w:val="Heading1"/>
        <w:spacing w:before="260" w:after="120"/>
      </w:pPr>
      <w:r>
        <w:rPr>
          <w:rFonts w:ascii="Carlito" w:hAnsi="Carlito"/>
        </w:rPr>
        <w:t>12. Automatic Service Cycle and Service Findings</w:t>
      </w:r>
    </w:p>
    <w:p w14:paraId="7E5D1CAB" w14:textId="77777777" w:rsidR="00F14BB8" w:rsidRDefault="00A65DEB">
      <w:pPr>
        <w:spacing w:after="140" w:line="259" w:lineRule="auto"/>
        <w:rPr>
          <w:rFonts w:hint="eastAsia"/>
        </w:rPr>
      </w:pPr>
      <w:r>
        <w:t>Once contracts are machine-readable, a Base can be tagged for service automatically. The diagnostic engine periodically or conditionally inspects applicable structures, produces findings, classifies them, ranks service work, and returns after repair to verify that the Base now conforms.</w:t>
      </w:r>
    </w:p>
    <w:p w14:paraId="5521BC70" w14:textId="77777777" w:rsidR="00F14BB8" w:rsidRDefault="00A65DEB">
      <w:pPr>
        <w:spacing w:before="160" w:after="80"/>
        <w:jc w:val="center"/>
        <w:rPr>
          <w:rFonts w:hint="eastAsia"/>
        </w:rPr>
      </w:pPr>
      <w:r>
        <w:rPr>
          <w:noProof/>
        </w:rPr>
        <w:drawing>
          <wp:inline distT="0" distB="0" distL="0" distR="0" wp14:anchorId="78F4AF80" wp14:editId="5DFDBF14">
            <wp:extent cx="6263640" cy="341020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service_cycle.png"/>
                    <pic:cNvPicPr/>
                  </pic:nvPicPr>
                  <pic:blipFill>
                    <a:blip r:embed="rId18"/>
                    <a:stretch>
                      <a:fillRect/>
                    </a:stretch>
                  </pic:blipFill>
                  <pic:spPr>
                    <a:xfrm>
                      <a:off x="0" y="0"/>
                      <a:ext cx="6263640" cy="3410204"/>
                    </a:xfrm>
                    <a:prstGeom prst="rect">
                      <a:avLst/>
                    </a:prstGeom>
                  </pic:spPr>
                </pic:pic>
              </a:graphicData>
            </a:graphic>
          </wp:inline>
        </w:drawing>
      </w:r>
    </w:p>
    <w:p w14:paraId="0A46F952" w14:textId="77777777" w:rsidR="00F14BB8" w:rsidRDefault="00A65DEB">
      <w:pPr>
        <w:keepNext/>
        <w:spacing w:after="180"/>
        <w:jc w:val="center"/>
        <w:rPr>
          <w:rFonts w:hint="eastAsia"/>
        </w:rPr>
      </w:pPr>
      <w:r>
        <w:rPr>
          <w:b/>
          <w:color w:val="4F81BD"/>
          <w:sz w:val="19"/>
        </w:rPr>
        <w:t xml:space="preserve">Figure 11. </w:t>
      </w:r>
      <w:r>
        <w:rPr>
          <w:color w:val="56626E"/>
          <w:sz w:val="19"/>
        </w:rPr>
        <w:t>The service cycle is continuous: inspect, find, classify, prioritize, repair, and reinspect canonical state.</w:t>
      </w:r>
    </w:p>
    <w:p w14:paraId="5FD77017" w14:textId="77777777" w:rsidR="00F14BB8" w:rsidRDefault="00A65DEB">
      <w:pPr>
        <w:pStyle w:val="Heading2"/>
        <w:spacing w:after="80"/>
      </w:pPr>
      <w:r>
        <w:rPr>
          <w:rFonts w:ascii="Carlito" w:hAnsi="Carlito"/>
        </w:rPr>
        <w:t>12.1 Derived service items</w:t>
      </w:r>
    </w:p>
    <w:p w14:paraId="66F41020" w14:textId="77777777" w:rsidR="00F14BB8" w:rsidRDefault="00A65DEB">
      <w:pPr>
        <w:spacing w:after="140" w:line="259" w:lineRule="auto"/>
        <w:rPr>
          <w:rFonts w:hint="eastAsia"/>
        </w:rPr>
      </w:pPr>
      <w:r>
        <w:t>A service item is a work representation derived from a finding. It can contain the object identity, exact schema coordinate, expected condition, observed condition, integrity state, downstream impact, and repair guidance. The maintenance record does not become the authoritative truth about whether the problem still exists.</w:t>
      </w:r>
    </w:p>
    <w:tbl>
      <w:tblPr>
        <w:tblStyle w:val="TableGrid"/>
        <w:tblW w:w="0" w:type="auto"/>
        <w:jc w:val="center"/>
        <w:tblLook w:val="04A0" w:firstRow="1" w:lastRow="0" w:firstColumn="1" w:lastColumn="0" w:noHBand="0" w:noVBand="1"/>
      </w:tblPr>
      <w:tblGrid>
        <w:gridCol w:w="2376"/>
        <w:gridCol w:w="7272"/>
      </w:tblGrid>
      <w:tr w:rsidR="00F14BB8" w14:paraId="18798E84" w14:textId="77777777">
        <w:trPr>
          <w:tblHeader/>
          <w:jc w:val="center"/>
        </w:trPr>
        <w:tc>
          <w:tcPr>
            <w:tcW w:w="2376" w:type="dxa"/>
            <w:shd w:val="clear" w:color="auto" w:fill="17365D"/>
            <w:tcMar>
              <w:top w:w="110" w:type="dxa"/>
              <w:left w:w="110" w:type="dxa"/>
              <w:bottom w:w="110" w:type="dxa"/>
              <w:right w:w="110" w:type="dxa"/>
            </w:tcMar>
            <w:vAlign w:val="center"/>
          </w:tcPr>
          <w:p w14:paraId="3C1B7970" w14:textId="77777777" w:rsidR="00F14BB8" w:rsidRDefault="00A65DEB">
            <w:pPr>
              <w:rPr>
                <w:rFonts w:hint="eastAsia"/>
              </w:rPr>
            </w:pPr>
            <w:r>
              <w:rPr>
                <w:b/>
                <w:color w:val="FFFFFF"/>
                <w:sz w:val="19"/>
              </w:rPr>
              <w:t>Service field</w:t>
            </w:r>
          </w:p>
        </w:tc>
        <w:tc>
          <w:tcPr>
            <w:tcW w:w="7272" w:type="dxa"/>
            <w:shd w:val="clear" w:color="auto" w:fill="17365D"/>
            <w:tcMar>
              <w:top w:w="110" w:type="dxa"/>
              <w:left w:w="110" w:type="dxa"/>
              <w:bottom w:w="110" w:type="dxa"/>
              <w:right w:w="110" w:type="dxa"/>
            </w:tcMar>
            <w:vAlign w:val="center"/>
          </w:tcPr>
          <w:p w14:paraId="050E810D" w14:textId="77777777" w:rsidR="00F14BB8" w:rsidRDefault="00A65DEB">
            <w:pPr>
              <w:rPr>
                <w:rFonts w:hint="eastAsia"/>
              </w:rPr>
            </w:pPr>
            <w:r>
              <w:rPr>
                <w:b/>
                <w:color w:val="FFFFFF"/>
                <w:sz w:val="19"/>
              </w:rPr>
              <w:t>Example</w:t>
            </w:r>
          </w:p>
        </w:tc>
      </w:tr>
      <w:tr w:rsidR="00F14BB8" w14:paraId="3818F237" w14:textId="77777777">
        <w:trPr>
          <w:jc w:val="center"/>
        </w:trPr>
        <w:tc>
          <w:tcPr>
            <w:tcW w:w="2376" w:type="dxa"/>
            <w:shd w:val="clear" w:color="auto" w:fill="FFFFFF"/>
            <w:tcMar>
              <w:top w:w="100" w:type="dxa"/>
              <w:left w:w="110" w:type="dxa"/>
              <w:bottom w:w="100" w:type="dxa"/>
              <w:right w:w="110" w:type="dxa"/>
            </w:tcMar>
            <w:vAlign w:val="center"/>
          </w:tcPr>
          <w:p w14:paraId="0A5D19AD" w14:textId="77777777" w:rsidR="00F14BB8" w:rsidRDefault="00A65DEB">
            <w:pPr>
              <w:rPr>
                <w:rFonts w:hint="eastAsia"/>
              </w:rPr>
            </w:pPr>
            <w:r>
              <w:rPr>
                <w:sz w:val="18"/>
              </w:rPr>
              <w:t>Finding</w:t>
            </w:r>
          </w:p>
        </w:tc>
        <w:tc>
          <w:tcPr>
            <w:tcW w:w="7272" w:type="dxa"/>
            <w:shd w:val="clear" w:color="auto" w:fill="FFFFFF"/>
            <w:tcMar>
              <w:top w:w="100" w:type="dxa"/>
              <w:left w:w="110" w:type="dxa"/>
              <w:bottom w:w="100" w:type="dxa"/>
              <w:right w:w="110" w:type="dxa"/>
            </w:tcMar>
            <w:vAlign w:val="center"/>
          </w:tcPr>
          <w:p w14:paraId="30AEAC68" w14:textId="77777777" w:rsidR="00F14BB8" w:rsidRDefault="00A65DEB">
            <w:pPr>
              <w:rPr>
                <w:rFonts w:hint="eastAsia"/>
              </w:rPr>
            </w:pPr>
            <w:r>
              <w:rPr>
                <w:sz w:val="18"/>
              </w:rPr>
              <w:t>SRV-000481</w:t>
            </w:r>
          </w:p>
        </w:tc>
      </w:tr>
      <w:tr w:rsidR="00F14BB8" w14:paraId="31069F8D" w14:textId="77777777">
        <w:trPr>
          <w:jc w:val="center"/>
        </w:trPr>
        <w:tc>
          <w:tcPr>
            <w:tcW w:w="2376" w:type="dxa"/>
            <w:shd w:val="clear" w:color="auto" w:fill="F7F9FB"/>
            <w:tcMar>
              <w:top w:w="100" w:type="dxa"/>
              <w:left w:w="110" w:type="dxa"/>
              <w:bottom w:w="100" w:type="dxa"/>
              <w:right w:w="110" w:type="dxa"/>
            </w:tcMar>
            <w:vAlign w:val="center"/>
          </w:tcPr>
          <w:p w14:paraId="3010F90E" w14:textId="77777777" w:rsidR="00F14BB8" w:rsidRDefault="00A65DEB">
            <w:pPr>
              <w:rPr>
                <w:rFonts w:hint="eastAsia"/>
              </w:rPr>
            </w:pPr>
            <w:r>
              <w:rPr>
                <w:sz w:val="18"/>
              </w:rPr>
              <w:t>Object</w:t>
            </w:r>
          </w:p>
        </w:tc>
        <w:tc>
          <w:tcPr>
            <w:tcW w:w="7272" w:type="dxa"/>
            <w:shd w:val="clear" w:color="auto" w:fill="F7F9FB"/>
            <w:tcMar>
              <w:top w:w="100" w:type="dxa"/>
              <w:left w:w="110" w:type="dxa"/>
              <w:bottom w:w="100" w:type="dxa"/>
              <w:right w:w="110" w:type="dxa"/>
            </w:tcMar>
            <w:vAlign w:val="center"/>
          </w:tcPr>
          <w:p w14:paraId="162F5618" w14:textId="77777777" w:rsidR="00F14BB8" w:rsidRDefault="00A65DEB">
            <w:pPr>
              <w:rPr>
                <w:rFonts w:hint="eastAsia"/>
              </w:rPr>
            </w:pPr>
            <w:r>
              <w:rPr>
                <w:sz w:val="18"/>
              </w:rPr>
              <w:t>SCALAR-6</w:t>
            </w:r>
          </w:p>
        </w:tc>
      </w:tr>
      <w:tr w:rsidR="00F14BB8" w14:paraId="5270485D" w14:textId="77777777">
        <w:trPr>
          <w:jc w:val="center"/>
        </w:trPr>
        <w:tc>
          <w:tcPr>
            <w:tcW w:w="2376" w:type="dxa"/>
            <w:shd w:val="clear" w:color="auto" w:fill="FFFFFF"/>
            <w:tcMar>
              <w:top w:w="100" w:type="dxa"/>
              <w:left w:w="110" w:type="dxa"/>
              <w:bottom w:w="100" w:type="dxa"/>
              <w:right w:w="110" w:type="dxa"/>
            </w:tcMar>
            <w:vAlign w:val="center"/>
          </w:tcPr>
          <w:p w14:paraId="6623ACFA" w14:textId="77777777" w:rsidR="00F14BB8" w:rsidRDefault="00A65DEB">
            <w:pPr>
              <w:rPr>
                <w:rFonts w:hint="eastAsia"/>
              </w:rPr>
            </w:pPr>
            <w:r>
              <w:rPr>
                <w:sz w:val="18"/>
              </w:rPr>
              <w:t>Coordinate</w:t>
            </w:r>
          </w:p>
        </w:tc>
        <w:tc>
          <w:tcPr>
            <w:tcW w:w="7272" w:type="dxa"/>
            <w:shd w:val="clear" w:color="auto" w:fill="FFFFFF"/>
            <w:tcMar>
              <w:top w:w="100" w:type="dxa"/>
              <w:left w:w="110" w:type="dxa"/>
              <w:bottom w:w="100" w:type="dxa"/>
              <w:right w:w="110" w:type="dxa"/>
            </w:tcMar>
            <w:vAlign w:val="center"/>
          </w:tcPr>
          <w:p w14:paraId="01AFDAFA" w14:textId="77777777" w:rsidR="00F14BB8" w:rsidRDefault="00A65DEB">
            <w:pPr>
              <w:rPr>
                <w:rFonts w:hint="eastAsia"/>
              </w:rPr>
            </w:pPr>
            <w:r>
              <w:rPr>
                <w:sz w:val="18"/>
              </w:rPr>
              <w:t>B12 → C1</w:t>
            </w:r>
          </w:p>
        </w:tc>
      </w:tr>
      <w:tr w:rsidR="00F14BB8" w14:paraId="73458B71" w14:textId="77777777">
        <w:trPr>
          <w:jc w:val="center"/>
        </w:trPr>
        <w:tc>
          <w:tcPr>
            <w:tcW w:w="2376" w:type="dxa"/>
            <w:shd w:val="clear" w:color="auto" w:fill="F7F9FB"/>
            <w:tcMar>
              <w:top w:w="100" w:type="dxa"/>
              <w:left w:w="110" w:type="dxa"/>
              <w:bottom w:w="100" w:type="dxa"/>
              <w:right w:w="110" w:type="dxa"/>
            </w:tcMar>
            <w:vAlign w:val="center"/>
          </w:tcPr>
          <w:p w14:paraId="389503AF" w14:textId="77777777" w:rsidR="00F14BB8" w:rsidRDefault="00A65DEB">
            <w:pPr>
              <w:rPr>
                <w:rFonts w:hint="eastAsia"/>
              </w:rPr>
            </w:pPr>
            <w:r>
              <w:rPr>
                <w:sz w:val="18"/>
              </w:rPr>
              <w:t>Integrity State</w:t>
            </w:r>
          </w:p>
        </w:tc>
        <w:tc>
          <w:tcPr>
            <w:tcW w:w="7272" w:type="dxa"/>
            <w:shd w:val="clear" w:color="auto" w:fill="F7F9FB"/>
            <w:tcMar>
              <w:top w:w="100" w:type="dxa"/>
              <w:left w:w="110" w:type="dxa"/>
              <w:bottom w:w="100" w:type="dxa"/>
              <w:right w:w="110" w:type="dxa"/>
            </w:tcMar>
            <w:vAlign w:val="center"/>
          </w:tcPr>
          <w:p w14:paraId="47BB30A2" w14:textId="77777777" w:rsidR="00F14BB8" w:rsidRDefault="00A65DEB">
            <w:pPr>
              <w:rPr>
                <w:rFonts w:hint="eastAsia"/>
              </w:rPr>
            </w:pPr>
            <w:r>
              <w:rPr>
                <w:sz w:val="18"/>
              </w:rPr>
              <w:t>Fix</w:t>
            </w:r>
          </w:p>
        </w:tc>
      </w:tr>
      <w:tr w:rsidR="00F14BB8" w14:paraId="169868DE" w14:textId="77777777">
        <w:trPr>
          <w:jc w:val="center"/>
        </w:trPr>
        <w:tc>
          <w:tcPr>
            <w:tcW w:w="2376" w:type="dxa"/>
            <w:shd w:val="clear" w:color="auto" w:fill="FFFFFF"/>
            <w:tcMar>
              <w:top w:w="100" w:type="dxa"/>
              <w:left w:w="110" w:type="dxa"/>
              <w:bottom w:w="100" w:type="dxa"/>
              <w:right w:w="110" w:type="dxa"/>
            </w:tcMar>
            <w:vAlign w:val="center"/>
          </w:tcPr>
          <w:p w14:paraId="4E037106" w14:textId="77777777" w:rsidR="00F14BB8" w:rsidRDefault="00A65DEB">
            <w:pPr>
              <w:rPr>
                <w:rFonts w:hint="eastAsia"/>
              </w:rPr>
            </w:pPr>
            <w:r>
              <w:rPr>
                <w:sz w:val="18"/>
              </w:rPr>
              <w:t>Observed</w:t>
            </w:r>
          </w:p>
        </w:tc>
        <w:tc>
          <w:tcPr>
            <w:tcW w:w="7272" w:type="dxa"/>
            <w:shd w:val="clear" w:color="auto" w:fill="FFFFFF"/>
            <w:tcMar>
              <w:top w:w="100" w:type="dxa"/>
              <w:left w:w="110" w:type="dxa"/>
              <w:bottom w:w="100" w:type="dxa"/>
              <w:right w:w="110" w:type="dxa"/>
            </w:tcMar>
            <w:vAlign w:val="center"/>
          </w:tcPr>
          <w:p w14:paraId="7513E07F" w14:textId="77777777" w:rsidR="00F14BB8" w:rsidRDefault="00A65DEB">
            <w:pPr>
              <w:rPr>
                <w:rFonts w:hint="eastAsia"/>
              </w:rPr>
            </w:pPr>
            <w:r>
              <w:rPr>
                <w:sz w:val="18"/>
              </w:rPr>
              <w:t>0 Formula links</w:t>
            </w:r>
          </w:p>
        </w:tc>
      </w:tr>
      <w:tr w:rsidR="00F14BB8" w14:paraId="03766EB9" w14:textId="77777777">
        <w:trPr>
          <w:jc w:val="center"/>
        </w:trPr>
        <w:tc>
          <w:tcPr>
            <w:tcW w:w="2376" w:type="dxa"/>
            <w:shd w:val="clear" w:color="auto" w:fill="F7F9FB"/>
            <w:tcMar>
              <w:top w:w="100" w:type="dxa"/>
              <w:left w:w="110" w:type="dxa"/>
              <w:bottom w:w="100" w:type="dxa"/>
              <w:right w:w="110" w:type="dxa"/>
            </w:tcMar>
            <w:vAlign w:val="center"/>
          </w:tcPr>
          <w:p w14:paraId="6FFBC25F" w14:textId="77777777" w:rsidR="00F14BB8" w:rsidRDefault="00A65DEB">
            <w:pPr>
              <w:rPr>
                <w:rFonts w:hint="eastAsia"/>
              </w:rPr>
            </w:pPr>
            <w:r>
              <w:rPr>
                <w:sz w:val="18"/>
              </w:rPr>
              <w:t>Expected</w:t>
            </w:r>
          </w:p>
        </w:tc>
        <w:tc>
          <w:tcPr>
            <w:tcW w:w="7272" w:type="dxa"/>
            <w:shd w:val="clear" w:color="auto" w:fill="F7F9FB"/>
            <w:tcMar>
              <w:top w:w="100" w:type="dxa"/>
              <w:left w:w="110" w:type="dxa"/>
              <w:bottom w:w="100" w:type="dxa"/>
              <w:right w:w="110" w:type="dxa"/>
            </w:tcMar>
            <w:vAlign w:val="center"/>
          </w:tcPr>
          <w:p w14:paraId="285C996B" w14:textId="77777777" w:rsidR="00F14BB8" w:rsidRDefault="00A65DEB">
            <w:pPr>
              <w:rPr>
                <w:rFonts w:hint="eastAsia"/>
              </w:rPr>
            </w:pPr>
            <w:r>
              <w:rPr>
                <w:sz w:val="18"/>
              </w:rPr>
              <w:t>Exactly 1 valid Formula target</w:t>
            </w:r>
          </w:p>
        </w:tc>
      </w:tr>
      <w:tr w:rsidR="00F14BB8" w14:paraId="1C4029E6" w14:textId="77777777">
        <w:trPr>
          <w:jc w:val="center"/>
        </w:trPr>
        <w:tc>
          <w:tcPr>
            <w:tcW w:w="2376" w:type="dxa"/>
            <w:shd w:val="clear" w:color="auto" w:fill="FFFFFF"/>
            <w:tcMar>
              <w:top w:w="100" w:type="dxa"/>
              <w:left w:w="110" w:type="dxa"/>
              <w:bottom w:w="100" w:type="dxa"/>
              <w:right w:w="110" w:type="dxa"/>
            </w:tcMar>
            <w:vAlign w:val="center"/>
          </w:tcPr>
          <w:p w14:paraId="7182624E" w14:textId="77777777" w:rsidR="00F14BB8" w:rsidRDefault="00A65DEB">
            <w:pPr>
              <w:rPr>
                <w:rFonts w:hint="eastAsia"/>
              </w:rPr>
            </w:pPr>
            <w:r>
              <w:rPr>
                <w:sz w:val="18"/>
              </w:rPr>
              <w:t>Dependency Impact</w:t>
            </w:r>
          </w:p>
        </w:tc>
        <w:tc>
          <w:tcPr>
            <w:tcW w:w="7272" w:type="dxa"/>
            <w:shd w:val="clear" w:color="auto" w:fill="FFFFFF"/>
            <w:tcMar>
              <w:top w:w="100" w:type="dxa"/>
              <w:left w:w="110" w:type="dxa"/>
              <w:bottom w:w="100" w:type="dxa"/>
              <w:right w:w="110" w:type="dxa"/>
            </w:tcMar>
            <w:vAlign w:val="center"/>
          </w:tcPr>
          <w:p w14:paraId="320245E5" w14:textId="77777777" w:rsidR="00F14BB8" w:rsidRDefault="00A65DEB">
            <w:pPr>
              <w:rPr>
                <w:rFonts w:hint="eastAsia"/>
              </w:rPr>
            </w:pPr>
            <w:r>
              <w:rPr>
                <w:sz w:val="18"/>
              </w:rPr>
              <w:t>83 downstream structures</w:t>
            </w:r>
          </w:p>
        </w:tc>
      </w:tr>
      <w:tr w:rsidR="00F14BB8" w14:paraId="4EC8D6B0" w14:textId="77777777">
        <w:trPr>
          <w:jc w:val="center"/>
        </w:trPr>
        <w:tc>
          <w:tcPr>
            <w:tcW w:w="2376" w:type="dxa"/>
            <w:shd w:val="clear" w:color="auto" w:fill="F7F9FB"/>
            <w:tcMar>
              <w:top w:w="100" w:type="dxa"/>
              <w:left w:w="110" w:type="dxa"/>
              <w:bottom w:w="100" w:type="dxa"/>
              <w:right w:w="110" w:type="dxa"/>
            </w:tcMar>
            <w:vAlign w:val="center"/>
          </w:tcPr>
          <w:p w14:paraId="64942FDF" w14:textId="77777777" w:rsidR="00F14BB8" w:rsidRDefault="00A65DEB">
            <w:pPr>
              <w:rPr>
                <w:rFonts w:hint="eastAsia"/>
              </w:rPr>
            </w:pPr>
            <w:r>
              <w:rPr>
                <w:sz w:val="18"/>
              </w:rPr>
              <w:t>Repair Guidance</w:t>
            </w:r>
          </w:p>
        </w:tc>
        <w:tc>
          <w:tcPr>
            <w:tcW w:w="7272" w:type="dxa"/>
            <w:shd w:val="clear" w:color="auto" w:fill="F7F9FB"/>
            <w:tcMar>
              <w:top w:w="100" w:type="dxa"/>
              <w:left w:w="110" w:type="dxa"/>
              <w:bottom w:w="100" w:type="dxa"/>
              <w:right w:w="110" w:type="dxa"/>
            </w:tcMar>
            <w:vAlign w:val="center"/>
          </w:tcPr>
          <w:p w14:paraId="23FD7D9E" w14:textId="77777777" w:rsidR="00F14BB8" w:rsidRDefault="00A65DEB">
            <w:pPr>
              <w:rPr>
                <w:rFonts w:hint="eastAsia"/>
              </w:rPr>
            </w:pPr>
            <w:r>
              <w:rPr>
                <w:sz w:val="18"/>
              </w:rPr>
              <w:t>Select or restore a compatible registered Formula</w:t>
            </w:r>
          </w:p>
        </w:tc>
      </w:tr>
      <w:tr w:rsidR="00F14BB8" w14:paraId="5569BFA6" w14:textId="77777777">
        <w:trPr>
          <w:jc w:val="center"/>
        </w:trPr>
        <w:tc>
          <w:tcPr>
            <w:tcW w:w="2376" w:type="dxa"/>
            <w:shd w:val="clear" w:color="auto" w:fill="FFFFFF"/>
            <w:tcMar>
              <w:top w:w="100" w:type="dxa"/>
              <w:left w:w="110" w:type="dxa"/>
              <w:bottom w:w="100" w:type="dxa"/>
              <w:right w:w="110" w:type="dxa"/>
            </w:tcMar>
            <w:vAlign w:val="center"/>
          </w:tcPr>
          <w:p w14:paraId="09E0F1F0" w14:textId="77777777" w:rsidR="00F14BB8" w:rsidRDefault="00A65DEB">
            <w:pPr>
              <w:rPr>
                <w:rFonts w:hint="eastAsia"/>
              </w:rPr>
            </w:pPr>
            <w:r>
              <w:rPr>
                <w:sz w:val="18"/>
              </w:rPr>
              <w:t>Verification</w:t>
            </w:r>
          </w:p>
        </w:tc>
        <w:tc>
          <w:tcPr>
            <w:tcW w:w="7272" w:type="dxa"/>
            <w:shd w:val="clear" w:color="auto" w:fill="FFFFFF"/>
            <w:tcMar>
              <w:top w:w="100" w:type="dxa"/>
              <w:left w:w="110" w:type="dxa"/>
              <w:bottom w:w="100" w:type="dxa"/>
              <w:right w:w="110" w:type="dxa"/>
            </w:tcMar>
            <w:vAlign w:val="center"/>
          </w:tcPr>
          <w:p w14:paraId="15AE290E" w14:textId="77777777" w:rsidR="00F14BB8" w:rsidRDefault="00A65DEB">
            <w:pPr>
              <w:rPr>
                <w:rFonts w:hint="eastAsia"/>
              </w:rPr>
            </w:pPr>
            <w:r>
              <w:rPr>
                <w:sz w:val="18"/>
              </w:rPr>
              <w:t>Re-run DC-017 after mutation</w:t>
            </w:r>
          </w:p>
        </w:tc>
      </w:tr>
    </w:tbl>
    <w:p w14:paraId="54EA1AAC" w14:textId="77777777" w:rsidR="00F14BB8" w:rsidRDefault="00F14BB8">
      <w:pPr>
        <w:spacing w:after="20"/>
        <w:rPr>
          <w:rFonts w:hint="eastAsia"/>
        </w:rPr>
      </w:pPr>
    </w:p>
    <w:p w14:paraId="340E0A62" w14:textId="77777777" w:rsidR="00F14BB8" w:rsidRDefault="00A65DEB">
      <w:pPr>
        <w:pStyle w:val="Heading2"/>
        <w:spacing w:after="80"/>
      </w:pPr>
      <w:r>
        <w:rPr>
          <w:rFonts w:ascii="Carlito" w:hAnsi="Carlito"/>
        </w:rPr>
        <w:t>12.2 Service queue behavior</w:t>
      </w:r>
    </w:p>
    <w:p w14:paraId="19B11989" w14:textId="77777777" w:rsidR="00F14BB8" w:rsidRDefault="00A65DEB">
      <w:pPr>
        <w:spacing w:after="140" w:line="259" w:lineRule="auto"/>
        <w:rPr>
          <w:rFonts w:hint="eastAsia"/>
        </w:rPr>
      </w:pPr>
      <w:r>
        <w:t>The service queue should be generated from current findings rather than manually curated as a parallel truth system. Resolved findings can be retained historically for provenance, but the current service view is determined by current canonical evidence. This allows the Base to heal without requiring a human to remember to update multiple administrative records.</w:t>
      </w:r>
    </w:p>
    <w:p w14:paraId="3A2D5EA2" w14:textId="77777777" w:rsidR="00F14BB8" w:rsidRDefault="00A65DEB">
      <w:pPr>
        <w:pStyle w:val="Heading1"/>
        <w:spacing w:before="260" w:after="120"/>
      </w:pPr>
      <w:r>
        <w:rPr>
          <w:rFonts w:ascii="Carlito" w:hAnsi="Carlito"/>
        </w:rPr>
        <w:t>13. Repair the Source: Reinspection and Mutation Authority</w:t>
      </w:r>
    </w:p>
    <w:p w14:paraId="799439BA" w14:textId="77777777" w:rsidR="00F14BB8" w:rsidRDefault="00A65DEB">
      <w:pPr>
        <w:spacing w:after="140" w:line="259" w:lineRule="auto"/>
        <w:rPr>
          <w:rFonts w:hint="eastAsia"/>
        </w:rPr>
      </w:pPr>
      <w:r>
        <w:t>A maintenance interface can easily create a dangerous illusion: a user marks an alert “Resolved” while the canonical defect remains untouched. BASE SERVICE explicitly rejects that model. Repair is applied to the source structure; the diagnostic engine then re-evaluates the relevant contract. Passing reinspection is the evidence that the service condition is resolved.</w:t>
      </w:r>
    </w:p>
    <w:p w14:paraId="46777C59" w14:textId="77777777" w:rsidR="00F14BB8" w:rsidRDefault="00A65DEB">
      <w:pPr>
        <w:spacing w:before="160" w:after="80"/>
        <w:jc w:val="center"/>
        <w:rPr>
          <w:rFonts w:hint="eastAsia"/>
        </w:rPr>
      </w:pPr>
      <w:r>
        <w:rPr>
          <w:noProof/>
        </w:rPr>
        <w:drawing>
          <wp:inline distT="0" distB="0" distL="0" distR="0" wp14:anchorId="6A984C96" wp14:editId="6FBF0D07">
            <wp:extent cx="6263640" cy="341020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repair_source.png"/>
                    <pic:cNvPicPr/>
                  </pic:nvPicPr>
                  <pic:blipFill>
                    <a:blip r:embed="rId19"/>
                    <a:stretch>
                      <a:fillRect/>
                    </a:stretch>
                  </pic:blipFill>
                  <pic:spPr>
                    <a:xfrm>
                      <a:off x="0" y="0"/>
                      <a:ext cx="6263640" cy="3410204"/>
                    </a:xfrm>
                    <a:prstGeom prst="rect">
                      <a:avLst/>
                    </a:prstGeom>
                  </pic:spPr>
                </pic:pic>
              </a:graphicData>
            </a:graphic>
          </wp:inline>
        </w:drawing>
      </w:r>
    </w:p>
    <w:p w14:paraId="70EA2BD6" w14:textId="77777777" w:rsidR="00F14BB8" w:rsidRDefault="00A65DEB">
      <w:pPr>
        <w:keepNext/>
        <w:spacing w:after="180"/>
        <w:jc w:val="center"/>
        <w:rPr>
          <w:rFonts w:hint="eastAsia"/>
        </w:rPr>
      </w:pPr>
      <w:r>
        <w:rPr>
          <w:b/>
          <w:color w:val="4F81BD"/>
          <w:sz w:val="19"/>
        </w:rPr>
        <w:t xml:space="preserve">Figure 12. </w:t>
      </w:r>
      <w:r>
        <w:rPr>
          <w:color w:val="56626E"/>
          <w:sz w:val="19"/>
        </w:rPr>
        <w:t>Repairing canonical state and passing reinspection resolves a finding; changing the alert alone does not.</w:t>
      </w:r>
    </w:p>
    <w:p w14:paraId="62A091D9" w14:textId="77777777" w:rsidR="00F14BB8" w:rsidRDefault="00A65DEB">
      <w:pPr>
        <w:pStyle w:val="Heading2"/>
        <w:spacing w:after="80"/>
      </w:pPr>
      <w:r>
        <w:rPr>
          <w:rFonts w:ascii="Carlito" w:hAnsi="Carlito"/>
        </w:rPr>
        <w:t>13.1 Detection authority is not mutation authority</w:t>
      </w:r>
    </w:p>
    <w:p w14:paraId="45081B42" w14:textId="77777777" w:rsidR="00F14BB8" w:rsidRDefault="00A65DEB">
      <w:pPr>
        <w:spacing w:after="140" w:line="259" w:lineRule="auto"/>
        <w:rPr>
          <w:rFonts w:hint="eastAsia"/>
        </w:rPr>
      </w:pPr>
      <w:r>
        <w:t>A diagnostic engine may be authorized to read a wide portion of the Base while having no authority to mutate it. Discovering that a required Formula link is missing does not itself grant permission to create or change that link. Repair must travel through the same governed Rules, Operators, permissions, or human approvals that normally control canonical mutation.</w:t>
      </w:r>
    </w:p>
    <w:p w14:paraId="630A7C41" w14:textId="77777777" w:rsidR="00F14BB8" w:rsidRDefault="00A65DEB">
      <w:pPr>
        <w:pStyle w:val="Heading2"/>
        <w:spacing w:after="80"/>
      </w:pPr>
      <w:r>
        <w:rPr>
          <w:rFonts w:ascii="Carlito" w:hAnsi="Carlito"/>
        </w:rPr>
        <w:t>13.2 Guided repair</w:t>
      </w:r>
    </w:p>
    <w:p w14:paraId="244DBC2E" w14:textId="77777777" w:rsidR="00F14BB8" w:rsidRDefault="00A65DEB">
      <w:pPr>
        <w:spacing w:after="140" w:line="259" w:lineRule="auto"/>
        <w:rPr>
          <w:rFonts w:hint="eastAsia"/>
        </w:rPr>
      </w:pPr>
      <w:r>
        <w:t>A Fix finding can still be highly actionable. If the contract and linked context constrain the repair sufficiently, BASE SERVICE can present the exact target field, expected target class, compatible candidates, and reason the relationship is required. Some repairs may eventually be safe for deterministic automation; others should remain proposals or guided human actions. The integrity architecture does not need to decide that policy globally.</w:t>
      </w:r>
    </w:p>
    <w:tbl>
      <w:tblPr>
        <w:tblW w:w="0" w:type="auto"/>
        <w:jc w:val="center"/>
        <w:tblLook w:val="04A0" w:firstRow="1" w:lastRow="0" w:firstColumn="1" w:lastColumn="0" w:noHBand="0" w:noVBand="1"/>
      </w:tblPr>
      <w:tblGrid>
        <w:gridCol w:w="9878"/>
      </w:tblGrid>
      <w:tr w:rsidR="00F14BB8" w14:paraId="1C5F6FC8" w14:textId="77777777">
        <w:trPr>
          <w:cantSplit/>
          <w:jc w:val="center"/>
        </w:trPr>
        <w:tc>
          <w:tcPr>
            <w:tcW w:w="9878" w:type="dxa"/>
            <w:tcBorders>
              <w:top w:val="nil"/>
              <w:left w:val="single" w:sz="18" w:space="0" w:color="17365D"/>
              <w:bottom w:val="nil"/>
              <w:right w:val="nil"/>
            </w:tcBorders>
            <w:shd w:val="clear" w:color="auto" w:fill="F2F5F7"/>
            <w:tcMar>
              <w:top w:w="160" w:type="dxa"/>
              <w:left w:w="180" w:type="dxa"/>
              <w:bottom w:w="160" w:type="dxa"/>
              <w:right w:w="180" w:type="dxa"/>
            </w:tcMar>
          </w:tcPr>
          <w:p w14:paraId="55390022" w14:textId="77777777" w:rsidR="00F14BB8" w:rsidRDefault="00A65DEB">
            <w:pPr>
              <w:spacing w:after="100"/>
              <w:rPr>
                <w:rFonts w:hint="eastAsia"/>
              </w:rPr>
            </w:pPr>
            <w:r>
              <w:rPr>
                <w:b/>
                <w:color w:val="17365D"/>
                <w:sz w:val="21"/>
              </w:rPr>
              <w:t>REPAIR RULE</w:t>
            </w:r>
          </w:p>
          <w:p w14:paraId="06C706E0" w14:textId="77777777" w:rsidR="00F14BB8" w:rsidRDefault="00A65DEB">
            <w:pPr>
              <w:spacing w:after="0" w:line="259" w:lineRule="auto"/>
              <w:rPr>
                <w:rFonts w:hint="eastAsia"/>
              </w:rPr>
            </w:pPr>
            <w:r>
              <w:t>Repair the source, not the alert. A repair is complete only when the applicable canonical diagnostic contract passes reinspection.</w:t>
            </w:r>
          </w:p>
        </w:tc>
      </w:tr>
    </w:tbl>
    <w:p w14:paraId="14500C2C" w14:textId="77777777" w:rsidR="00F14BB8" w:rsidRDefault="00F14BB8">
      <w:pPr>
        <w:spacing w:after="0"/>
        <w:rPr>
          <w:rFonts w:hint="eastAsia"/>
        </w:rPr>
      </w:pPr>
    </w:p>
    <w:p w14:paraId="5DEFB685" w14:textId="77777777" w:rsidR="00F14BB8" w:rsidRDefault="00A65DEB">
      <w:pPr>
        <w:pStyle w:val="Heading1"/>
        <w:spacing w:before="260" w:after="120"/>
      </w:pPr>
      <w:r>
        <w:rPr>
          <w:rFonts w:ascii="Carlito" w:hAnsi="Carlito"/>
        </w:rPr>
        <w:t>14. Deterministic Diagnostics and the AI Boundary</w:t>
      </w:r>
    </w:p>
    <w:p w14:paraId="5039F18B" w14:textId="77777777" w:rsidR="00F14BB8" w:rsidRDefault="00A65DEB">
      <w:pPr>
        <w:spacing w:after="140" w:line="259" w:lineRule="auto"/>
        <w:rPr>
          <w:rFonts w:hint="eastAsia"/>
        </w:rPr>
      </w:pPr>
      <w:r>
        <w:t>BASE SERVICE follows the same architectural preference as deterministic BitWord compilation: do not ask AI to infer what explicit structure can already establish. If a contract says A12 must resolve to G41 exactly once and the observed value is null, the detection problem is a comparison, not a semantic judgment.</w:t>
      </w:r>
    </w:p>
    <w:p w14:paraId="59F44A8B" w14:textId="77777777" w:rsidR="00F14BB8" w:rsidRDefault="00A65DEB">
      <w:pPr>
        <w:spacing w:before="160" w:after="80"/>
        <w:jc w:val="center"/>
        <w:rPr>
          <w:rFonts w:hint="eastAsia"/>
        </w:rPr>
      </w:pPr>
      <w:r>
        <w:rPr>
          <w:noProof/>
        </w:rPr>
        <w:drawing>
          <wp:inline distT="0" distB="0" distL="0" distR="0" wp14:anchorId="0F63AD06" wp14:editId="7DF16CCF">
            <wp:extent cx="6263640" cy="341020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_ai_boundary.png"/>
                    <pic:cNvPicPr/>
                  </pic:nvPicPr>
                  <pic:blipFill>
                    <a:blip r:embed="rId20"/>
                    <a:stretch>
                      <a:fillRect/>
                    </a:stretch>
                  </pic:blipFill>
                  <pic:spPr>
                    <a:xfrm>
                      <a:off x="0" y="0"/>
                      <a:ext cx="6263640" cy="3410204"/>
                    </a:xfrm>
                    <a:prstGeom prst="rect">
                      <a:avLst/>
                    </a:prstGeom>
                  </pic:spPr>
                </pic:pic>
              </a:graphicData>
            </a:graphic>
          </wp:inline>
        </w:drawing>
      </w:r>
    </w:p>
    <w:p w14:paraId="0BDCA9AA" w14:textId="77777777" w:rsidR="00F14BB8" w:rsidRDefault="00A65DEB">
      <w:pPr>
        <w:keepNext/>
        <w:spacing w:after="180"/>
        <w:jc w:val="center"/>
        <w:rPr>
          <w:rFonts w:hint="eastAsia"/>
        </w:rPr>
      </w:pPr>
      <w:r>
        <w:rPr>
          <w:b/>
          <w:color w:val="4F81BD"/>
          <w:sz w:val="19"/>
        </w:rPr>
        <w:t xml:space="preserve">Figure 13. </w:t>
      </w:r>
      <w:r>
        <w:rPr>
          <w:color w:val="56626E"/>
          <w:sz w:val="19"/>
        </w:rPr>
        <w:t>The structural engine determines whether explicit contracts pass; AI may optionally assist with explanation, summarization, comparison, and guided repair after a finding exists.</w:t>
      </w:r>
    </w:p>
    <w:p w14:paraId="2B659934" w14:textId="77777777" w:rsidR="00F14BB8" w:rsidRDefault="00A65DEB">
      <w:pPr>
        <w:pStyle w:val="Heading2"/>
        <w:spacing w:after="80"/>
      </w:pPr>
      <w:r>
        <w:rPr>
          <w:rFonts w:ascii="Carlito" w:hAnsi="Carlito"/>
        </w:rPr>
        <w:t>14.1 Appropriate AI roles</w:t>
      </w:r>
    </w:p>
    <w:p w14:paraId="73B32D70" w14:textId="77777777" w:rsidR="00F14BB8" w:rsidRDefault="00A65DEB">
      <w:pPr>
        <w:pStyle w:val="ListBullet"/>
        <w:spacing w:after="60" w:line="259" w:lineRule="auto"/>
        <w:rPr>
          <w:rFonts w:hint="eastAsia"/>
        </w:rPr>
      </w:pPr>
      <w:r>
        <w:t>Explain why a finding matters in domain language.</w:t>
      </w:r>
    </w:p>
    <w:p w14:paraId="3BE321D1" w14:textId="77777777" w:rsidR="00F14BB8" w:rsidRDefault="00A65DEB">
      <w:pPr>
        <w:pStyle w:val="ListBullet"/>
        <w:spacing w:after="60" w:line="259" w:lineRule="auto"/>
        <w:rPr>
          <w:rFonts w:hint="eastAsia"/>
        </w:rPr>
      </w:pPr>
      <w:r>
        <w:t>Summarize service conditions across a large Table or Stack.</w:t>
      </w:r>
    </w:p>
    <w:p w14:paraId="139519A2" w14:textId="77777777" w:rsidR="00F14BB8" w:rsidRDefault="00A65DEB">
      <w:pPr>
        <w:pStyle w:val="ListBullet"/>
        <w:spacing w:after="60" w:line="259" w:lineRule="auto"/>
        <w:rPr>
          <w:rFonts w:hint="eastAsia"/>
        </w:rPr>
      </w:pPr>
      <w:r>
        <w:t>Compare candidate repairs when several valid structural options exist.</w:t>
      </w:r>
    </w:p>
    <w:p w14:paraId="5A0512FF" w14:textId="77777777" w:rsidR="00F14BB8" w:rsidRDefault="00A65DEB">
      <w:pPr>
        <w:pStyle w:val="ListBullet"/>
        <w:spacing w:after="60" w:line="259" w:lineRule="auto"/>
        <w:rPr>
          <w:rFonts w:hint="eastAsia"/>
        </w:rPr>
      </w:pPr>
      <w:r>
        <w:t>Draft missing human-facing semantic information where the diagnostic has already identified the gap.</w:t>
      </w:r>
    </w:p>
    <w:p w14:paraId="0FB6B4DB" w14:textId="77777777" w:rsidR="00F14BB8" w:rsidRDefault="00A65DEB">
      <w:pPr>
        <w:pStyle w:val="ListBullet"/>
        <w:spacing w:after="60" w:line="259" w:lineRule="auto"/>
        <w:rPr>
          <w:rFonts w:hint="eastAsia"/>
        </w:rPr>
      </w:pPr>
      <w:r>
        <w:t>Guide a user through a repair procedure while preserving mutation authority.</w:t>
      </w:r>
    </w:p>
    <w:p w14:paraId="6F44DE78" w14:textId="77777777" w:rsidR="00F14BB8" w:rsidRDefault="00A65DEB">
      <w:pPr>
        <w:spacing w:after="140" w:line="259" w:lineRule="auto"/>
        <w:rPr>
          <w:rFonts w:hint="eastAsia"/>
        </w:rPr>
      </w:pPr>
      <w:r>
        <w:t>AI assistance is therefore layered above deterministic evidence. This reduces hallucination risk, makes service findings reproducible, and permits the diagnostic engine to run at machine scale even when no language model is available.</w:t>
      </w:r>
    </w:p>
    <w:p w14:paraId="4017822D" w14:textId="77777777" w:rsidR="00F14BB8" w:rsidRDefault="00A65DEB">
      <w:pPr>
        <w:pStyle w:val="Heading1"/>
        <w:spacing w:before="260" w:after="120"/>
      </w:pPr>
      <w:r>
        <w:rPr>
          <w:rFonts w:ascii="Carlito" w:hAnsi="Carlito"/>
        </w:rPr>
        <w:t>15. Airtable Reference Implementation</w:t>
      </w:r>
    </w:p>
    <w:p w14:paraId="60E9D76E" w14:textId="77777777" w:rsidR="00F14BB8" w:rsidRDefault="00A65DEB">
      <w:pPr>
        <w:spacing w:after="140" w:line="259" w:lineRule="auto"/>
        <w:rPr>
          <w:rFonts w:hint="eastAsia"/>
        </w:rPr>
      </w:pPr>
      <w:r>
        <w:t>Airtable can host a practical reference implementation using the structures CERBERUS already maintains. The Table Registry identifies canonical Tables and runtime table IDs; the Field Registry identifies canonical Fields and runtime field IDs; a Diagnostic Contract table stores reusable inspection rules; scripts or automations evaluate records; and service views expose the resulting findings.</w:t>
      </w:r>
    </w:p>
    <w:p w14:paraId="05FA840F" w14:textId="77777777" w:rsidR="00F14BB8" w:rsidRDefault="00A65DEB">
      <w:pPr>
        <w:spacing w:before="160" w:after="80"/>
        <w:jc w:val="center"/>
        <w:rPr>
          <w:rFonts w:hint="eastAsia"/>
        </w:rPr>
      </w:pPr>
      <w:r>
        <w:rPr>
          <w:noProof/>
        </w:rPr>
        <w:drawing>
          <wp:inline distT="0" distB="0" distL="0" distR="0" wp14:anchorId="31E832CB" wp14:editId="33F1574F">
            <wp:extent cx="6263640" cy="341020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_airtable_reference.png"/>
                    <pic:cNvPicPr/>
                  </pic:nvPicPr>
                  <pic:blipFill>
                    <a:blip r:embed="rId21"/>
                    <a:stretch>
                      <a:fillRect/>
                    </a:stretch>
                  </pic:blipFill>
                  <pic:spPr>
                    <a:xfrm>
                      <a:off x="0" y="0"/>
                      <a:ext cx="6263640" cy="3410204"/>
                    </a:xfrm>
                    <a:prstGeom prst="rect">
                      <a:avLst/>
                    </a:prstGeom>
                  </pic:spPr>
                </pic:pic>
              </a:graphicData>
            </a:graphic>
          </wp:inline>
        </w:drawing>
      </w:r>
    </w:p>
    <w:p w14:paraId="76A8F8E8" w14:textId="77777777" w:rsidR="00F14BB8" w:rsidRDefault="00A65DEB">
      <w:pPr>
        <w:keepNext/>
        <w:spacing w:after="180"/>
        <w:jc w:val="center"/>
        <w:rPr>
          <w:rFonts w:hint="eastAsia"/>
        </w:rPr>
      </w:pPr>
      <w:r>
        <w:rPr>
          <w:b/>
          <w:color w:val="4F81BD"/>
          <w:sz w:val="19"/>
        </w:rPr>
        <w:t xml:space="preserve">Figure 14. </w:t>
      </w:r>
      <w:r>
        <w:rPr>
          <w:color w:val="56626E"/>
          <w:sz w:val="19"/>
        </w:rPr>
        <w:t>Airtable can implement the architecture with Registry records, contract records, deterministic inspection scripts, service findings, and human-facing service interfaces.</w:t>
      </w:r>
    </w:p>
    <w:p w14:paraId="4B61C4BB" w14:textId="77777777" w:rsidR="00F14BB8" w:rsidRDefault="00A65DEB">
      <w:pPr>
        <w:pStyle w:val="Heading2"/>
        <w:spacing w:after="80"/>
      </w:pPr>
      <w:r>
        <w:rPr>
          <w:rFonts w:ascii="Carlito" w:hAnsi="Carlito"/>
        </w:rPr>
        <w:t>15.1 Compact implementation pattern</w:t>
      </w:r>
    </w:p>
    <w:tbl>
      <w:tblPr>
        <w:tblStyle w:val="TableGrid"/>
        <w:tblW w:w="0" w:type="auto"/>
        <w:jc w:val="center"/>
        <w:tblLook w:val="04A0" w:firstRow="1" w:lastRow="0" w:firstColumn="1" w:lastColumn="0" w:noHBand="0" w:noVBand="1"/>
      </w:tblPr>
      <w:tblGrid>
        <w:gridCol w:w="2520"/>
        <w:gridCol w:w="7128"/>
      </w:tblGrid>
      <w:tr w:rsidR="00F14BB8" w14:paraId="380C19BF" w14:textId="77777777">
        <w:trPr>
          <w:tblHeader/>
          <w:jc w:val="center"/>
        </w:trPr>
        <w:tc>
          <w:tcPr>
            <w:tcW w:w="2520" w:type="dxa"/>
            <w:shd w:val="clear" w:color="auto" w:fill="17365D"/>
            <w:tcMar>
              <w:top w:w="110" w:type="dxa"/>
              <w:left w:w="110" w:type="dxa"/>
              <w:bottom w:w="110" w:type="dxa"/>
              <w:right w:w="110" w:type="dxa"/>
            </w:tcMar>
            <w:vAlign w:val="center"/>
          </w:tcPr>
          <w:p w14:paraId="00C51BB8" w14:textId="77777777" w:rsidR="00F14BB8" w:rsidRDefault="00A65DEB">
            <w:pPr>
              <w:rPr>
                <w:rFonts w:hint="eastAsia"/>
              </w:rPr>
            </w:pPr>
            <w:r>
              <w:rPr>
                <w:b/>
                <w:color w:val="FFFFFF"/>
                <w:sz w:val="19"/>
              </w:rPr>
              <w:t>Component</w:t>
            </w:r>
          </w:p>
        </w:tc>
        <w:tc>
          <w:tcPr>
            <w:tcW w:w="7128" w:type="dxa"/>
            <w:shd w:val="clear" w:color="auto" w:fill="17365D"/>
            <w:tcMar>
              <w:top w:w="110" w:type="dxa"/>
              <w:left w:w="110" w:type="dxa"/>
              <w:bottom w:w="110" w:type="dxa"/>
              <w:right w:w="110" w:type="dxa"/>
            </w:tcMar>
            <w:vAlign w:val="center"/>
          </w:tcPr>
          <w:p w14:paraId="24C516E5" w14:textId="77777777" w:rsidR="00F14BB8" w:rsidRDefault="00A65DEB">
            <w:pPr>
              <w:rPr>
                <w:rFonts w:hint="eastAsia"/>
              </w:rPr>
            </w:pPr>
            <w:r>
              <w:rPr>
                <w:b/>
                <w:color w:val="FFFFFF"/>
                <w:sz w:val="19"/>
              </w:rPr>
              <w:t>Responsibility</w:t>
            </w:r>
          </w:p>
        </w:tc>
      </w:tr>
      <w:tr w:rsidR="00F14BB8" w14:paraId="1E7A4D8C" w14:textId="77777777">
        <w:trPr>
          <w:jc w:val="center"/>
        </w:trPr>
        <w:tc>
          <w:tcPr>
            <w:tcW w:w="2520" w:type="dxa"/>
            <w:shd w:val="clear" w:color="auto" w:fill="FFFFFF"/>
            <w:tcMar>
              <w:top w:w="100" w:type="dxa"/>
              <w:left w:w="110" w:type="dxa"/>
              <w:bottom w:w="100" w:type="dxa"/>
              <w:right w:w="110" w:type="dxa"/>
            </w:tcMar>
            <w:vAlign w:val="center"/>
          </w:tcPr>
          <w:p w14:paraId="43448F76" w14:textId="77777777" w:rsidR="00F14BB8" w:rsidRDefault="00A65DEB">
            <w:pPr>
              <w:rPr>
                <w:rFonts w:hint="eastAsia"/>
              </w:rPr>
            </w:pPr>
            <w:r>
              <w:rPr>
                <w:sz w:val="19"/>
              </w:rPr>
              <w:t>Table Registry</w:t>
            </w:r>
          </w:p>
        </w:tc>
        <w:tc>
          <w:tcPr>
            <w:tcW w:w="7128" w:type="dxa"/>
            <w:shd w:val="clear" w:color="auto" w:fill="FFFFFF"/>
            <w:tcMar>
              <w:top w:w="100" w:type="dxa"/>
              <w:left w:w="110" w:type="dxa"/>
              <w:bottom w:w="100" w:type="dxa"/>
              <w:right w:w="110" w:type="dxa"/>
            </w:tcMar>
            <w:vAlign w:val="center"/>
          </w:tcPr>
          <w:p w14:paraId="384086A6" w14:textId="77777777" w:rsidR="00F14BB8" w:rsidRDefault="00A65DEB">
            <w:pPr>
              <w:rPr>
                <w:rFonts w:hint="eastAsia"/>
              </w:rPr>
            </w:pPr>
            <w:r>
              <w:rPr>
                <w:sz w:val="19"/>
              </w:rPr>
              <w:t>Canonical Table identity, canonical order, runtime table binding.</w:t>
            </w:r>
          </w:p>
        </w:tc>
      </w:tr>
      <w:tr w:rsidR="00F14BB8" w14:paraId="0F99F458" w14:textId="77777777">
        <w:trPr>
          <w:jc w:val="center"/>
        </w:trPr>
        <w:tc>
          <w:tcPr>
            <w:tcW w:w="2520" w:type="dxa"/>
            <w:shd w:val="clear" w:color="auto" w:fill="F7F9FB"/>
            <w:tcMar>
              <w:top w:w="100" w:type="dxa"/>
              <w:left w:w="110" w:type="dxa"/>
              <w:bottom w:w="100" w:type="dxa"/>
              <w:right w:w="110" w:type="dxa"/>
            </w:tcMar>
            <w:vAlign w:val="center"/>
          </w:tcPr>
          <w:p w14:paraId="54FDB306" w14:textId="77777777" w:rsidR="00F14BB8" w:rsidRDefault="00A65DEB">
            <w:pPr>
              <w:rPr>
                <w:rFonts w:hint="eastAsia"/>
              </w:rPr>
            </w:pPr>
            <w:r>
              <w:rPr>
                <w:sz w:val="19"/>
              </w:rPr>
              <w:t>Field Registry</w:t>
            </w:r>
          </w:p>
        </w:tc>
        <w:tc>
          <w:tcPr>
            <w:tcW w:w="7128" w:type="dxa"/>
            <w:shd w:val="clear" w:color="auto" w:fill="F7F9FB"/>
            <w:tcMar>
              <w:top w:w="100" w:type="dxa"/>
              <w:left w:w="110" w:type="dxa"/>
              <w:bottom w:w="100" w:type="dxa"/>
              <w:right w:w="110" w:type="dxa"/>
            </w:tcMar>
            <w:vAlign w:val="center"/>
          </w:tcPr>
          <w:p w14:paraId="23C9CBBE" w14:textId="77777777" w:rsidR="00F14BB8" w:rsidRDefault="00A65DEB">
            <w:pPr>
              <w:rPr>
                <w:rFonts w:hint="eastAsia"/>
              </w:rPr>
            </w:pPr>
            <w:r>
              <w:rPr>
                <w:sz w:val="19"/>
              </w:rPr>
              <w:t>Canonical Field identity, canonical order, runtime field binding.</w:t>
            </w:r>
          </w:p>
        </w:tc>
      </w:tr>
      <w:tr w:rsidR="00F14BB8" w14:paraId="03D7CD08" w14:textId="77777777">
        <w:trPr>
          <w:jc w:val="center"/>
        </w:trPr>
        <w:tc>
          <w:tcPr>
            <w:tcW w:w="2520" w:type="dxa"/>
            <w:shd w:val="clear" w:color="auto" w:fill="FFFFFF"/>
            <w:tcMar>
              <w:top w:w="100" w:type="dxa"/>
              <w:left w:w="110" w:type="dxa"/>
              <w:bottom w:w="100" w:type="dxa"/>
              <w:right w:w="110" w:type="dxa"/>
            </w:tcMar>
            <w:vAlign w:val="center"/>
          </w:tcPr>
          <w:p w14:paraId="203F8FEA" w14:textId="77777777" w:rsidR="00F14BB8" w:rsidRDefault="00A65DEB">
            <w:pPr>
              <w:rPr>
                <w:rFonts w:hint="eastAsia"/>
              </w:rPr>
            </w:pPr>
            <w:r>
              <w:rPr>
                <w:sz w:val="19"/>
              </w:rPr>
              <w:t>Diagnostic Contract Registry</w:t>
            </w:r>
          </w:p>
        </w:tc>
        <w:tc>
          <w:tcPr>
            <w:tcW w:w="7128" w:type="dxa"/>
            <w:shd w:val="clear" w:color="auto" w:fill="FFFFFF"/>
            <w:tcMar>
              <w:top w:w="100" w:type="dxa"/>
              <w:left w:w="110" w:type="dxa"/>
              <w:bottom w:w="100" w:type="dxa"/>
              <w:right w:w="110" w:type="dxa"/>
            </w:tcMar>
            <w:vAlign w:val="center"/>
          </w:tcPr>
          <w:p w14:paraId="4180C379" w14:textId="77777777" w:rsidR="00F14BB8" w:rsidRDefault="00A65DEB">
            <w:pPr>
              <w:rPr>
                <w:rFonts w:hint="eastAsia"/>
              </w:rPr>
            </w:pPr>
            <w:r>
              <w:rPr>
                <w:sz w:val="19"/>
              </w:rPr>
              <w:t>Source coordinate, optional target, applicability, expectation, failure state.</w:t>
            </w:r>
          </w:p>
        </w:tc>
      </w:tr>
      <w:tr w:rsidR="00F14BB8" w14:paraId="564399F8" w14:textId="77777777">
        <w:trPr>
          <w:jc w:val="center"/>
        </w:trPr>
        <w:tc>
          <w:tcPr>
            <w:tcW w:w="2520" w:type="dxa"/>
            <w:shd w:val="clear" w:color="auto" w:fill="F7F9FB"/>
            <w:tcMar>
              <w:top w:w="100" w:type="dxa"/>
              <w:left w:w="110" w:type="dxa"/>
              <w:bottom w:w="100" w:type="dxa"/>
              <w:right w:w="110" w:type="dxa"/>
            </w:tcMar>
            <w:vAlign w:val="center"/>
          </w:tcPr>
          <w:p w14:paraId="08E157BE" w14:textId="77777777" w:rsidR="00F14BB8" w:rsidRDefault="00A65DEB">
            <w:pPr>
              <w:rPr>
                <w:rFonts w:hint="eastAsia"/>
              </w:rPr>
            </w:pPr>
            <w:r>
              <w:rPr>
                <w:sz w:val="19"/>
              </w:rPr>
              <w:t>Inspection Engine</w:t>
            </w:r>
          </w:p>
        </w:tc>
        <w:tc>
          <w:tcPr>
            <w:tcW w:w="7128" w:type="dxa"/>
            <w:shd w:val="clear" w:color="auto" w:fill="F7F9FB"/>
            <w:tcMar>
              <w:top w:w="100" w:type="dxa"/>
              <w:left w:w="110" w:type="dxa"/>
              <w:bottom w:w="100" w:type="dxa"/>
              <w:right w:w="110" w:type="dxa"/>
            </w:tcMar>
            <w:vAlign w:val="center"/>
          </w:tcPr>
          <w:p w14:paraId="47EFD177" w14:textId="77777777" w:rsidR="00F14BB8" w:rsidRDefault="00A65DEB">
            <w:pPr>
              <w:rPr>
                <w:rFonts w:hint="eastAsia"/>
              </w:rPr>
            </w:pPr>
            <w:r>
              <w:rPr>
                <w:sz w:val="19"/>
              </w:rPr>
              <w:t>Reads applicable contracts and observed records; emits deterministic findings.</w:t>
            </w:r>
          </w:p>
        </w:tc>
      </w:tr>
      <w:tr w:rsidR="00F14BB8" w14:paraId="75EA9259" w14:textId="77777777">
        <w:trPr>
          <w:jc w:val="center"/>
        </w:trPr>
        <w:tc>
          <w:tcPr>
            <w:tcW w:w="2520" w:type="dxa"/>
            <w:shd w:val="clear" w:color="auto" w:fill="FFFFFF"/>
            <w:tcMar>
              <w:top w:w="100" w:type="dxa"/>
              <w:left w:w="110" w:type="dxa"/>
              <w:bottom w:w="100" w:type="dxa"/>
              <w:right w:w="110" w:type="dxa"/>
            </w:tcMar>
            <w:vAlign w:val="center"/>
          </w:tcPr>
          <w:p w14:paraId="7A76B3D4" w14:textId="77777777" w:rsidR="00F14BB8" w:rsidRDefault="00A65DEB">
            <w:pPr>
              <w:rPr>
                <w:rFonts w:hint="eastAsia"/>
              </w:rPr>
            </w:pPr>
            <w:r>
              <w:rPr>
                <w:sz w:val="19"/>
              </w:rPr>
              <w:t>Service Findings</w:t>
            </w:r>
          </w:p>
        </w:tc>
        <w:tc>
          <w:tcPr>
            <w:tcW w:w="7128" w:type="dxa"/>
            <w:shd w:val="clear" w:color="auto" w:fill="FFFFFF"/>
            <w:tcMar>
              <w:top w:w="100" w:type="dxa"/>
              <w:left w:w="110" w:type="dxa"/>
              <w:bottom w:w="100" w:type="dxa"/>
              <w:right w:w="110" w:type="dxa"/>
            </w:tcMar>
            <w:vAlign w:val="center"/>
          </w:tcPr>
          <w:p w14:paraId="36DDCC12" w14:textId="77777777" w:rsidR="00F14BB8" w:rsidRDefault="00A65DEB">
            <w:pPr>
              <w:rPr>
                <w:rFonts w:hint="eastAsia"/>
              </w:rPr>
            </w:pPr>
            <w:r>
              <w:rPr>
                <w:sz w:val="19"/>
              </w:rPr>
              <w:t>Derived current/history records tied to exact source evidence.</w:t>
            </w:r>
          </w:p>
        </w:tc>
      </w:tr>
      <w:tr w:rsidR="00F14BB8" w14:paraId="019D31E3" w14:textId="77777777">
        <w:trPr>
          <w:jc w:val="center"/>
        </w:trPr>
        <w:tc>
          <w:tcPr>
            <w:tcW w:w="2520" w:type="dxa"/>
            <w:shd w:val="clear" w:color="auto" w:fill="F7F9FB"/>
            <w:tcMar>
              <w:top w:w="100" w:type="dxa"/>
              <w:left w:w="110" w:type="dxa"/>
              <w:bottom w:w="100" w:type="dxa"/>
              <w:right w:w="110" w:type="dxa"/>
            </w:tcMar>
            <w:vAlign w:val="center"/>
          </w:tcPr>
          <w:p w14:paraId="42FD48EF" w14:textId="77777777" w:rsidR="00F14BB8" w:rsidRDefault="00A65DEB">
            <w:pPr>
              <w:rPr>
                <w:rFonts w:hint="eastAsia"/>
              </w:rPr>
            </w:pPr>
            <w:r>
              <w:rPr>
                <w:sz w:val="19"/>
              </w:rPr>
              <w:t>Base Service Interface</w:t>
            </w:r>
          </w:p>
        </w:tc>
        <w:tc>
          <w:tcPr>
            <w:tcW w:w="7128" w:type="dxa"/>
            <w:shd w:val="clear" w:color="auto" w:fill="F7F9FB"/>
            <w:tcMar>
              <w:top w:w="100" w:type="dxa"/>
              <w:left w:w="110" w:type="dxa"/>
              <w:bottom w:w="100" w:type="dxa"/>
              <w:right w:w="110" w:type="dxa"/>
            </w:tcMar>
            <w:vAlign w:val="center"/>
          </w:tcPr>
          <w:p w14:paraId="09E3C22F" w14:textId="77777777" w:rsidR="00F14BB8" w:rsidRDefault="00A65DEB">
            <w:pPr>
              <w:rPr>
                <w:rFonts w:hint="eastAsia"/>
              </w:rPr>
            </w:pPr>
            <w:r>
              <w:rPr>
                <w:sz w:val="19"/>
              </w:rPr>
              <w:t>Views by integrity state, priority, Table, Stack, object, or diagnostic class.</w:t>
            </w:r>
          </w:p>
        </w:tc>
      </w:tr>
    </w:tbl>
    <w:p w14:paraId="068F7669" w14:textId="77777777" w:rsidR="00F14BB8" w:rsidRDefault="00F14BB8">
      <w:pPr>
        <w:spacing w:after="20"/>
        <w:rPr>
          <w:rFonts w:hint="eastAsia"/>
        </w:rPr>
      </w:pPr>
    </w:p>
    <w:p w14:paraId="48BE3C50" w14:textId="77777777" w:rsidR="00F14BB8" w:rsidRDefault="00A65DEB">
      <w:pPr>
        <w:spacing w:after="140" w:line="259" w:lineRule="auto"/>
        <w:rPr>
          <w:rFonts w:hint="eastAsia"/>
        </w:rPr>
      </w:pPr>
      <w:r>
        <w:t>The crucial scaling property is that the diagnostic contract is stored once and applied many times. A Table with ten million records does not need ten million copies of “this field must link to one Formula.” The schema-level contract and one generic inspection engine can evaluate every applicable record.</w:t>
      </w:r>
    </w:p>
    <w:p w14:paraId="451CA7CF" w14:textId="77777777" w:rsidR="00F14BB8" w:rsidRDefault="00A65DEB">
      <w:pPr>
        <w:pStyle w:val="Heading2"/>
        <w:spacing w:after="80"/>
      </w:pPr>
      <w:r>
        <w:rPr>
          <w:rFonts w:ascii="Carlito" w:hAnsi="Carlito"/>
        </w:rPr>
        <w:t>15.2 Runtime independence</w:t>
      </w:r>
    </w:p>
    <w:p w14:paraId="775E9127" w14:textId="77777777" w:rsidR="00F14BB8" w:rsidRDefault="00A65DEB">
      <w:pPr>
        <w:spacing w:after="140" w:line="259" w:lineRule="auto"/>
        <w:rPr>
          <w:rFonts w:hint="eastAsia"/>
        </w:rPr>
      </w:pPr>
      <w:r>
        <w:t>Airtable is the current implementation substrate, not the semantic definition of BASE SERVICE. The same canonical coordinates and contracts could later compile into SQL constraints, a native graph runtime, background validation services, or other storage systems. Only the implementation bindings and inspection adapter need to change.</w:t>
      </w:r>
    </w:p>
    <w:p w14:paraId="01F38706" w14:textId="77777777" w:rsidR="00F14BB8" w:rsidRDefault="00A65DEB">
      <w:pPr>
        <w:pStyle w:val="Heading1"/>
        <w:spacing w:before="260" w:after="120"/>
      </w:pPr>
      <w:r>
        <w:rPr>
          <w:rFonts w:ascii="Carlito" w:hAnsi="Carlito"/>
        </w:rPr>
        <w:t>16. Version-Aware Diagnostic Evaluation</w:t>
      </w:r>
    </w:p>
    <w:p w14:paraId="768F9C69" w14:textId="77777777" w:rsidR="00F14BB8" w:rsidRDefault="00A65DEB">
      <w:pPr>
        <w:spacing w:after="140" w:line="259" w:lineRule="auto"/>
        <w:rPr>
          <w:rFonts w:hint="eastAsia"/>
        </w:rPr>
      </w:pPr>
      <w:r>
        <w:t>Schema evolution creates a predictable diagnostic hazard: a newly introduced requirement can make older valid records appear defective if the engine blindly evaluates everything against the newest contract. BASE SERVICE therefore evaluates a structure against the contract version applicable to that structure.</w:t>
      </w:r>
    </w:p>
    <w:p w14:paraId="7E7060EE" w14:textId="77777777" w:rsidR="00F14BB8" w:rsidRDefault="00A65DEB">
      <w:pPr>
        <w:spacing w:before="160" w:after="80"/>
        <w:jc w:val="center"/>
        <w:rPr>
          <w:rFonts w:hint="eastAsia"/>
        </w:rPr>
      </w:pPr>
      <w:r>
        <w:rPr>
          <w:noProof/>
        </w:rPr>
        <w:drawing>
          <wp:inline distT="0" distB="0" distL="0" distR="0" wp14:anchorId="4CAF4911" wp14:editId="7B92E312">
            <wp:extent cx="6263640" cy="341020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_versioned_evaluation.png"/>
                    <pic:cNvPicPr/>
                  </pic:nvPicPr>
                  <pic:blipFill>
                    <a:blip r:embed="rId22"/>
                    <a:stretch>
                      <a:fillRect/>
                    </a:stretch>
                  </pic:blipFill>
                  <pic:spPr>
                    <a:xfrm>
                      <a:off x="0" y="0"/>
                      <a:ext cx="6263640" cy="3410204"/>
                    </a:xfrm>
                    <a:prstGeom prst="rect">
                      <a:avLst/>
                    </a:prstGeom>
                  </pic:spPr>
                </pic:pic>
              </a:graphicData>
            </a:graphic>
          </wp:inline>
        </w:drawing>
      </w:r>
    </w:p>
    <w:p w14:paraId="384373BC" w14:textId="77777777" w:rsidR="00F14BB8" w:rsidRDefault="00A65DEB">
      <w:pPr>
        <w:keepNext/>
        <w:spacing w:after="180"/>
        <w:jc w:val="center"/>
        <w:rPr>
          <w:rFonts w:hint="eastAsia"/>
        </w:rPr>
      </w:pPr>
      <w:r>
        <w:rPr>
          <w:b/>
          <w:color w:val="4F81BD"/>
          <w:sz w:val="19"/>
        </w:rPr>
        <w:t xml:space="preserve">Figure 15. </w:t>
      </w:r>
      <w:r>
        <w:rPr>
          <w:color w:val="56626E"/>
          <w:sz w:val="19"/>
        </w:rPr>
        <w:t>Older structures remain valid against their applicable contract version; migration to a newer contract is a separate governed service operation.</w:t>
      </w:r>
    </w:p>
    <w:p w14:paraId="0EBBD515" w14:textId="77777777" w:rsidR="00F14BB8" w:rsidRDefault="00A65DEB">
      <w:pPr>
        <w:pStyle w:val="Heading2"/>
        <w:spacing w:after="80"/>
      </w:pPr>
      <w:r>
        <w:rPr>
          <w:rFonts w:ascii="Carlito" w:hAnsi="Carlito"/>
        </w:rPr>
        <w:t>16.1 Migration is not retroactive failure</w:t>
      </w:r>
    </w:p>
    <w:p w14:paraId="56EA3BAD" w14:textId="77777777" w:rsidR="00F14BB8" w:rsidRDefault="00A65DEB">
      <w:pPr>
        <w:spacing w:after="140" w:line="259" w:lineRule="auto"/>
        <w:rPr>
          <w:rFonts w:hint="eastAsia"/>
        </w:rPr>
      </w:pPr>
      <w:r>
        <w:t>If contract v2.0 adds a new required Field, a v1.0 record does not become historically malformed merely because v2.0 now exists. The system may create migration work if policy requires upgrading the record, but that is different from claiming the record violated its original contract. Version-aware evaluation preserves historical integrity and makes upgrade policy explicit.</w:t>
      </w:r>
    </w:p>
    <w:p w14:paraId="73004CC3" w14:textId="77777777" w:rsidR="00F14BB8" w:rsidRDefault="00A65DEB">
      <w:pPr>
        <w:pStyle w:val="Heading2"/>
        <w:spacing w:after="80"/>
      </w:pPr>
      <w:r>
        <w:rPr>
          <w:rFonts w:ascii="Carlito" w:hAnsi="Carlito"/>
        </w:rPr>
        <w:t>16.2 Diagnostic history</w:t>
      </w:r>
    </w:p>
    <w:p w14:paraId="6D8DCAC6" w14:textId="77777777" w:rsidR="00F14BB8" w:rsidRDefault="00A65DEB">
      <w:pPr>
        <w:spacing w:after="140" w:line="259" w:lineRule="auto"/>
        <w:rPr>
          <w:rFonts w:hint="eastAsia"/>
        </w:rPr>
      </w:pPr>
      <w:r>
        <w:t>Findings should retain the contract version used for evaluation. This allows later reconstruction of why a record was classified as Fix or Warning at a particular time, even after the Base schema has evolved. A diagnostic history without version context is not reliably interpretable.</w:t>
      </w:r>
    </w:p>
    <w:p w14:paraId="73A90A62" w14:textId="77777777" w:rsidR="00F14BB8" w:rsidRDefault="00A65DEB">
      <w:pPr>
        <w:pStyle w:val="Heading1"/>
        <w:spacing w:before="260" w:after="120"/>
      </w:pPr>
      <w:r>
        <w:rPr>
          <w:rFonts w:ascii="Carlito" w:hAnsi="Carlito"/>
        </w:rPr>
        <w:t>17. Conformance Scenarios</w:t>
      </w:r>
    </w:p>
    <w:p w14:paraId="37004691" w14:textId="77777777" w:rsidR="00F14BB8" w:rsidRDefault="00A65DEB">
      <w:pPr>
        <w:spacing w:after="140" w:line="259" w:lineRule="auto"/>
        <w:rPr>
          <w:rFonts w:hint="eastAsia"/>
        </w:rPr>
      </w:pPr>
      <w:r>
        <w:t>The following scenarios summarize the intended behavior of the architecture. They are illustrative conformance cases rather than exhaustive implementation tests.</w:t>
      </w:r>
    </w:p>
    <w:tbl>
      <w:tblPr>
        <w:tblStyle w:val="TableGrid"/>
        <w:tblW w:w="0" w:type="auto"/>
        <w:jc w:val="center"/>
        <w:tblLook w:val="04A0" w:firstRow="1" w:lastRow="0" w:firstColumn="1" w:lastColumn="0" w:noHBand="0" w:noVBand="1"/>
      </w:tblPr>
      <w:tblGrid>
        <w:gridCol w:w="2088"/>
        <w:gridCol w:w="3960"/>
        <w:gridCol w:w="3600"/>
      </w:tblGrid>
      <w:tr w:rsidR="00F14BB8" w14:paraId="3A4F18BB" w14:textId="77777777">
        <w:trPr>
          <w:tblHeader/>
          <w:jc w:val="center"/>
        </w:trPr>
        <w:tc>
          <w:tcPr>
            <w:tcW w:w="2088" w:type="dxa"/>
            <w:shd w:val="clear" w:color="auto" w:fill="17365D"/>
            <w:tcMar>
              <w:top w:w="110" w:type="dxa"/>
              <w:left w:w="110" w:type="dxa"/>
              <w:bottom w:w="110" w:type="dxa"/>
              <w:right w:w="110" w:type="dxa"/>
            </w:tcMar>
            <w:vAlign w:val="center"/>
          </w:tcPr>
          <w:p w14:paraId="209FF0FC" w14:textId="77777777" w:rsidR="00F14BB8" w:rsidRDefault="00A65DEB">
            <w:pPr>
              <w:rPr>
                <w:rFonts w:hint="eastAsia"/>
              </w:rPr>
            </w:pPr>
            <w:r>
              <w:rPr>
                <w:b/>
                <w:color w:val="FFFFFF"/>
                <w:sz w:val="19"/>
              </w:rPr>
              <w:t>Scenario</w:t>
            </w:r>
          </w:p>
        </w:tc>
        <w:tc>
          <w:tcPr>
            <w:tcW w:w="3960" w:type="dxa"/>
            <w:shd w:val="clear" w:color="auto" w:fill="17365D"/>
            <w:tcMar>
              <w:top w:w="110" w:type="dxa"/>
              <w:left w:w="110" w:type="dxa"/>
              <w:bottom w:w="110" w:type="dxa"/>
              <w:right w:w="110" w:type="dxa"/>
            </w:tcMar>
            <w:vAlign w:val="center"/>
          </w:tcPr>
          <w:p w14:paraId="32ECB1E3" w14:textId="77777777" w:rsidR="00F14BB8" w:rsidRDefault="00A65DEB">
            <w:pPr>
              <w:rPr>
                <w:rFonts w:hint="eastAsia"/>
              </w:rPr>
            </w:pPr>
            <w:r>
              <w:rPr>
                <w:b/>
                <w:color w:val="FFFFFF"/>
                <w:sz w:val="19"/>
              </w:rPr>
              <w:t>Observed condition</w:t>
            </w:r>
          </w:p>
        </w:tc>
        <w:tc>
          <w:tcPr>
            <w:tcW w:w="3600" w:type="dxa"/>
            <w:shd w:val="clear" w:color="auto" w:fill="17365D"/>
            <w:tcMar>
              <w:top w:w="110" w:type="dxa"/>
              <w:left w:w="110" w:type="dxa"/>
              <w:bottom w:w="110" w:type="dxa"/>
              <w:right w:w="110" w:type="dxa"/>
            </w:tcMar>
            <w:vAlign w:val="center"/>
          </w:tcPr>
          <w:p w14:paraId="3D71301A" w14:textId="77777777" w:rsidR="00F14BB8" w:rsidRDefault="00A65DEB">
            <w:pPr>
              <w:rPr>
                <w:rFonts w:hint="eastAsia"/>
              </w:rPr>
            </w:pPr>
            <w:r>
              <w:rPr>
                <w:b/>
                <w:color w:val="FFFFFF"/>
                <w:sz w:val="19"/>
              </w:rPr>
              <w:t>Expected result</w:t>
            </w:r>
          </w:p>
        </w:tc>
      </w:tr>
      <w:tr w:rsidR="00F14BB8" w14:paraId="31830E3B" w14:textId="77777777">
        <w:trPr>
          <w:jc w:val="center"/>
        </w:trPr>
        <w:tc>
          <w:tcPr>
            <w:tcW w:w="2088" w:type="dxa"/>
            <w:shd w:val="clear" w:color="auto" w:fill="FFFFFF"/>
            <w:tcMar>
              <w:top w:w="100" w:type="dxa"/>
              <w:left w:w="110" w:type="dxa"/>
              <w:bottom w:w="100" w:type="dxa"/>
              <w:right w:w="110" w:type="dxa"/>
            </w:tcMar>
            <w:vAlign w:val="center"/>
          </w:tcPr>
          <w:p w14:paraId="07749C1F" w14:textId="77777777" w:rsidR="00F14BB8" w:rsidRDefault="00A65DEB">
            <w:pPr>
              <w:rPr>
                <w:rFonts w:hint="eastAsia"/>
              </w:rPr>
            </w:pPr>
            <w:r>
              <w:rPr>
                <w:sz w:val="17"/>
              </w:rPr>
              <w:t>Required Formula missing</w:t>
            </w:r>
          </w:p>
        </w:tc>
        <w:tc>
          <w:tcPr>
            <w:tcW w:w="3960" w:type="dxa"/>
            <w:shd w:val="clear" w:color="auto" w:fill="FFFFFF"/>
            <w:tcMar>
              <w:top w:w="100" w:type="dxa"/>
              <w:left w:w="110" w:type="dxa"/>
              <w:bottom w:w="100" w:type="dxa"/>
              <w:right w:w="110" w:type="dxa"/>
            </w:tcMar>
            <w:vAlign w:val="center"/>
          </w:tcPr>
          <w:p w14:paraId="1F96111A" w14:textId="77777777" w:rsidR="00F14BB8" w:rsidRDefault="00A65DEB">
            <w:pPr>
              <w:rPr>
                <w:rFonts w:hint="eastAsia"/>
              </w:rPr>
            </w:pPr>
            <w:r>
              <w:rPr>
                <w:sz w:val="17"/>
              </w:rPr>
              <w:t>Computational BitGroup has zero Formula targets.</w:t>
            </w:r>
          </w:p>
        </w:tc>
        <w:tc>
          <w:tcPr>
            <w:tcW w:w="3600" w:type="dxa"/>
            <w:shd w:val="clear" w:color="auto" w:fill="FFFFFF"/>
            <w:tcMar>
              <w:top w:w="100" w:type="dxa"/>
              <w:left w:w="110" w:type="dxa"/>
              <w:bottom w:w="100" w:type="dxa"/>
              <w:right w:w="110" w:type="dxa"/>
            </w:tcMar>
            <w:vAlign w:val="center"/>
          </w:tcPr>
          <w:p w14:paraId="5B1AE2FE" w14:textId="77777777" w:rsidR="00F14BB8" w:rsidRDefault="00A65DEB">
            <w:pPr>
              <w:rPr>
                <w:rFonts w:hint="eastAsia"/>
              </w:rPr>
            </w:pPr>
            <w:r>
              <w:rPr>
                <w:sz w:val="17"/>
              </w:rPr>
              <w:t>Fix at the exact Formula contract coordinate; dependent structures receive impact, not duplicate local Fixes.</w:t>
            </w:r>
          </w:p>
        </w:tc>
      </w:tr>
      <w:tr w:rsidR="00F14BB8" w14:paraId="0BE3E831" w14:textId="77777777">
        <w:trPr>
          <w:jc w:val="center"/>
        </w:trPr>
        <w:tc>
          <w:tcPr>
            <w:tcW w:w="2088" w:type="dxa"/>
            <w:shd w:val="clear" w:color="auto" w:fill="F7F9FB"/>
            <w:tcMar>
              <w:top w:w="100" w:type="dxa"/>
              <w:left w:w="110" w:type="dxa"/>
              <w:bottom w:w="100" w:type="dxa"/>
              <w:right w:w="110" w:type="dxa"/>
            </w:tcMar>
            <w:vAlign w:val="center"/>
          </w:tcPr>
          <w:p w14:paraId="0BC5ACC0" w14:textId="77777777" w:rsidR="00F14BB8" w:rsidRDefault="00A65DEB">
            <w:pPr>
              <w:rPr>
                <w:rFonts w:hint="eastAsia"/>
              </w:rPr>
            </w:pPr>
            <w:r>
              <w:rPr>
                <w:sz w:val="17"/>
              </w:rPr>
              <w:t>Wrong Formula target type</w:t>
            </w:r>
          </w:p>
        </w:tc>
        <w:tc>
          <w:tcPr>
            <w:tcW w:w="3960" w:type="dxa"/>
            <w:shd w:val="clear" w:color="auto" w:fill="F7F9FB"/>
            <w:tcMar>
              <w:top w:w="100" w:type="dxa"/>
              <w:left w:w="110" w:type="dxa"/>
              <w:bottom w:w="100" w:type="dxa"/>
              <w:right w:w="110" w:type="dxa"/>
            </w:tcMar>
            <w:vAlign w:val="center"/>
          </w:tcPr>
          <w:p w14:paraId="398107E2" w14:textId="77777777" w:rsidR="00F14BB8" w:rsidRDefault="00A65DEB">
            <w:pPr>
              <w:rPr>
                <w:rFonts w:hint="eastAsia"/>
              </w:rPr>
            </w:pPr>
            <w:r>
              <w:rPr>
                <w:sz w:val="17"/>
              </w:rPr>
              <w:t>Formula field resolves to an object outside the permitted target class.</w:t>
            </w:r>
          </w:p>
        </w:tc>
        <w:tc>
          <w:tcPr>
            <w:tcW w:w="3600" w:type="dxa"/>
            <w:shd w:val="clear" w:color="auto" w:fill="F7F9FB"/>
            <w:tcMar>
              <w:top w:w="100" w:type="dxa"/>
              <w:left w:w="110" w:type="dxa"/>
              <w:bottom w:w="100" w:type="dxa"/>
              <w:right w:w="110" w:type="dxa"/>
            </w:tcMar>
            <w:vAlign w:val="center"/>
          </w:tcPr>
          <w:p w14:paraId="2618438B" w14:textId="77777777" w:rsidR="00F14BB8" w:rsidRDefault="00A65DEB">
            <w:pPr>
              <w:rPr>
                <w:rFonts w:hint="eastAsia"/>
              </w:rPr>
            </w:pPr>
            <w:r>
              <w:rPr>
                <w:sz w:val="17"/>
              </w:rPr>
              <w:t>Forbidden for the affected computation if the contract declares incompatible targets invalid.</w:t>
            </w:r>
          </w:p>
        </w:tc>
      </w:tr>
      <w:tr w:rsidR="00F14BB8" w14:paraId="66FB015E" w14:textId="77777777">
        <w:trPr>
          <w:jc w:val="center"/>
        </w:trPr>
        <w:tc>
          <w:tcPr>
            <w:tcW w:w="2088" w:type="dxa"/>
            <w:shd w:val="clear" w:color="auto" w:fill="FFFFFF"/>
            <w:tcMar>
              <w:top w:w="100" w:type="dxa"/>
              <w:left w:w="110" w:type="dxa"/>
              <w:bottom w:w="100" w:type="dxa"/>
              <w:right w:w="110" w:type="dxa"/>
            </w:tcMar>
            <w:vAlign w:val="center"/>
          </w:tcPr>
          <w:p w14:paraId="414F5839" w14:textId="77777777" w:rsidR="00F14BB8" w:rsidRDefault="00A65DEB">
            <w:pPr>
              <w:rPr>
                <w:rFonts w:hint="eastAsia"/>
              </w:rPr>
            </w:pPr>
            <w:r>
              <w:rPr>
                <w:sz w:val="17"/>
              </w:rPr>
              <w:t>Preferred Family absent</w:t>
            </w:r>
          </w:p>
        </w:tc>
        <w:tc>
          <w:tcPr>
            <w:tcW w:w="3960" w:type="dxa"/>
            <w:shd w:val="clear" w:color="auto" w:fill="FFFFFF"/>
            <w:tcMar>
              <w:top w:w="100" w:type="dxa"/>
              <w:left w:w="110" w:type="dxa"/>
              <w:bottom w:w="100" w:type="dxa"/>
              <w:right w:w="110" w:type="dxa"/>
            </w:tcMar>
            <w:vAlign w:val="center"/>
          </w:tcPr>
          <w:p w14:paraId="1BF853EF" w14:textId="77777777" w:rsidR="00F14BB8" w:rsidRDefault="00A65DEB">
            <w:pPr>
              <w:rPr>
                <w:rFonts w:hint="eastAsia"/>
              </w:rPr>
            </w:pPr>
            <w:r>
              <w:rPr>
                <w:sz w:val="17"/>
              </w:rPr>
              <w:t>Operational BitWord satisfies all computational requirements but lacks a preferred Family relationship.</w:t>
            </w:r>
          </w:p>
        </w:tc>
        <w:tc>
          <w:tcPr>
            <w:tcW w:w="3600" w:type="dxa"/>
            <w:shd w:val="clear" w:color="auto" w:fill="FFFFFF"/>
            <w:tcMar>
              <w:top w:w="100" w:type="dxa"/>
              <w:left w:w="110" w:type="dxa"/>
              <w:bottom w:w="100" w:type="dxa"/>
              <w:right w:w="110" w:type="dxa"/>
            </w:tcMar>
            <w:vAlign w:val="center"/>
          </w:tcPr>
          <w:p w14:paraId="20B8A768" w14:textId="77777777" w:rsidR="00F14BB8" w:rsidRDefault="00A65DEB">
            <w:pPr>
              <w:rPr>
                <w:rFonts w:hint="eastAsia"/>
              </w:rPr>
            </w:pPr>
            <w:r>
              <w:rPr>
                <w:sz w:val="17"/>
              </w:rPr>
              <w:t>Warning or Okay according to the applicable contract; never penalize as if computation were broken.</w:t>
            </w:r>
          </w:p>
        </w:tc>
      </w:tr>
      <w:tr w:rsidR="00F14BB8" w14:paraId="0CAF8029" w14:textId="77777777">
        <w:trPr>
          <w:jc w:val="center"/>
        </w:trPr>
        <w:tc>
          <w:tcPr>
            <w:tcW w:w="2088" w:type="dxa"/>
            <w:shd w:val="clear" w:color="auto" w:fill="F7F9FB"/>
            <w:tcMar>
              <w:top w:w="100" w:type="dxa"/>
              <w:left w:w="110" w:type="dxa"/>
              <w:bottom w:w="100" w:type="dxa"/>
              <w:right w:w="110" w:type="dxa"/>
            </w:tcMar>
            <w:vAlign w:val="center"/>
          </w:tcPr>
          <w:p w14:paraId="46706304" w14:textId="77777777" w:rsidR="00F14BB8" w:rsidRDefault="00A65DEB">
            <w:pPr>
              <w:rPr>
                <w:rFonts w:hint="eastAsia"/>
              </w:rPr>
            </w:pPr>
            <w:r>
              <w:rPr>
                <w:sz w:val="17"/>
              </w:rPr>
              <w:t>Sparse but complete object</w:t>
            </w:r>
          </w:p>
        </w:tc>
        <w:tc>
          <w:tcPr>
            <w:tcW w:w="3960" w:type="dxa"/>
            <w:shd w:val="clear" w:color="auto" w:fill="F7F9FB"/>
            <w:tcMar>
              <w:top w:w="100" w:type="dxa"/>
              <w:left w:w="110" w:type="dxa"/>
              <w:bottom w:w="100" w:type="dxa"/>
              <w:right w:w="110" w:type="dxa"/>
            </w:tcMar>
            <w:vAlign w:val="center"/>
          </w:tcPr>
          <w:p w14:paraId="6093718F" w14:textId="77777777" w:rsidR="00F14BB8" w:rsidRDefault="00A65DEB">
            <w:pPr>
              <w:rPr>
                <w:rFonts w:hint="eastAsia"/>
              </w:rPr>
            </w:pPr>
            <w:r>
              <w:rPr>
                <w:sz w:val="17"/>
              </w:rPr>
              <w:t>Object populates only the fields required for its declared role.</w:t>
            </w:r>
          </w:p>
        </w:tc>
        <w:tc>
          <w:tcPr>
            <w:tcW w:w="3600" w:type="dxa"/>
            <w:shd w:val="clear" w:color="auto" w:fill="F7F9FB"/>
            <w:tcMar>
              <w:top w:w="100" w:type="dxa"/>
              <w:left w:w="110" w:type="dxa"/>
              <w:bottom w:w="100" w:type="dxa"/>
              <w:right w:w="110" w:type="dxa"/>
            </w:tcMar>
            <w:vAlign w:val="center"/>
          </w:tcPr>
          <w:p w14:paraId="13786460" w14:textId="77777777" w:rsidR="00F14BB8" w:rsidRDefault="00A65DEB">
            <w:pPr>
              <w:rPr>
                <w:rFonts w:hint="eastAsia"/>
              </w:rPr>
            </w:pPr>
            <w:r>
              <w:rPr>
                <w:sz w:val="17"/>
              </w:rPr>
              <w:t>Okay; Ideal if no applicable preferred condition remains.</w:t>
            </w:r>
          </w:p>
        </w:tc>
      </w:tr>
      <w:tr w:rsidR="00F14BB8" w14:paraId="0069288E" w14:textId="77777777">
        <w:trPr>
          <w:jc w:val="center"/>
        </w:trPr>
        <w:tc>
          <w:tcPr>
            <w:tcW w:w="2088" w:type="dxa"/>
            <w:shd w:val="clear" w:color="auto" w:fill="FFFFFF"/>
            <w:tcMar>
              <w:top w:w="100" w:type="dxa"/>
              <w:left w:w="110" w:type="dxa"/>
              <w:bottom w:w="100" w:type="dxa"/>
              <w:right w:w="110" w:type="dxa"/>
            </w:tcMar>
            <w:vAlign w:val="center"/>
          </w:tcPr>
          <w:p w14:paraId="43D44ABC" w14:textId="77777777" w:rsidR="00F14BB8" w:rsidRDefault="00A65DEB">
            <w:pPr>
              <w:rPr>
                <w:rFonts w:hint="eastAsia"/>
              </w:rPr>
            </w:pPr>
            <w:r>
              <w:rPr>
                <w:sz w:val="17"/>
              </w:rPr>
              <w:t>Redundant copied metadata</w:t>
            </w:r>
          </w:p>
        </w:tc>
        <w:tc>
          <w:tcPr>
            <w:tcW w:w="3960" w:type="dxa"/>
            <w:shd w:val="clear" w:color="auto" w:fill="FFFFFF"/>
            <w:tcMar>
              <w:top w:w="100" w:type="dxa"/>
              <w:left w:w="110" w:type="dxa"/>
              <w:bottom w:w="100" w:type="dxa"/>
              <w:right w:w="110" w:type="dxa"/>
            </w:tcMar>
            <w:vAlign w:val="center"/>
          </w:tcPr>
          <w:p w14:paraId="4243DDB9" w14:textId="77777777" w:rsidR="00F14BB8" w:rsidRDefault="00A65DEB">
            <w:pPr>
              <w:rPr>
                <w:rFonts w:hint="eastAsia"/>
              </w:rPr>
            </w:pPr>
            <w:r>
              <w:rPr>
                <w:sz w:val="17"/>
              </w:rPr>
              <w:t>A derived value is independently stored and can drift from canonical ownership.</w:t>
            </w:r>
          </w:p>
        </w:tc>
        <w:tc>
          <w:tcPr>
            <w:tcW w:w="3600" w:type="dxa"/>
            <w:shd w:val="clear" w:color="auto" w:fill="FFFFFF"/>
            <w:tcMar>
              <w:top w:w="100" w:type="dxa"/>
              <w:left w:w="110" w:type="dxa"/>
              <w:bottom w:w="100" w:type="dxa"/>
              <w:right w:w="110" w:type="dxa"/>
            </w:tcMar>
            <w:vAlign w:val="center"/>
          </w:tcPr>
          <w:p w14:paraId="409DCA5D" w14:textId="77777777" w:rsidR="00F14BB8" w:rsidRDefault="00A65DEB">
            <w:pPr>
              <w:rPr>
                <w:rFonts w:hint="eastAsia"/>
              </w:rPr>
            </w:pPr>
            <w:r>
              <w:rPr>
                <w:sz w:val="17"/>
              </w:rPr>
              <w:t>Warning under a redundancy/cleanup diagnostic; do not reward extra population.</w:t>
            </w:r>
          </w:p>
        </w:tc>
      </w:tr>
      <w:tr w:rsidR="00F14BB8" w14:paraId="7D23B55C" w14:textId="77777777">
        <w:trPr>
          <w:jc w:val="center"/>
        </w:trPr>
        <w:tc>
          <w:tcPr>
            <w:tcW w:w="2088" w:type="dxa"/>
            <w:shd w:val="clear" w:color="auto" w:fill="F7F9FB"/>
            <w:tcMar>
              <w:top w:w="100" w:type="dxa"/>
              <w:left w:w="110" w:type="dxa"/>
              <w:bottom w:w="100" w:type="dxa"/>
              <w:right w:w="110" w:type="dxa"/>
            </w:tcMar>
            <w:vAlign w:val="center"/>
          </w:tcPr>
          <w:p w14:paraId="5D459019" w14:textId="77777777" w:rsidR="00F14BB8" w:rsidRDefault="00A65DEB">
            <w:pPr>
              <w:rPr>
                <w:rFonts w:hint="eastAsia"/>
              </w:rPr>
            </w:pPr>
            <w:r>
              <w:rPr>
                <w:sz w:val="17"/>
              </w:rPr>
              <w:t>One fault, many dependents</w:t>
            </w:r>
          </w:p>
        </w:tc>
        <w:tc>
          <w:tcPr>
            <w:tcW w:w="3960" w:type="dxa"/>
            <w:shd w:val="clear" w:color="auto" w:fill="F7F9FB"/>
            <w:tcMar>
              <w:top w:w="100" w:type="dxa"/>
              <w:left w:w="110" w:type="dxa"/>
              <w:bottom w:w="100" w:type="dxa"/>
              <w:right w:w="110" w:type="dxa"/>
            </w:tcMar>
            <w:vAlign w:val="center"/>
          </w:tcPr>
          <w:p w14:paraId="50B5F7FB" w14:textId="77777777" w:rsidR="00F14BB8" w:rsidRDefault="00A65DEB">
            <w:pPr>
              <w:rPr>
                <w:rFonts w:hint="eastAsia"/>
              </w:rPr>
            </w:pPr>
            <w:r>
              <w:rPr>
                <w:sz w:val="17"/>
              </w:rPr>
              <w:t>Central reusable object violates one local contract and thousands depend on it.</w:t>
            </w:r>
          </w:p>
        </w:tc>
        <w:tc>
          <w:tcPr>
            <w:tcW w:w="3600" w:type="dxa"/>
            <w:shd w:val="clear" w:color="auto" w:fill="F7F9FB"/>
            <w:tcMar>
              <w:top w:w="100" w:type="dxa"/>
              <w:left w:w="110" w:type="dxa"/>
              <w:bottom w:w="100" w:type="dxa"/>
              <w:right w:w="110" w:type="dxa"/>
            </w:tcMar>
            <w:vAlign w:val="center"/>
          </w:tcPr>
          <w:p w14:paraId="6FF74BCC" w14:textId="77777777" w:rsidR="00F14BB8" w:rsidRDefault="00A65DEB">
            <w:pPr>
              <w:rPr>
                <w:rFonts w:hint="eastAsia"/>
              </w:rPr>
            </w:pPr>
            <w:r>
              <w:rPr>
                <w:sz w:val="17"/>
              </w:rPr>
              <w:t>One local defect plus propagated impact references; service priority may rise with dependency reach.</w:t>
            </w:r>
          </w:p>
        </w:tc>
      </w:tr>
      <w:tr w:rsidR="00F14BB8" w14:paraId="4BB5FE44" w14:textId="77777777">
        <w:trPr>
          <w:jc w:val="center"/>
        </w:trPr>
        <w:tc>
          <w:tcPr>
            <w:tcW w:w="2088" w:type="dxa"/>
            <w:shd w:val="clear" w:color="auto" w:fill="FFFFFF"/>
            <w:tcMar>
              <w:top w:w="100" w:type="dxa"/>
              <w:left w:w="110" w:type="dxa"/>
              <w:bottom w:w="100" w:type="dxa"/>
              <w:right w:w="110" w:type="dxa"/>
            </w:tcMar>
            <w:vAlign w:val="center"/>
          </w:tcPr>
          <w:p w14:paraId="5DF18BF9" w14:textId="77777777" w:rsidR="00F14BB8" w:rsidRDefault="00A65DEB">
            <w:pPr>
              <w:rPr>
                <w:rFonts w:hint="eastAsia"/>
              </w:rPr>
            </w:pPr>
            <w:r>
              <w:rPr>
                <w:sz w:val="17"/>
              </w:rPr>
              <w:t>Alert manually closed</w:t>
            </w:r>
          </w:p>
        </w:tc>
        <w:tc>
          <w:tcPr>
            <w:tcW w:w="3960" w:type="dxa"/>
            <w:shd w:val="clear" w:color="auto" w:fill="FFFFFF"/>
            <w:tcMar>
              <w:top w:w="100" w:type="dxa"/>
              <w:left w:w="110" w:type="dxa"/>
              <w:bottom w:w="100" w:type="dxa"/>
              <w:right w:w="110" w:type="dxa"/>
            </w:tcMar>
            <w:vAlign w:val="center"/>
          </w:tcPr>
          <w:p w14:paraId="1693AB8C" w14:textId="77777777" w:rsidR="00F14BB8" w:rsidRDefault="00A65DEB">
            <w:pPr>
              <w:rPr>
                <w:rFonts w:hint="eastAsia"/>
              </w:rPr>
            </w:pPr>
            <w:r>
              <w:rPr>
                <w:sz w:val="17"/>
              </w:rPr>
              <w:t>Service record is marked resolved while source contract still fails.</w:t>
            </w:r>
          </w:p>
        </w:tc>
        <w:tc>
          <w:tcPr>
            <w:tcW w:w="3600" w:type="dxa"/>
            <w:shd w:val="clear" w:color="auto" w:fill="FFFFFF"/>
            <w:tcMar>
              <w:top w:w="100" w:type="dxa"/>
              <w:left w:w="110" w:type="dxa"/>
              <w:bottom w:w="100" w:type="dxa"/>
              <w:right w:w="110" w:type="dxa"/>
            </w:tcMar>
            <w:vAlign w:val="center"/>
          </w:tcPr>
          <w:p w14:paraId="3A28D667" w14:textId="77777777" w:rsidR="00F14BB8" w:rsidRDefault="00A65DEB">
            <w:pPr>
              <w:rPr>
                <w:rFonts w:hint="eastAsia"/>
              </w:rPr>
            </w:pPr>
            <w:r>
              <w:rPr>
                <w:sz w:val="17"/>
              </w:rPr>
              <w:t>Finding remains open or is regenerated; canonical evidence controls current state.</w:t>
            </w:r>
          </w:p>
        </w:tc>
      </w:tr>
      <w:tr w:rsidR="00F14BB8" w14:paraId="4AB6D54D" w14:textId="77777777">
        <w:trPr>
          <w:jc w:val="center"/>
        </w:trPr>
        <w:tc>
          <w:tcPr>
            <w:tcW w:w="2088" w:type="dxa"/>
            <w:shd w:val="clear" w:color="auto" w:fill="F7F9FB"/>
            <w:tcMar>
              <w:top w:w="100" w:type="dxa"/>
              <w:left w:w="110" w:type="dxa"/>
              <w:bottom w:w="100" w:type="dxa"/>
              <w:right w:w="110" w:type="dxa"/>
            </w:tcMar>
            <w:vAlign w:val="center"/>
          </w:tcPr>
          <w:p w14:paraId="1FE8502B" w14:textId="77777777" w:rsidR="00F14BB8" w:rsidRDefault="00A65DEB">
            <w:pPr>
              <w:rPr>
                <w:rFonts w:hint="eastAsia"/>
              </w:rPr>
            </w:pPr>
            <w:r>
              <w:rPr>
                <w:sz w:val="17"/>
              </w:rPr>
              <w:t>Source repaired</w:t>
            </w:r>
          </w:p>
        </w:tc>
        <w:tc>
          <w:tcPr>
            <w:tcW w:w="3960" w:type="dxa"/>
            <w:shd w:val="clear" w:color="auto" w:fill="F7F9FB"/>
            <w:tcMar>
              <w:top w:w="100" w:type="dxa"/>
              <w:left w:w="110" w:type="dxa"/>
              <w:bottom w:w="100" w:type="dxa"/>
              <w:right w:w="110" w:type="dxa"/>
            </w:tcMar>
            <w:vAlign w:val="center"/>
          </w:tcPr>
          <w:p w14:paraId="2E5856D1" w14:textId="77777777" w:rsidR="00F14BB8" w:rsidRDefault="00A65DEB">
            <w:pPr>
              <w:rPr>
                <w:rFonts w:hint="eastAsia"/>
              </w:rPr>
            </w:pPr>
            <w:r>
              <w:rPr>
                <w:sz w:val="17"/>
              </w:rPr>
              <w:t>Canonical structure is corrected and the relevant contract passes reinspection.</w:t>
            </w:r>
          </w:p>
        </w:tc>
        <w:tc>
          <w:tcPr>
            <w:tcW w:w="3600" w:type="dxa"/>
            <w:shd w:val="clear" w:color="auto" w:fill="F7F9FB"/>
            <w:tcMar>
              <w:top w:w="100" w:type="dxa"/>
              <w:left w:w="110" w:type="dxa"/>
              <w:bottom w:w="100" w:type="dxa"/>
              <w:right w:w="110" w:type="dxa"/>
            </w:tcMar>
            <w:vAlign w:val="center"/>
          </w:tcPr>
          <w:p w14:paraId="0E075790" w14:textId="77777777" w:rsidR="00F14BB8" w:rsidRDefault="00A65DEB">
            <w:pPr>
              <w:rPr>
                <w:rFonts w:hint="eastAsia"/>
              </w:rPr>
            </w:pPr>
            <w:r>
              <w:rPr>
                <w:sz w:val="17"/>
              </w:rPr>
              <w:t>Service finding resolves; downstream impacts recalculate.</w:t>
            </w:r>
          </w:p>
        </w:tc>
      </w:tr>
      <w:tr w:rsidR="00F14BB8" w14:paraId="3A0B4D31" w14:textId="77777777">
        <w:trPr>
          <w:jc w:val="center"/>
        </w:trPr>
        <w:tc>
          <w:tcPr>
            <w:tcW w:w="2088" w:type="dxa"/>
            <w:shd w:val="clear" w:color="auto" w:fill="FFFFFF"/>
            <w:tcMar>
              <w:top w:w="100" w:type="dxa"/>
              <w:left w:w="110" w:type="dxa"/>
              <w:bottom w:w="100" w:type="dxa"/>
              <w:right w:w="110" w:type="dxa"/>
            </w:tcMar>
            <w:vAlign w:val="center"/>
          </w:tcPr>
          <w:p w14:paraId="6321C855" w14:textId="77777777" w:rsidR="00F14BB8" w:rsidRDefault="00A65DEB">
            <w:pPr>
              <w:rPr>
                <w:rFonts w:hint="eastAsia"/>
              </w:rPr>
            </w:pPr>
            <w:r>
              <w:rPr>
                <w:sz w:val="17"/>
              </w:rPr>
              <w:t>Old object under old contract</w:t>
            </w:r>
          </w:p>
        </w:tc>
        <w:tc>
          <w:tcPr>
            <w:tcW w:w="3960" w:type="dxa"/>
            <w:shd w:val="clear" w:color="auto" w:fill="FFFFFF"/>
            <w:tcMar>
              <w:top w:w="100" w:type="dxa"/>
              <w:left w:w="110" w:type="dxa"/>
              <w:bottom w:w="100" w:type="dxa"/>
              <w:right w:w="110" w:type="dxa"/>
            </w:tcMar>
            <w:vAlign w:val="center"/>
          </w:tcPr>
          <w:p w14:paraId="220F4B28" w14:textId="77777777" w:rsidR="00F14BB8" w:rsidRDefault="00A65DEB">
            <w:pPr>
              <w:rPr>
                <w:rFonts w:hint="eastAsia"/>
              </w:rPr>
            </w:pPr>
            <w:r>
              <w:rPr>
                <w:sz w:val="17"/>
              </w:rPr>
              <w:t>v1.0 record passes v1.0 while v2.0 introduces new requirements.</w:t>
            </w:r>
          </w:p>
        </w:tc>
        <w:tc>
          <w:tcPr>
            <w:tcW w:w="3600" w:type="dxa"/>
            <w:shd w:val="clear" w:color="auto" w:fill="FFFFFF"/>
            <w:tcMar>
              <w:top w:w="100" w:type="dxa"/>
              <w:left w:w="110" w:type="dxa"/>
              <w:bottom w:w="100" w:type="dxa"/>
              <w:right w:w="110" w:type="dxa"/>
            </w:tcMar>
            <w:vAlign w:val="center"/>
          </w:tcPr>
          <w:p w14:paraId="3FC3150C" w14:textId="77777777" w:rsidR="00F14BB8" w:rsidRDefault="00A65DEB">
            <w:pPr>
              <w:rPr>
                <w:rFonts w:hint="eastAsia"/>
              </w:rPr>
            </w:pPr>
            <w:r>
              <w:rPr>
                <w:sz w:val="17"/>
              </w:rPr>
              <w:t>Pass under v1.0; optional migration service may be created separately.</w:t>
            </w:r>
          </w:p>
        </w:tc>
      </w:tr>
      <w:tr w:rsidR="00F14BB8" w14:paraId="675241DA" w14:textId="77777777">
        <w:trPr>
          <w:jc w:val="center"/>
        </w:trPr>
        <w:tc>
          <w:tcPr>
            <w:tcW w:w="2088" w:type="dxa"/>
            <w:shd w:val="clear" w:color="auto" w:fill="F7F9FB"/>
            <w:tcMar>
              <w:top w:w="100" w:type="dxa"/>
              <w:left w:w="110" w:type="dxa"/>
              <w:bottom w:w="100" w:type="dxa"/>
              <w:right w:w="110" w:type="dxa"/>
            </w:tcMar>
            <w:vAlign w:val="center"/>
          </w:tcPr>
          <w:p w14:paraId="5E9D36DA" w14:textId="77777777" w:rsidR="00F14BB8" w:rsidRDefault="00A65DEB">
            <w:pPr>
              <w:rPr>
                <w:rFonts w:hint="eastAsia"/>
              </w:rPr>
            </w:pPr>
            <w:r>
              <w:rPr>
                <w:sz w:val="17"/>
              </w:rPr>
              <w:t>AI unavailable</w:t>
            </w:r>
          </w:p>
        </w:tc>
        <w:tc>
          <w:tcPr>
            <w:tcW w:w="3960" w:type="dxa"/>
            <w:shd w:val="clear" w:color="auto" w:fill="F7F9FB"/>
            <w:tcMar>
              <w:top w:w="100" w:type="dxa"/>
              <w:left w:w="110" w:type="dxa"/>
              <w:bottom w:w="100" w:type="dxa"/>
              <w:right w:w="110" w:type="dxa"/>
            </w:tcMar>
            <w:vAlign w:val="center"/>
          </w:tcPr>
          <w:p w14:paraId="504E322B" w14:textId="77777777" w:rsidR="00F14BB8" w:rsidRDefault="00A65DEB">
            <w:pPr>
              <w:rPr>
                <w:rFonts w:hint="eastAsia"/>
              </w:rPr>
            </w:pPr>
            <w:r>
              <w:rPr>
                <w:sz w:val="17"/>
              </w:rPr>
              <w:t>All explicit structural contracts remain machine-readable.</w:t>
            </w:r>
          </w:p>
        </w:tc>
        <w:tc>
          <w:tcPr>
            <w:tcW w:w="3600" w:type="dxa"/>
            <w:shd w:val="clear" w:color="auto" w:fill="F7F9FB"/>
            <w:tcMar>
              <w:top w:w="100" w:type="dxa"/>
              <w:left w:w="110" w:type="dxa"/>
              <w:bottom w:w="100" w:type="dxa"/>
              <w:right w:w="110" w:type="dxa"/>
            </w:tcMar>
            <w:vAlign w:val="center"/>
          </w:tcPr>
          <w:p w14:paraId="62E787D1" w14:textId="77777777" w:rsidR="00F14BB8" w:rsidRDefault="00A65DEB">
            <w:pPr>
              <w:rPr>
                <w:rFonts w:hint="eastAsia"/>
              </w:rPr>
            </w:pPr>
            <w:r>
              <w:rPr>
                <w:sz w:val="17"/>
              </w:rPr>
              <w:t>Deterministic diagnostics continue to function; only optional explanation/assistance is unavailable.</w:t>
            </w:r>
          </w:p>
        </w:tc>
      </w:tr>
    </w:tbl>
    <w:p w14:paraId="59B53BBC" w14:textId="77777777" w:rsidR="00F14BB8" w:rsidRDefault="00F14BB8">
      <w:pPr>
        <w:spacing w:after="20"/>
        <w:rPr>
          <w:rFonts w:hint="eastAsia"/>
        </w:rPr>
      </w:pPr>
    </w:p>
    <w:p w14:paraId="18C17896" w14:textId="77777777" w:rsidR="00F14BB8" w:rsidRDefault="00A65DEB">
      <w:pPr>
        <w:pStyle w:val="Heading1"/>
        <w:spacing w:before="260" w:after="120"/>
      </w:pPr>
      <w:r>
        <w:rPr>
          <w:rFonts w:ascii="Carlito" w:hAnsi="Carlito"/>
        </w:rPr>
        <w:t>18. Design Laws and Bootstrap Implications</w:t>
      </w:r>
    </w:p>
    <w:p w14:paraId="513BCB70" w14:textId="77777777" w:rsidR="00F14BB8" w:rsidRDefault="00A65DEB">
      <w:pPr>
        <w:spacing w:after="140" w:line="259" w:lineRule="auto"/>
        <w:rPr>
          <w:rFonts w:hint="eastAsia"/>
        </w:rPr>
      </w:pPr>
      <w:r>
        <w:t>BASE SERVICE can be summarized as a small set of architectural laws. These laws are intended to remain stable even if the current Airtable implementation changes.</w:t>
      </w:r>
    </w:p>
    <w:tbl>
      <w:tblPr>
        <w:tblStyle w:val="TableGrid"/>
        <w:tblW w:w="0" w:type="auto"/>
        <w:jc w:val="center"/>
        <w:tblLook w:val="04A0" w:firstRow="1" w:lastRow="0" w:firstColumn="1" w:lastColumn="0" w:noHBand="0" w:noVBand="1"/>
      </w:tblPr>
      <w:tblGrid>
        <w:gridCol w:w="2952"/>
        <w:gridCol w:w="6696"/>
      </w:tblGrid>
      <w:tr w:rsidR="00F14BB8" w14:paraId="5B2CB83F" w14:textId="77777777">
        <w:trPr>
          <w:tblHeader/>
          <w:jc w:val="center"/>
        </w:trPr>
        <w:tc>
          <w:tcPr>
            <w:tcW w:w="2952" w:type="dxa"/>
            <w:shd w:val="clear" w:color="auto" w:fill="17365D"/>
            <w:tcMar>
              <w:top w:w="110" w:type="dxa"/>
              <w:left w:w="110" w:type="dxa"/>
              <w:bottom w:w="110" w:type="dxa"/>
              <w:right w:w="110" w:type="dxa"/>
            </w:tcMar>
            <w:vAlign w:val="center"/>
          </w:tcPr>
          <w:p w14:paraId="7DF86352" w14:textId="77777777" w:rsidR="00F14BB8" w:rsidRDefault="00A65DEB">
            <w:pPr>
              <w:rPr>
                <w:rFonts w:hint="eastAsia"/>
              </w:rPr>
            </w:pPr>
            <w:r>
              <w:rPr>
                <w:b/>
                <w:color w:val="FFFFFF"/>
                <w:sz w:val="19"/>
              </w:rPr>
              <w:t>Law</w:t>
            </w:r>
          </w:p>
        </w:tc>
        <w:tc>
          <w:tcPr>
            <w:tcW w:w="6696" w:type="dxa"/>
            <w:shd w:val="clear" w:color="auto" w:fill="17365D"/>
            <w:tcMar>
              <w:top w:w="110" w:type="dxa"/>
              <w:left w:w="110" w:type="dxa"/>
              <w:bottom w:w="110" w:type="dxa"/>
              <w:right w:w="110" w:type="dxa"/>
            </w:tcMar>
            <w:vAlign w:val="center"/>
          </w:tcPr>
          <w:p w14:paraId="3D07469D" w14:textId="77777777" w:rsidR="00F14BB8" w:rsidRDefault="00A65DEB">
            <w:pPr>
              <w:rPr>
                <w:rFonts w:hint="eastAsia"/>
              </w:rPr>
            </w:pPr>
            <w:r>
              <w:rPr>
                <w:b/>
                <w:color w:val="FFFFFF"/>
                <w:sz w:val="19"/>
              </w:rPr>
              <w:t>Statement</w:t>
            </w:r>
          </w:p>
        </w:tc>
      </w:tr>
      <w:tr w:rsidR="00F14BB8" w14:paraId="3E45A8BD" w14:textId="77777777">
        <w:trPr>
          <w:jc w:val="center"/>
        </w:trPr>
        <w:tc>
          <w:tcPr>
            <w:tcW w:w="2952" w:type="dxa"/>
            <w:shd w:val="clear" w:color="auto" w:fill="FFFFFF"/>
            <w:tcMar>
              <w:top w:w="100" w:type="dxa"/>
              <w:left w:w="110" w:type="dxa"/>
              <w:bottom w:w="100" w:type="dxa"/>
              <w:right w:w="110" w:type="dxa"/>
            </w:tcMar>
            <w:vAlign w:val="center"/>
          </w:tcPr>
          <w:p w14:paraId="5DA5201A" w14:textId="77777777" w:rsidR="00F14BB8" w:rsidRDefault="00A65DEB">
            <w:pPr>
              <w:rPr>
                <w:rFonts w:hint="eastAsia"/>
              </w:rPr>
            </w:pPr>
            <w:r>
              <w:rPr>
                <w:sz w:val="18"/>
              </w:rPr>
              <w:t>Declared Structure Law</w:t>
            </w:r>
          </w:p>
        </w:tc>
        <w:tc>
          <w:tcPr>
            <w:tcW w:w="6696" w:type="dxa"/>
            <w:shd w:val="clear" w:color="auto" w:fill="FFFFFF"/>
            <w:tcMar>
              <w:top w:w="100" w:type="dxa"/>
              <w:left w:w="110" w:type="dxa"/>
              <w:bottom w:w="100" w:type="dxa"/>
              <w:right w:w="110" w:type="dxa"/>
            </w:tcMar>
            <w:vAlign w:val="center"/>
          </w:tcPr>
          <w:p w14:paraId="22CD6FC5" w14:textId="77777777" w:rsidR="00F14BB8" w:rsidRDefault="00A65DEB">
            <w:pPr>
              <w:rPr>
                <w:rFonts w:hint="eastAsia"/>
              </w:rPr>
            </w:pPr>
            <w:r>
              <w:rPr>
                <w:sz w:val="18"/>
              </w:rPr>
              <w:t>A diagnostic expectation originates from a registered canonical contract.</w:t>
            </w:r>
          </w:p>
        </w:tc>
      </w:tr>
      <w:tr w:rsidR="00F14BB8" w14:paraId="432E8D7A" w14:textId="77777777">
        <w:trPr>
          <w:jc w:val="center"/>
        </w:trPr>
        <w:tc>
          <w:tcPr>
            <w:tcW w:w="2952" w:type="dxa"/>
            <w:shd w:val="clear" w:color="auto" w:fill="F7F9FB"/>
            <w:tcMar>
              <w:top w:w="100" w:type="dxa"/>
              <w:left w:w="110" w:type="dxa"/>
              <w:bottom w:w="100" w:type="dxa"/>
              <w:right w:w="110" w:type="dxa"/>
            </w:tcMar>
            <w:vAlign w:val="center"/>
          </w:tcPr>
          <w:p w14:paraId="11674224" w14:textId="77777777" w:rsidR="00F14BB8" w:rsidRDefault="00A65DEB">
            <w:pPr>
              <w:rPr>
                <w:rFonts w:hint="eastAsia"/>
              </w:rPr>
            </w:pPr>
            <w:r>
              <w:rPr>
                <w:sz w:val="18"/>
              </w:rPr>
              <w:t>Schema Coordinate Stability Law</w:t>
            </w:r>
          </w:p>
        </w:tc>
        <w:tc>
          <w:tcPr>
            <w:tcW w:w="6696" w:type="dxa"/>
            <w:shd w:val="clear" w:color="auto" w:fill="F7F9FB"/>
            <w:tcMar>
              <w:top w:w="100" w:type="dxa"/>
              <w:left w:w="110" w:type="dxa"/>
              <w:bottom w:w="100" w:type="dxa"/>
              <w:right w:w="110" w:type="dxa"/>
            </w:tcMar>
            <w:vAlign w:val="center"/>
          </w:tcPr>
          <w:p w14:paraId="41610CA3" w14:textId="77777777" w:rsidR="00F14BB8" w:rsidRDefault="00A65DEB">
            <w:pPr>
              <w:rPr>
                <w:rFonts w:hint="eastAsia"/>
              </w:rPr>
            </w:pPr>
            <w:r>
              <w:rPr>
                <w:sz w:val="18"/>
              </w:rPr>
              <w:t>Published diagnostic coordinates refer to stable canonical Registry positions rather than mutable platform display order.</w:t>
            </w:r>
          </w:p>
        </w:tc>
      </w:tr>
      <w:tr w:rsidR="00F14BB8" w14:paraId="6C29208D" w14:textId="77777777">
        <w:trPr>
          <w:jc w:val="center"/>
        </w:trPr>
        <w:tc>
          <w:tcPr>
            <w:tcW w:w="2952" w:type="dxa"/>
            <w:shd w:val="clear" w:color="auto" w:fill="FFFFFF"/>
            <w:tcMar>
              <w:top w:w="100" w:type="dxa"/>
              <w:left w:w="110" w:type="dxa"/>
              <w:bottom w:w="100" w:type="dxa"/>
              <w:right w:w="110" w:type="dxa"/>
            </w:tcMar>
            <w:vAlign w:val="center"/>
          </w:tcPr>
          <w:p w14:paraId="6BF64700" w14:textId="77777777" w:rsidR="00F14BB8" w:rsidRDefault="00A65DEB">
            <w:pPr>
              <w:rPr>
                <w:rFonts w:hint="eastAsia"/>
              </w:rPr>
            </w:pPr>
            <w:r>
              <w:rPr>
                <w:sz w:val="18"/>
              </w:rPr>
              <w:t>Exact Diagnostic Law</w:t>
            </w:r>
          </w:p>
        </w:tc>
        <w:tc>
          <w:tcPr>
            <w:tcW w:w="6696" w:type="dxa"/>
            <w:shd w:val="clear" w:color="auto" w:fill="FFFFFF"/>
            <w:tcMar>
              <w:top w:w="100" w:type="dxa"/>
              <w:left w:w="110" w:type="dxa"/>
              <w:bottom w:w="100" w:type="dxa"/>
              <w:right w:w="110" w:type="dxa"/>
            </w:tcMar>
            <w:vAlign w:val="center"/>
          </w:tcPr>
          <w:p w14:paraId="620EC85A" w14:textId="77777777" w:rsidR="00F14BB8" w:rsidRDefault="00A65DEB">
            <w:pPr>
              <w:rPr>
                <w:rFonts w:hint="eastAsia"/>
              </w:rPr>
            </w:pPr>
            <w:r>
              <w:rPr>
                <w:sz w:val="18"/>
              </w:rPr>
              <w:t>Every structural finding resolves to an exact canonical object, field, relationship, or contract.</w:t>
            </w:r>
          </w:p>
        </w:tc>
      </w:tr>
      <w:tr w:rsidR="00F14BB8" w14:paraId="0A167856" w14:textId="77777777">
        <w:trPr>
          <w:jc w:val="center"/>
        </w:trPr>
        <w:tc>
          <w:tcPr>
            <w:tcW w:w="2952" w:type="dxa"/>
            <w:shd w:val="clear" w:color="auto" w:fill="F7F9FB"/>
            <w:tcMar>
              <w:top w:w="100" w:type="dxa"/>
              <w:left w:w="110" w:type="dxa"/>
              <w:bottom w:w="100" w:type="dxa"/>
              <w:right w:w="110" w:type="dxa"/>
            </w:tcMar>
            <w:vAlign w:val="center"/>
          </w:tcPr>
          <w:p w14:paraId="00D2A4BB" w14:textId="77777777" w:rsidR="00F14BB8" w:rsidRDefault="00A65DEB">
            <w:pPr>
              <w:rPr>
                <w:rFonts w:hint="eastAsia"/>
              </w:rPr>
            </w:pPr>
            <w:r>
              <w:rPr>
                <w:sz w:val="18"/>
              </w:rPr>
              <w:t>Contextual Integrity Law</w:t>
            </w:r>
          </w:p>
        </w:tc>
        <w:tc>
          <w:tcPr>
            <w:tcW w:w="6696" w:type="dxa"/>
            <w:shd w:val="clear" w:color="auto" w:fill="F7F9FB"/>
            <w:tcMar>
              <w:top w:w="100" w:type="dxa"/>
              <w:left w:w="110" w:type="dxa"/>
              <w:bottom w:w="100" w:type="dxa"/>
              <w:right w:w="110" w:type="dxa"/>
            </w:tcMar>
            <w:vAlign w:val="center"/>
          </w:tcPr>
          <w:p w14:paraId="2C0655CE" w14:textId="77777777" w:rsidR="00F14BB8" w:rsidRDefault="00A65DEB">
            <w:pPr>
              <w:rPr>
                <w:rFonts w:hint="eastAsia"/>
              </w:rPr>
            </w:pPr>
            <w:r>
              <w:rPr>
                <w:sz w:val="18"/>
              </w:rPr>
              <w:t>The significance of missing or conflicting information is determined by its role in the applicable object contract.</w:t>
            </w:r>
          </w:p>
        </w:tc>
      </w:tr>
      <w:tr w:rsidR="00F14BB8" w14:paraId="59D577F7" w14:textId="77777777">
        <w:trPr>
          <w:jc w:val="center"/>
        </w:trPr>
        <w:tc>
          <w:tcPr>
            <w:tcW w:w="2952" w:type="dxa"/>
            <w:shd w:val="clear" w:color="auto" w:fill="FFFFFF"/>
            <w:tcMar>
              <w:top w:w="100" w:type="dxa"/>
              <w:left w:w="110" w:type="dxa"/>
              <w:bottom w:w="100" w:type="dxa"/>
              <w:right w:w="110" w:type="dxa"/>
            </w:tcMar>
            <w:vAlign w:val="center"/>
          </w:tcPr>
          <w:p w14:paraId="1B133893" w14:textId="77777777" w:rsidR="00F14BB8" w:rsidRDefault="00A65DEB">
            <w:pPr>
              <w:rPr>
                <w:rFonts w:hint="eastAsia"/>
              </w:rPr>
            </w:pPr>
            <w:r>
              <w:rPr>
                <w:sz w:val="18"/>
              </w:rPr>
              <w:t>Minimum Sufficiency Law</w:t>
            </w:r>
          </w:p>
        </w:tc>
        <w:tc>
          <w:tcPr>
            <w:tcW w:w="6696" w:type="dxa"/>
            <w:shd w:val="clear" w:color="auto" w:fill="FFFFFF"/>
            <w:tcMar>
              <w:top w:w="100" w:type="dxa"/>
              <w:left w:w="110" w:type="dxa"/>
              <w:bottom w:w="100" w:type="dxa"/>
              <w:right w:w="110" w:type="dxa"/>
            </w:tcMar>
            <w:vAlign w:val="center"/>
          </w:tcPr>
          <w:p w14:paraId="4B6E1982" w14:textId="77777777" w:rsidR="00F14BB8" w:rsidRDefault="00A65DEB">
            <w:pPr>
              <w:rPr>
                <w:rFonts w:hint="eastAsia"/>
              </w:rPr>
            </w:pPr>
            <w:r>
              <w:rPr>
                <w:sz w:val="18"/>
              </w:rPr>
              <w:t>Objects are not penalized for absent information that their declared role does not require.</w:t>
            </w:r>
          </w:p>
        </w:tc>
      </w:tr>
      <w:tr w:rsidR="00F14BB8" w14:paraId="6527E890" w14:textId="77777777">
        <w:trPr>
          <w:jc w:val="center"/>
        </w:trPr>
        <w:tc>
          <w:tcPr>
            <w:tcW w:w="2952" w:type="dxa"/>
            <w:shd w:val="clear" w:color="auto" w:fill="F7F9FB"/>
            <w:tcMar>
              <w:top w:w="100" w:type="dxa"/>
              <w:left w:w="110" w:type="dxa"/>
              <w:bottom w:w="100" w:type="dxa"/>
              <w:right w:w="110" w:type="dxa"/>
            </w:tcMar>
            <w:vAlign w:val="center"/>
          </w:tcPr>
          <w:p w14:paraId="6D6817E5" w14:textId="77777777" w:rsidR="00F14BB8" w:rsidRDefault="00A65DEB">
            <w:pPr>
              <w:rPr>
                <w:rFonts w:hint="eastAsia"/>
              </w:rPr>
            </w:pPr>
            <w:r>
              <w:rPr>
                <w:sz w:val="18"/>
              </w:rPr>
              <w:t>Anti-Bloat Law</w:t>
            </w:r>
          </w:p>
        </w:tc>
        <w:tc>
          <w:tcPr>
            <w:tcW w:w="6696" w:type="dxa"/>
            <w:shd w:val="clear" w:color="auto" w:fill="F7F9FB"/>
            <w:tcMar>
              <w:top w:w="100" w:type="dxa"/>
              <w:left w:w="110" w:type="dxa"/>
              <w:bottom w:w="100" w:type="dxa"/>
              <w:right w:w="110" w:type="dxa"/>
            </w:tcMar>
            <w:vAlign w:val="center"/>
          </w:tcPr>
          <w:p w14:paraId="4D698BE0" w14:textId="77777777" w:rsidR="00F14BB8" w:rsidRDefault="00A65DEB">
            <w:pPr>
              <w:rPr>
                <w:rFonts w:hint="eastAsia"/>
              </w:rPr>
            </w:pPr>
            <w:r>
              <w:rPr>
                <w:sz w:val="18"/>
              </w:rPr>
              <w:t>Ideal integrity means all applicable conditions are satisfied, not that every available field is populated.</w:t>
            </w:r>
          </w:p>
        </w:tc>
      </w:tr>
      <w:tr w:rsidR="00F14BB8" w14:paraId="55B5E236" w14:textId="77777777">
        <w:trPr>
          <w:jc w:val="center"/>
        </w:trPr>
        <w:tc>
          <w:tcPr>
            <w:tcW w:w="2952" w:type="dxa"/>
            <w:shd w:val="clear" w:color="auto" w:fill="FFFFFF"/>
            <w:tcMar>
              <w:top w:w="100" w:type="dxa"/>
              <w:left w:w="110" w:type="dxa"/>
              <w:bottom w:w="100" w:type="dxa"/>
              <w:right w:w="110" w:type="dxa"/>
            </w:tcMar>
            <w:vAlign w:val="center"/>
          </w:tcPr>
          <w:p w14:paraId="4711D47F" w14:textId="77777777" w:rsidR="00F14BB8" w:rsidRDefault="00A65DEB">
            <w:pPr>
              <w:rPr>
                <w:rFonts w:hint="eastAsia"/>
              </w:rPr>
            </w:pPr>
            <w:r>
              <w:rPr>
                <w:sz w:val="18"/>
              </w:rPr>
              <w:t>Diagnostic Locality Law</w:t>
            </w:r>
          </w:p>
        </w:tc>
        <w:tc>
          <w:tcPr>
            <w:tcW w:w="6696" w:type="dxa"/>
            <w:shd w:val="clear" w:color="auto" w:fill="FFFFFF"/>
            <w:tcMar>
              <w:top w:w="100" w:type="dxa"/>
              <w:left w:w="110" w:type="dxa"/>
              <w:bottom w:w="100" w:type="dxa"/>
              <w:right w:w="110" w:type="dxa"/>
            </w:tcMar>
            <w:vAlign w:val="center"/>
          </w:tcPr>
          <w:p w14:paraId="1211F377" w14:textId="77777777" w:rsidR="00F14BB8" w:rsidRDefault="00A65DEB">
            <w:pPr>
              <w:rPr>
                <w:rFonts w:hint="eastAsia"/>
              </w:rPr>
            </w:pPr>
            <w:r>
              <w:rPr>
                <w:sz w:val="18"/>
              </w:rPr>
              <w:t>A fault belongs to the precise contract location where declared and observed structure disagree.</w:t>
            </w:r>
          </w:p>
        </w:tc>
      </w:tr>
      <w:tr w:rsidR="00F14BB8" w14:paraId="69D01437" w14:textId="77777777">
        <w:trPr>
          <w:jc w:val="center"/>
        </w:trPr>
        <w:tc>
          <w:tcPr>
            <w:tcW w:w="2952" w:type="dxa"/>
            <w:shd w:val="clear" w:color="auto" w:fill="F7F9FB"/>
            <w:tcMar>
              <w:top w:w="100" w:type="dxa"/>
              <w:left w:w="110" w:type="dxa"/>
              <w:bottom w:w="100" w:type="dxa"/>
              <w:right w:w="110" w:type="dxa"/>
            </w:tcMar>
            <w:vAlign w:val="center"/>
          </w:tcPr>
          <w:p w14:paraId="3DB4247C" w14:textId="77777777" w:rsidR="00F14BB8" w:rsidRDefault="00A65DEB">
            <w:pPr>
              <w:rPr>
                <w:rFonts w:hint="eastAsia"/>
              </w:rPr>
            </w:pPr>
            <w:r>
              <w:rPr>
                <w:sz w:val="18"/>
              </w:rPr>
              <w:t>Impact Propagation Law</w:t>
            </w:r>
          </w:p>
        </w:tc>
        <w:tc>
          <w:tcPr>
            <w:tcW w:w="6696" w:type="dxa"/>
            <w:shd w:val="clear" w:color="auto" w:fill="F7F9FB"/>
            <w:tcMar>
              <w:top w:w="100" w:type="dxa"/>
              <w:left w:w="110" w:type="dxa"/>
              <w:bottom w:w="100" w:type="dxa"/>
              <w:right w:w="110" w:type="dxa"/>
            </w:tcMar>
            <w:vAlign w:val="center"/>
          </w:tcPr>
          <w:p w14:paraId="42E86DFB" w14:textId="77777777" w:rsidR="00F14BB8" w:rsidRDefault="00A65DEB">
            <w:pPr>
              <w:rPr>
                <w:rFonts w:hint="eastAsia"/>
              </w:rPr>
            </w:pPr>
            <w:r>
              <w:rPr>
                <w:sz w:val="18"/>
              </w:rPr>
              <w:t>Dependency impact may propagate without duplicating the originating defect.</w:t>
            </w:r>
          </w:p>
        </w:tc>
      </w:tr>
      <w:tr w:rsidR="00F14BB8" w14:paraId="2965C726" w14:textId="77777777">
        <w:trPr>
          <w:jc w:val="center"/>
        </w:trPr>
        <w:tc>
          <w:tcPr>
            <w:tcW w:w="2952" w:type="dxa"/>
            <w:shd w:val="clear" w:color="auto" w:fill="FFFFFF"/>
            <w:tcMar>
              <w:top w:w="100" w:type="dxa"/>
              <w:left w:w="110" w:type="dxa"/>
              <w:bottom w:w="100" w:type="dxa"/>
              <w:right w:w="110" w:type="dxa"/>
            </w:tcMar>
            <w:vAlign w:val="center"/>
          </w:tcPr>
          <w:p w14:paraId="6EA4809B" w14:textId="77777777" w:rsidR="00F14BB8" w:rsidRDefault="00A65DEB">
            <w:pPr>
              <w:rPr>
                <w:rFonts w:hint="eastAsia"/>
              </w:rPr>
            </w:pPr>
            <w:r>
              <w:rPr>
                <w:sz w:val="18"/>
              </w:rPr>
              <w:t>Severity–Priority Separation Law</w:t>
            </w:r>
          </w:p>
        </w:tc>
        <w:tc>
          <w:tcPr>
            <w:tcW w:w="6696" w:type="dxa"/>
            <w:shd w:val="clear" w:color="auto" w:fill="FFFFFF"/>
            <w:tcMar>
              <w:top w:w="100" w:type="dxa"/>
              <w:left w:w="110" w:type="dxa"/>
              <w:bottom w:w="100" w:type="dxa"/>
              <w:right w:w="110" w:type="dxa"/>
            </w:tcMar>
            <w:vAlign w:val="center"/>
          </w:tcPr>
          <w:p w14:paraId="37E6B976" w14:textId="77777777" w:rsidR="00F14BB8" w:rsidRDefault="00A65DEB">
            <w:pPr>
              <w:rPr>
                <w:rFonts w:hint="eastAsia"/>
              </w:rPr>
            </w:pPr>
            <w:r>
              <w:rPr>
                <w:sz w:val="18"/>
              </w:rPr>
              <w:t>Structural integrity state and service priority are distinct properties.</w:t>
            </w:r>
          </w:p>
        </w:tc>
      </w:tr>
      <w:tr w:rsidR="00F14BB8" w14:paraId="191DD1B0" w14:textId="77777777">
        <w:trPr>
          <w:jc w:val="center"/>
        </w:trPr>
        <w:tc>
          <w:tcPr>
            <w:tcW w:w="2952" w:type="dxa"/>
            <w:shd w:val="clear" w:color="auto" w:fill="F7F9FB"/>
            <w:tcMar>
              <w:top w:w="100" w:type="dxa"/>
              <w:left w:w="110" w:type="dxa"/>
              <w:bottom w:w="100" w:type="dxa"/>
              <w:right w:w="110" w:type="dxa"/>
            </w:tcMar>
            <w:vAlign w:val="center"/>
          </w:tcPr>
          <w:p w14:paraId="4095CA22" w14:textId="77777777" w:rsidR="00F14BB8" w:rsidRDefault="00A65DEB">
            <w:pPr>
              <w:rPr>
                <w:rFonts w:hint="eastAsia"/>
              </w:rPr>
            </w:pPr>
            <w:r>
              <w:rPr>
                <w:sz w:val="18"/>
              </w:rPr>
              <w:t>Derived Service Law</w:t>
            </w:r>
          </w:p>
        </w:tc>
        <w:tc>
          <w:tcPr>
            <w:tcW w:w="6696" w:type="dxa"/>
            <w:shd w:val="clear" w:color="auto" w:fill="F7F9FB"/>
            <w:tcMar>
              <w:top w:w="100" w:type="dxa"/>
              <w:left w:w="110" w:type="dxa"/>
              <w:bottom w:w="100" w:type="dxa"/>
              <w:right w:w="110" w:type="dxa"/>
            </w:tcMar>
            <w:vAlign w:val="center"/>
          </w:tcPr>
          <w:p w14:paraId="4D783F36" w14:textId="77777777" w:rsidR="00F14BB8" w:rsidRDefault="00A65DEB">
            <w:pPr>
              <w:rPr>
                <w:rFonts w:hint="eastAsia"/>
              </w:rPr>
            </w:pPr>
            <w:r>
              <w:rPr>
                <w:sz w:val="18"/>
              </w:rPr>
              <w:t>Service findings derive from canonical state and do not supersede it.</w:t>
            </w:r>
          </w:p>
        </w:tc>
      </w:tr>
      <w:tr w:rsidR="00F14BB8" w14:paraId="40253262" w14:textId="77777777">
        <w:trPr>
          <w:jc w:val="center"/>
        </w:trPr>
        <w:tc>
          <w:tcPr>
            <w:tcW w:w="2952" w:type="dxa"/>
            <w:shd w:val="clear" w:color="auto" w:fill="FFFFFF"/>
            <w:tcMar>
              <w:top w:w="100" w:type="dxa"/>
              <w:left w:w="110" w:type="dxa"/>
              <w:bottom w:w="100" w:type="dxa"/>
              <w:right w:w="110" w:type="dxa"/>
            </w:tcMar>
            <w:vAlign w:val="center"/>
          </w:tcPr>
          <w:p w14:paraId="280202F6" w14:textId="77777777" w:rsidR="00F14BB8" w:rsidRDefault="00A65DEB">
            <w:pPr>
              <w:rPr>
                <w:rFonts w:hint="eastAsia"/>
              </w:rPr>
            </w:pPr>
            <w:r>
              <w:rPr>
                <w:sz w:val="18"/>
              </w:rPr>
              <w:t>Mutation Authority Law</w:t>
            </w:r>
          </w:p>
        </w:tc>
        <w:tc>
          <w:tcPr>
            <w:tcW w:w="6696" w:type="dxa"/>
            <w:shd w:val="clear" w:color="auto" w:fill="FFFFFF"/>
            <w:tcMar>
              <w:top w:w="100" w:type="dxa"/>
              <w:left w:w="110" w:type="dxa"/>
              <w:bottom w:w="100" w:type="dxa"/>
              <w:right w:w="110" w:type="dxa"/>
            </w:tcMar>
            <w:vAlign w:val="center"/>
          </w:tcPr>
          <w:p w14:paraId="70386FC8" w14:textId="77777777" w:rsidR="00F14BB8" w:rsidRDefault="00A65DEB">
            <w:pPr>
              <w:rPr>
                <w:rFonts w:hint="eastAsia"/>
              </w:rPr>
            </w:pPr>
            <w:r>
              <w:rPr>
                <w:sz w:val="18"/>
              </w:rPr>
              <w:t>Detection of a structural fault does not itself authorize mutation.</w:t>
            </w:r>
          </w:p>
        </w:tc>
      </w:tr>
      <w:tr w:rsidR="00F14BB8" w14:paraId="1D6B7BD9" w14:textId="77777777">
        <w:trPr>
          <w:jc w:val="center"/>
        </w:trPr>
        <w:tc>
          <w:tcPr>
            <w:tcW w:w="2952" w:type="dxa"/>
            <w:shd w:val="clear" w:color="auto" w:fill="F7F9FB"/>
            <w:tcMar>
              <w:top w:w="100" w:type="dxa"/>
              <w:left w:w="110" w:type="dxa"/>
              <w:bottom w:w="100" w:type="dxa"/>
              <w:right w:w="110" w:type="dxa"/>
            </w:tcMar>
            <w:vAlign w:val="center"/>
          </w:tcPr>
          <w:p w14:paraId="6E0AB4A3" w14:textId="77777777" w:rsidR="00F14BB8" w:rsidRDefault="00A65DEB">
            <w:pPr>
              <w:rPr>
                <w:rFonts w:hint="eastAsia"/>
              </w:rPr>
            </w:pPr>
            <w:r>
              <w:rPr>
                <w:sz w:val="18"/>
              </w:rPr>
              <w:t>Reinspection Law</w:t>
            </w:r>
          </w:p>
        </w:tc>
        <w:tc>
          <w:tcPr>
            <w:tcW w:w="6696" w:type="dxa"/>
            <w:shd w:val="clear" w:color="auto" w:fill="F7F9FB"/>
            <w:tcMar>
              <w:top w:w="100" w:type="dxa"/>
              <w:left w:w="110" w:type="dxa"/>
              <w:bottom w:w="100" w:type="dxa"/>
              <w:right w:w="110" w:type="dxa"/>
            </w:tcMar>
            <w:vAlign w:val="center"/>
          </w:tcPr>
          <w:p w14:paraId="2BC0C5A8" w14:textId="77777777" w:rsidR="00F14BB8" w:rsidRDefault="00A65DEB">
            <w:pPr>
              <w:rPr>
                <w:rFonts w:hint="eastAsia"/>
              </w:rPr>
            </w:pPr>
            <w:r>
              <w:rPr>
                <w:sz w:val="18"/>
              </w:rPr>
              <w:t>A repair is complete only when the affected canonical contract passes subsequent inspection.</w:t>
            </w:r>
          </w:p>
        </w:tc>
      </w:tr>
      <w:tr w:rsidR="00F14BB8" w14:paraId="473D3F1F" w14:textId="77777777">
        <w:trPr>
          <w:jc w:val="center"/>
        </w:trPr>
        <w:tc>
          <w:tcPr>
            <w:tcW w:w="2952" w:type="dxa"/>
            <w:shd w:val="clear" w:color="auto" w:fill="FFFFFF"/>
            <w:tcMar>
              <w:top w:w="100" w:type="dxa"/>
              <w:left w:w="110" w:type="dxa"/>
              <w:bottom w:w="100" w:type="dxa"/>
              <w:right w:w="110" w:type="dxa"/>
            </w:tcMar>
            <w:vAlign w:val="center"/>
          </w:tcPr>
          <w:p w14:paraId="3F7B080D" w14:textId="77777777" w:rsidR="00F14BB8" w:rsidRDefault="00A65DEB">
            <w:pPr>
              <w:rPr>
                <w:rFonts w:hint="eastAsia"/>
              </w:rPr>
            </w:pPr>
            <w:r>
              <w:rPr>
                <w:sz w:val="18"/>
              </w:rPr>
              <w:t>Deterministic Detection Law</w:t>
            </w:r>
          </w:p>
        </w:tc>
        <w:tc>
          <w:tcPr>
            <w:tcW w:w="6696" w:type="dxa"/>
            <w:shd w:val="clear" w:color="auto" w:fill="FFFFFF"/>
            <w:tcMar>
              <w:top w:w="100" w:type="dxa"/>
              <w:left w:w="110" w:type="dxa"/>
              <w:bottom w:w="100" w:type="dxa"/>
              <w:right w:w="110" w:type="dxa"/>
            </w:tcMar>
            <w:vAlign w:val="center"/>
          </w:tcPr>
          <w:p w14:paraId="6DF0BADA" w14:textId="77777777" w:rsidR="00F14BB8" w:rsidRDefault="00A65DEB">
            <w:pPr>
              <w:rPr>
                <w:rFonts w:hint="eastAsia"/>
              </w:rPr>
            </w:pPr>
            <w:r>
              <w:rPr>
                <w:sz w:val="18"/>
              </w:rPr>
              <w:t>Explicit structural contracts are evaluated deterministically rather than through probabilistic semantic inference.</w:t>
            </w:r>
          </w:p>
        </w:tc>
      </w:tr>
      <w:tr w:rsidR="00F14BB8" w14:paraId="41445342" w14:textId="77777777">
        <w:trPr>
          <w:jc w:val="center"/>
        </w:trPr>
        <w:tc>
          <w:tcPr>
            <w:tcW w:w="2952" w:type="dxa"/>
            <w:shd w:val="clear" w:color="auto" w:fill="F7F9FB"/>
            <w:tcMar>
              <w:top w:w="100" w:type="dxa"/>
              <w:left w:w="110" w:type="dxa"/>
              <w:bottom w:w="100" w:type="dxa"/>
              <w:right w:w="110" w:type="dxa"/>
            </w:tcMar>
            <w:vAlign w:val="center"/>
          </w:tcPr>
          <w:p w14:paraId="13AB60C1" w14:textId="77777777" w:rsidR="00F14BB8" w:rsidRDefault="00A65DEB">
            <w:pPr>
              <w:rPr>
                <w:rFonts w:hint="eastAsia"/>
              </w:rPr>
            </w:pPr>
            <w:r>
              <w:rPr>
                <w:sz w:val="18"/>
              </w:rPr>
              <w:t>Version Applicability Law</w:t>
            </w:r>
          </w:p>
        </w:tc>
        <w:tc>
          <w:tcPr>
            <w:tcW w:w="6696" w:type="dxa"/>
            <w:shd w:val="clear" w:color="auto" w:fill="F7F9FB"/>
            <w:tcMar>
              <w:top w:w="100" w:type="dxa"/>
              <w:left w:w="110" w:type="dxa"/>
              <w:bottom w:w="100" w:type="dxa"/>
              <w:right w:w="110" w:type="dxa"/>
            </w:tcMar>
            <w:vAlign w:val="center"/>
          </w:tcPr>
          <w:p w14:paraId="30AB9372" w14:textId="77777777" w:rsidR="00F14BB8" w:rsidRDefault="00A65DEB">
            <w:pPr>
              <w:rPr>
                <w:rFonts w:hint="eastAsia"/>
              </w:rPr>
            </w:pPr>
            <w:r>
              <w:rPr>
                <w:sz w:val="18"/>
              </w:rPr>
              <w:t>A structure is evaluated against the contract version applicable to that structure; migration is separate from retroactive failure.</w:t>
            </w:r>
          </w:p>
        </w:tc>
      </w:tr>
    </w:tbl>
    <w:p w14:paraId="753AD275" w14:textId="77777777" w:rsidR="00F14BB8" w:rsidRDefault="00F14BB8">
      <w:pPr>
        <w:spacing w:after="20"/>
        <w:rPr>
          <w:rFonts w:hint="eastAsia"/>
        </w:rPr>
      </w:pPr>
    </w:p>
    <w:p w14:paraId="6CA8B748" w14:textId="77777777" w:rsidR="00F14BB8" w:rsidRDefault="00A65DEB">
      <w:pPr>
        <w:pStyle w:val="Heading2"/>
        <w:spacing w:after="80"/>
      </w:pPr>
      <w:r>
        <w:rPr>
          <w:rFonts w:ascii="Carlito" w:hAnsi="Carlito"/>
        </w:rPr>
        <w:t>18.1 Bootstrap value</w:t>
      </w:r>
    </w:p>
    <w:p w14:paraId="1F8C2AD6" w14:textId="77777777" w:rsidR="00F14BB8" w:rsidRDefault="00A65DEB">
      <w:pPr>
        <w:spacing w:after="140" w:line="259" w:lineRule="auto"/>
        <w:rPr>
          <w:rFonts w:hint="eastAsia"/>
        </w:rPr>
      </w:pPr>
      <w:r>
        <w:t>For BOOTSTRAP, this paper establishes a compact way for an AI or human to understand the health of a Base before working deeply inside it. A service summary can indicate which structures are trustworthy, which have known deficiencies, which operations are forbidden, and where exact repairs are required. Because the findings are structural, the same health information can be consumed by interfaces, scripts, AI systems, or future runtimes without rewriting the diagnostic logic in natural language.</w:t>
      </w:r>
    </w:p>
    <w:p w14:paraId="5F5419F3" w14:textId="77777777" w:rsidR="00F14BB8" w:rsidRDefault="00A65DEB">
      <w:pPr>
        <w:rPr>
          <w:rFonts w:hint="eastAsia"/>
        </w:rPr>
      </w:pPr>
      <w:r>
        <w:br w:type="page"/>
      </w:r>
    </w:p>
    <w:p w14:paraId="387460AF" w14:textId="77777777" w:rsidR="00F14BB8" w:rsidRDefault="00A65DEB">
      <w:pPr>
        <w:pStyle w:val="Heading2"/>
        <w:spacing w:after="80"/>
      </w:pPr>
      <w:r>
        <w:rPr>
          <w:rFonts w:ascii="Carlito" w:hAnsi="Carlito"/>
        </w:rPr>
        <w:t>18.2 Reserved extensions</w:t>
      </w:r>
    </w:p>
    <w:p w14:paraId="63ADF882" w14:textId="77777777" w:rsidR="00F14BB8" w:rsidRDefault="00A65DEB">
      <w:pPr>
        <w:spacing w:after="140" w:line="259" w:lineRule="auto"/>
        <w:rPr>
          <w:rFonts w:hint="eastAsia"/>
        </w:rPr>
      </w:pPr>
      <w:r>
        <w:t>The local service architecture is intentionally complete before federation is introduced. Two subsequent papers extend it without changing the diagnostic primitives defined here.</w:t>
      </w:r>
    </w:p>
    <w:tbl>
      <w:tblPr>
        <w:tblStyle w:val="TableGrid"/>
        <w:tblW w:w="0" w:type="auto"/>
        <w:jc w:val="center"/>
        <w:tblLook w:val="04A0" w:firstRow="1" w:lastRow="0" w:firstColumn="1" w:lastColumn="0" w:noHBand="0" w:noVBand="1"/>
      </w:tblPr>
      <w:tblGrid>
        <w:gridCol w:w="3528"/>
        <w:gridCol w:w="6120"/>
      </w:tblGrid>
      <w:tr w:rsidR="00F14BB8" w14:paraId="27611A76" w14:textId="77777777">
        <w:trPr>
          <w:tblHeader/>
          <w:jc w:val="center"/>
        </w:trPr>
        <w:tc>
          <w:tcPr>
            <w:tcW w:w="3528" w:type="dxa"/>
            <w:shd w:val="clear" w:color="auto" w:fill="17365D"/>
            <w:tcMar>
              <w:top w:w="110" w:type="dxa"/>
              <w:left w:w="110" w:type="dxa"/>
              <w:bottom w:w="110" w:type="dxa"/>
              <w:right w:w="110" w:type="dxa"/>
            </w:tcMar>
            <w:vAlign w:val="center"/>
          </w:tcPr>
          <w:p w14:paraId="24237263" w14:textId="77777777" w:rsidR="00F14BB8" w:rsidRDefault="00A65DEB">
            <w:pPr>
              <w:rPr>
                <w:rFonts w:hint="eastAsia"/>
              </w:rPr>
            </w:pPr>
            <w:r>
              <w:rPr>
                <w:b/>
                <w:color w:val="FFFFFF"/>
                <w:sz w:val="19"/>
              </w:rPr>
              <w:t>Reserved paper</w:t>
            </w:r>
          </w:p>
        </w:tc>
        <w:tc>
          <w:tcPr>
            <w:tcW w:w="6120" w:type="dxa"/>
            <w:shd w:val="clear" w:color="auto" w:fill="17365D"/>
            <w:tcMar>
              <w:top w:w="110" w:type="dxa"/>
              <w:left w:w="110" w:type="dxa"/>
              <w:bottom w:w="110" w:type="dxa"/>
              <w:right w:w="110" w:type="dxa"/>
            </w:tcMar>
            <w:vAlign w:val="center"/>
          </w:tcPr>
          <w:p w14:paraId="7EE80DA9" w14:textId="77777777" w:rsidR="00F14BB8" w:rsidRDefault="00A65DEB">
            <w:pPr>
              <w:rPr>
                <w:rFonts w:hint="eastAsia"/>
              </w:rPr>
            </w:pPr>
            <w:r>
              <w:rPr>
                <w:b/>
                <w:color w:val="FFFFFF"/>
                <w:sz w:val="19"/>
              </w:rPr>
              <w:t>Extension</w:t>
            </w:r>
          </w:p>
        </w:tc>
      </w:tr>
      <w:tr w:rsidR="00F14BB8" w14:paraId="5D2AF819" w14:textId="77777777">
        <w:trPr>
          <w:jc w:val="center"/>
        </w:trPr>
        <w:tc>
          <w:tcPr>
            <w:tcW w:w="3528" w:type="dxa"/>
            <w:shd w:val="clear" w:color="auto" w:fill="FFFFFF"/>
            <w:tcMar>
              <w:top w:w="100" w:type="dxa"/>
              <w:left w:w="110" w:type="dxa"/>
              <w:bottom w:w="100" w:type="dxa"/>
              <w:right w:w="110" w:type="dxa"/>
            </w:tcMar>
            <w:vAlign w:val="center"/>
          </w:tcPr>
          <w:p w14:paraId="5340E354" w14:textId="77777777" w:rsidR="00F14BB8" w:rsidRDefault="00A65DEB">
            <w:pPr>
              <w:rPr>
                <w:rFonts w:hint="eastAsia"/>
              </w:rPr>
            </w:pPr>
            <w:r>
              <w:rPr>
                <w:sz w:val="18"/>
              </w:rPr>
              <w:t>Paper 2 — Expanding Bases, Data Contracts, and Base Crawler</w:t>
            </w:r>
          </w:p>
        </w:tc>
        <w:tc>
          <w:tcPr>
            <w:tcW w:w="6120" w:type="dxa"/>
            <w:shd w:val="clear" w:color="auto" w:fill="FFFFFF"/>
            <w:tcMar>
              <w:top w:w="100" w:type="dxa"/>
              <w:left w:w="110" w:type="dxa"/>
              <w:bottom w:w="100" w:type="dxa"/>
              <w:right w:w="110" w:type="dxa"/>
            </w:tcMar>
            <w:vAlign w:val="center"/>
          </w:tcPr>
          <w:p w14:paraId="7B5DEBC6" w14:textId="77777777" w:rsidR="00F14BB8" w:rsidRDefault="00A65DEB">
            <w:pPr>
              <w:rPr>
                <w:rFonts w:hint="eastAsia"/>
              </w:rPr>
            </w:pPr>
            <w:r>
              <w:rPr>
                <w:sz w:val="18"/>
              </w:rPr>
              <w:t>Defines how large Stacks externalize into independent Bases, preserve bounded data contracts, link directly to Home, and use a compact crawler to route into each Base’s local SOLAR and BOOTSTRAP.</w:t>
            </w:r>
          </w:p>
        </w:tc>
      </w:tr>
      <w:tr w:rsidR="00F14BB8" w14:paraId="364BD9A7" w14:textId="77777777">
        <w:trPr>
          <w:jc w:val="center"/>
        </w:trPr>
        <w:tc>
          <w:tcPr>
            <w:tcW w:w="3528" w:type="dxa"/>
            <w:shd w:val="clear" w:color="auto" w:fill="F7F9FB"/>
            <w:tcMar>
              <w:top w:w="100" w:type="dxa"/>
              <w:left w:w="110" w:type="dxa"/>
              <w:bottom w:w="100" w:type="dxa"/>
              <w:right w:w="110" w:type="dxa"/>
            </w:tcMar>
            <w:vAlign w:val="center"/>
          </w:tcPr>
          <w:p w14:paraId="547CC9F2" w14:textId="77777777" w:rsidR="00F14BB8" w:rsidRDefault="00A65DEB">
            <w:pPr>
              <w:rPr>
                <w:rFonts w:hint="eastAsia"/>
              </w:rPr>
            </w:pPr>
            <w:r>
              <w:rPr>
                <w:sz w:val="18"/>
              </w:rPr>
              <w:t>Paper 3 — Federated Self-Service Architecture</w:t>
            </w:r>
          </w:p>
        </w:tc>
        <w:tc>
          <w:tcPr>
            <w:tcW w:w="6120" w:type="dxa"/>
            <w:shd w:val="clear" w:color="auto" w:fill="F7F9FB"/>
            <w:tcMar>
              <w:top w:w="100" w:type="dxa"/>
              <w:left w:w="110" w:type="dxa"/>
              <w:bottom w:w="100" w:type="dxa"/>
              <w:right w:w="110" w:type="dxa"/>
            </w:tcMar>
            <w:vAlign w:val="center"/>
          </w:tcPr>
          <w:p w14:paraId="525C3436" w14:textId="77777777" w:rsidR="00F14BB8" w:rsidRDefault="00A65DEB">
            <w:pPr>
              <w:rPr>
                <w:rFonts w:hint="eastAsia"/>
              </w:rPr>
            </w:pPr>
            <w:r>
              <w:rPr>
                <w:sz w:val="18"/>
              </w:rPr>
              <w:t>Combines local BASE SERVICE with distributed Bases so each Base services its own interior and reports bounded contract health to Home without exporting its entire maintenance graph.</w:t>
            </w:r>
          </w:p>
        </w:tc>
      </w:tr>
    </w:tbl>
    <w:p w14:paraId="16E9B3F0" w14:textId="77777777" w:rsidR="00F14BB8" w:rsidRDefault="00F14BB8">
      <w:pPr>
        <w:spacing w:after="20"/>
        <w:rPr>
          <w:rFonts w:hint="eastAsia"/>
        </w:rPr>
      </w:pPr>
    </w:p>
    <w:p w14:paraId="1EA8B09E" w14:textId="77777777" w:rsidR="00F14BB8" w:rsidRDefault="00A65DEB">
      <w:pPr>
        <w:pStyle w:val="Heading2"/>
        <w:spacing w:after="80"/>
      </w:pPr>
      <w:r>
        <w:rPr>
          <w:rFonts w:ascii="Carlito" w:hAnsi="Carlito"/>
        </w:rPr>
        <w:t>18.3 Conclusion</w:t>
      </w:r>
    </w:p>
    <w:p w14:paraId="488C5A3D" w14:textId="77777777" w:rsidR="00F14BB8" w:rsidRDefault="00A65DEB">
      <w:pPr>
        <w:spacing w:after="140" w:line="259" w:lineRule="auto"/>
        <w:rPr>
          <w:rFonts w:hint="eastAsia"/>
        </w:rPr>
      </w:pPr>
      <w:r>
        <w:t>BASE SERVICE converts CERBERUS self-description into an operational maintenance capability. Canonical schema coordinates make faults addressable, Diagnostic Contracts make expectations executable, the five-state language makes health readable, and reinspection keeps service grounded in canonical evidence. The architecture scales because expectations are registered once at the schema level and applied repeatedly to the records that instantiate them.</w:t>
      </w:r>
    </w:p>
    <w:tbl>
      <w:tblPr>
        <w:tblW w:w="0" w:type="auto"/>
        <w:jc w:val="center"/>
        <w:tblLook w:val="04A0" w:firstRow="1" w:lastRow="0" w:firstColumn="1" w:lastColumn="0" w:noHBand="0" w:noVBand="1"/>
      </w:tblPr>
      <w:tblGrid>
        <w:gridCol w:w="9878"/>
      </w:tblGrid>
      <w:tr w:rsidR="00F14BB8" w14:paraId="24FCF953" w14:textId="77777777">
        <w:trPr>
          <w:cantSplit/>
          <w:jc w:val="center"/>
        </w:trPr>
        <w:tc>
          <w:tcPr>
            <w:tcW w:w="9878" w:type="dxa"/>
            <w:tcBorders>
              <w:top w:val="nil"/>
              <w:left w:val="single" w:sz="18" w:space="0" w:color="17365D"/>
              <w:bottom w:val="nil"/>
              <w:right w:val="nil"/>
            </w:tcBorders>
            <w:shd w:val="clear" w:color="auto" w:fill="F2F5F7"/>
            <w:tcMar>
              <w:top w:w="160" w:type="dxa"/>
              <w:left w:w="180" w:type="dxa"/>
              <w:bottom w:w="160" w:type="dxa"/>
              <w:right w:w="180" w:type="dxa"/>
            </w:tcMar>
          </w:tcPr>
          <w:p w14:paraId="4B6EC2E1" w14:textId="77777777" w:rsidR="00F14BB8" w:rsidRDefault="00A65DEB">
            <w:pPr>
              <w:spacing w:after="100"/>
              <w:rPr>
                <w:rFonts w:hint="eastAsia"/>
              </w:rPr>
            </w:pPr>
            <w:r>
              <w:rPr>
                <w:b/>
                <w:color w:val="17365D"/>
                <w:sz w:val="21"/>
              </w:rPr>
              <w:t>CLOSING PRINCIPLE</w:t>
            </w:r>
          </w:p>
          <w:p w14:paraId="73372114" w14:textId="77777777" w:rsidR="00F14BB8" w:rsidRDefault="00A65DEB">
            <w:pPr>
              <w:spacing w:after="0" w:line="259" w:lineRule="auto"/>
              <w:rPr>
                <w:rFonts w:hint="eastAsia"/>
              </w:rPr>
            </w:pPr>
            <w:r>
              <w:t>CERBERUS does not need a separate maintenance theory imposed from outside. Once the Base explicitly declares what its structures are supposed to be, that self-description can become its maintenance manual, diagnostic language, and service map.</w:t>
            </w:r>
          </w:p>
        </w:tc>
      </w:tr>
    </w:tbl>
    <w:p w14:paraId="17F59EC6" w14:textId="77777777" w:rsidR="00F14BB8" w:rsidRDefault="00F14BB8">
      <w:pPr>
        <w:spacing w:after="0"/>
        <w:rPr>
          <w:rFonts w:hint="eastAsia"/>
        </w:rPr>
      </w:pPr>
    </w:p>
    <w:sectPr w:rsidR="00F14BB8" w:rsidSect="00034616">
      <w:headerReference w:type="default" r:id="rId23"/>
      <w:footerReference w:type="default" r:id="rId24"/>
      <w:pgSz w:w="12240" w:h="15840"/>
      <w:pgMar w:top="1123"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BAB43" w14:textId="77777777" w:rsidR="00A65DEB" w:rsidRDefault="00A65DEB">
      <w:pPr>
        <w:spacing w:after="0" w:line="240" w:lineRule="auto"/>
        <w:rPr>
          <w:rFonts w:hint="eastAsia"/>
        </w:rPr>
      </w:pPr>
      <w:r>
        <w:separator/>
      </w:r>
    </w:p>
  </w:endnote>
  <w:endnote w:type="continuationSeparator" w:id="0">
    <w:p w14:paraId="35ABAB51" w14:textId="77777777" w:rsidR="00A65DEB" w:rsidRDefault="00A65DE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rlito">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C8542" w14:textId="77777777" w:rsidR="00F14BB8" w:rsidRDefault="00A65DEB">
    <w:pPr>
      <w:pStyle w:val="Footer"/>
      <w:jc w:val="right"/>
      <w:rPr>
        <w:rFonts w:hint="eastAsia"/>
      </w:rPr>
    </w:pPr>
    <w:r>
      <w:rPr>
        <w:color w:val="5C6C7C"/>
        <w:sz w:val="18"/>
      </w:rPr>
      <w:fldChar w:fldCharType="begin"/>
    </w:r>
    <w:r>
      <w:rPr>
        <w:color w:val="5C6C7C"/>
        <w:sz w:val="18"/>
      </w:rPr>
      <w:instrText xml:space="preserve"> PAGE </w:instrText>
    </w:r>
    <w:r>
      <w:rPr>
        <w:color w:val="5C6C7C"/>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52E9B" w14:textId="77777777" w:rsidR="00A65DEB" w:rsidRDefault="00A65DEB">
      <w:pPr>
        <w:spacing w:after="0" w:line="240" w:lineRule="auto"/>
        <w:rPr>
          <w:rFonts w:hint="eastAsia"/>
        </w:rPr>
      </w:pPr>
      <w:r>
        <w:separator/>
      </w:r>
    </w:p>
  </w:footnote>
  <w:footnote w:type="continuationSeparator" w:id="0">
    <w:p w14:paraId="23BB9BDA" w14:textId="77777777" w:rsidR="00A65DEB" w:rsidRDefault="00A65DEB">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5AEC" w14:textId="77777777" w:rsidR="00F14BB8" w:rsidRDefault="00A65DEB">
    <w:pPr>
      <w:pStyle w:val="Header"/>
      <w:rPr>
        <w:rFonts w:hint="eastAsia"/>
      </w:rPr>
    </w:pPr>
    <w:r>
      <w:rPr>
        <w:b/>
        <w:color w:val="58697A"/>
        <w:sz w:val="17"/>
      </w:rPr>
      <w:t>CERBERUS  |  Base Service Architecture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68958268">
    <w:abstractNumId w:val="8"/>
  </w:num>
  <w:num w:numId="2" w16cid:durableId="1262907693">
    <w:abstractNumId w:val="6"/>
  </w:num>
  <w:num w:numId="3" w16cid:durableId="319697080">
    <w:abstractNumId w:val="5"/>
  </w:num>
  <w:num w:numId="4" w16cid:durableId="1601792871">
    <w:abstractNumId w:val="4"/>
  </w:num>
  <w:num w:numId="5" w16cid:durableId="1660376754">
    <w:abstractNumId w:val="7"/>
  </w:num>
  <w:num w:numId="6" w16cid:durableId="794375706">
    <w:abstractNumId w:val="3"/>
  </w:num>
  <w:num w:numId="7" w16cid:durableId="1444348916">
    <w:abstractNumId w:val="2"/>
  </w:num>
  <w:num w:numId="8" w16cid:durableId="506794328">
    <w:abstractNumId w:val="1"/>
  </w:num>
  <w:num w:numId="9" w16cid:durableId="1725517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8646C1"/>
    <w:rsid w:val="00A65DEB"/>
    <w:rsid w:val="00AA1D8D"/>
    <w:rsid w:val="00B47730"/>
    <w:rsid w:val="00CB0664"/>
    <w:rsid w:val="00F14BB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5C57F8"/>
  <w14:defaultImageDpi w14:val="300"/>
  <w15:docId w15:val="{5D887584-2131-A147-8609-A77355CFB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rlito" w:hAnsi="Carlito"/>
      <w:color w:val="20283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24D"/>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E6E9E"/>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6E4D99"/>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2E6E9E"/>
      <w:spacing w:val="15"/>
      <w:sz w:val="30"/>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sz w:val="21"/>
    </w:rPr>
  </w:style>
  <w:style w:type="paragraph" w:styleId="ListBullet2">
    <w:name w:val="List Bullet 2"/>
    <w:basedOn w:val="Normal"/>
    <w:uiPriority w:val="99"/>
    <w:unhideWhenUsed/>
    <w:rsid w:val="00326F90"/>
    <w:pPr>
      <w:numPr>
        <w:numId w:val="2"/>
      </w:numPr>
      <w:contextualSpacing/>
    </w:pPr>
    <w:rPr>
      <w:sz w:val="21"/>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rPr>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sz w:val="19"/>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eader" Target="header1.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5201</Words>
  <Characters>29649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34781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Base Service Architecture</dc:title>
  <dc:subject>Canonical Schema Coordinates, Five-State Structural Diagnostics, and Automated Base Maintenance</dc:subject>
  <dc:creator>CERBERUS</dc:creator>
  <cp:keywords>CERBERUS, Base Service, Structural Integrity, Diagnostics, Schema Coordinates, Automated Maintenance</cp:keywords>
  <dc:description>generated by python-docx</dc:description>
  <cp:lastModifiedBy>Shane Conrad</cp:lastModifiedBy>
  <cp:revision>2</cp:revision>
  <dcterms:created xsi:type="dcterms:W3CDTF">2026-08-22T06:14:00Z</dcterms:created>
  <dcterms:modified xsi:type="dcterms:W3CDTF">2026-08-22T06:14:00Z</dcterms:modified>
  <cp:category/>
</cp:coreProperties>
</file>