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A76376" w14:textId="77777777" w:rsidR="00E579F2" w:rsidRDefault="00FC5553">
      <w:pPr>
        <w:pStyle w:val="Kicker"/>
        <w:spacing w:before="440" w:after="360"/>
        <w:rPr>
          <w:rFonts w:hint="eastAsia"/>
        </w:rPr>
      </w:pPr>
      <w:r>
        <w:t>CERBERUS FORMAL SPECIFICATION</w:t>
      </w:r>
    </w:p>
    <w:p w14:paraId="189F64BC" w14:textId="77777777" w:rsidR="00E579F2" w:rsidRDefault="00FC5553">
      <w:pPr>
        <w:pStyle w:val="Title"/>
        <w:spacing w:after="200"/>
      </w:pPr>
      <w:r>
        <w:rPr>
          <w:rFonts w:ascii="Inter" w:hAnsi="Inter"/>
        </w:rPr>
        <w:t>Self-Contained</w:t>
      </w:r>
      <w:r>
        <w:rPr>
          <w:rFonts w:ascii="Inter" w:hAnsi="Inter"/>
        </w:rPr>
        <w:br/>
        <w:t>Bitstate Parameterization</w:t>
      </w:r>
    </w:p>
    <w:p w14:paraId="35E842FC" w14:textId="77777777" w:rsidR="00E579F2" w:rsidRDefault="00FC5553">
      <w:pPr>
        <w:pStyle w:val="Subtitle"/>
        <w:spacing w:after="520"/>
      </w:pPr>
      <w:r>
        <w:rPr>
          <w:rFonts w:ascii="Inter" w:hAnsi="Inter"/>
          <w:i w:val="0"/>
          <w:sz w:val="25"/>
        </w:rPr>
        <w:t>ModelKey-Extended Semantic Kernels, Threshold-Bound State Transitions, and Cross-Object Semantic Chaining</w:t>
      </w:r>
    </w:p>
    <w:tbl>
      <w:tblPr>
        <w:tblW w:w="0" w:type="auto"/>
        <w:jc w:val="center"/>
        <w:tblLayout w:type="fixed"/>
        <w:tblLook w:val="04A0" w:firstRow="1" w:lastRow="0" w:firstColumn="1" w:lastColumn="0" w:noHBand="0" w:noVBand="1"/>
      </w:tblPr>
      <w:tblGrid>
        <w:gridCol w:w="9720"/>
      </w:tblGrid>
      <w:tr w:rsidR="00E579F2" w14:paraId="5DDE87A1" w14:textId="77777777">
        <w:trPr>
          <w:jc w:val="center"/>
        </w:trPr>
        <w:tc>
          <w:tcPr>
            <w:tcW w:w="9720" w:type="dxa"/>
            <w:tcBorders>
              <w:top w:val="nil"/>
              <w:left w:val="nil"/>
              <w:bottom w:val="nil"/>
              <w:right w:val="nil"/>
            </w:tcBorders>
            <w:shd w:val="clear" w:color="auto" w:fill="17324D"/>
            <w:tcMar>
              <w:top w:w="180" w:type="dxa"/>
              <w:left w:w="220" w:type="dxa"/>
              <w:bottom w:w="180" w:type="dxa"/>
              <w:right w:w="220" w:type="dxa"/>
            </w:tcMar>
          </w:tcPr>
          <w:p w14:paraId="2A5E8A5A" w14:textId="77777777" w:rsidR="00E579F2" w:rsidRDefault="00FC5553">
            <w:pPr>
              <w:spacing w:after="100"/>
              <w:rPr>
                <w:rFonts w:hint="eastAsia"/>
              </w:rPr>
            </w:pPr>
            <w:r>
              <w:rPr>
                <w:b/>
                <w:color w:val="FFFFFF"/>
                <w:sz w:val="24"/>
              </w:rPr>
              <w:t>FINITE WORDS. LOCAL PARAMETERS. CHAINED SEMANTICS.</w:t>
            </w:r>
          </w:p>
          <w:p w14:paraId="07EE5925" w14:textId="77777777" w:rsidR="00E579F2" w:rsidRDefault="00FC5553">
            <w:pPr>
              <w:spacing w:after="0"/>
              <w:rPr>
                <w:rFonts w:hint="eastAsia"/>
              </w:rPr>
            </w:pPr>
            <w:r>
              <w:rPr>
                <w:color w:val="EAF2F7"/>
                <w:sz w:val="19"/>
              </w:rPr>
              <w:t>An object may occupy many bounded Semantic Kernel state-spaces. Each Kernel can carry its own model parameters and transition thresholds, while stable semantic links allow one object's bitstate to parameterize another.</w:t>
            </w:r>
          </w:p>
        </w:tc>
      </w:tr>
    </w:tbl>
    <w:p w14:paraId="3D060541" w14:textId="77777777" w:rsidR="00E579F2" w:rsidRDefault="00E579F2">
      <w:pPr>
        <w:spacing w:after="200"/>
        <w:rPr>
          <w:rFonts w:hint="eastAsia"/>
        </w:rPr>
      </w:pPr>
    </w:p>
    <w:tbl>
      <w:tblPr>
        <w:tblW w:w="0" w:type="auto"/>
        <w:tblLayout w:type="fixed"/>
        <w:tblLook w:val="04A0" w:firstRow="1" w:lastRow="0" w:firstColumn="1" w:lastColumn="0" w:noHBand="0" w:noVBand="1"/>
      </w:tblPr>
      <w:tblGrid>
        <w:gridCol w:w="2232"/>
        <w:gridCol w:w="7488"/>
      </w:tblGrid>
      <w:tr w:rsidR="00E579F2" w14:paraId="0C64A60B" w14:textId="77777777">
        <w:tc>
          <w:tcPr>
            <w:tcW w:w="2232" w:type="dxa"/>
            <w:tcBorders>
              <w:top w:val="single" w:sz="4" w:space="0" w:color="C9D6DF"/>
              <w:left w:val="single" w:sz="4" w:space="0" w:color="C9D6DF"/>
              <w:bottom w:val="single" w:sz="4" w:space="0" w:color="C9D6DF"/>
              <w:right w:val="single" w:sz="4" w:space="0" w:color="C9D6DF"/>
            </w:tcBorders>
            <w:shd w:val="clear" w:color="auto" w:fill="EAF2F7"/>
            <w:tcMar>
              <w:top w:w="80" w:type="dxa"/>
              <w:left w:w="100" w:type="dxa"/>
              <w:bottom w:w="80" w:type="dxa"/>
              <w:right w:w="100" w:type="dxa"/>
            </w:tcMar>
          </w:tcPr>
          <w:p w14:paraId="2B045952" w14:textId="77777777" w:rsidR="00E579F2" w:rsidRDefault="00FC5553">
            <w:pPr>
              <w:spacing w:after="0"/>
              <w:rPr>
                <w:rFonts w:hint="eastAsia"/>
              </w:rPr>
            </w:pPr>
            <w:r>
              <w:rPr>
                <w:b/>
                <w:color w:val="17324D"/>
                <w:sz w:val="17"/>
              </w:rPr>
              <w:t>Specification</w:t>
            </w:r>
          </w:p>
        </w:tc>
        <w:tc>
          <w:tcPr>
            <w:tcW w:w="7488" w:type="dxa"/>
            <w:tcBorders>
              <w:top w:val="single" w:sz="4" w:space="0" w:color="C9D6DF"/>
              <w:left w:val="single" w:sz="4" w:space="0" w:color="C9D6DF"/>
              <w:bottom w:val="single" w:sz="4" w:space="0" w:color="C9D6DF"/>
              <w:right w:val="single" w:sz="4" w:space="0" w:color="C9D6DF"/>
            </w:tcBorders>
            <w:tcMar>
              <w:top w:w="80" w:type="dxa"/>
              <w:left w:w="100" w:type="dxa"/>
              <w:bottom w:w="80" w:type="dxa"/>
              <w:right w:w="100" w:type="dxa"/>
            </w:tcMar>
          </w:tcPr>
          <w:p w14:paraId="60E355EF" w14:textId="77777777" w:rsidR="00E579F2" w:rsidRDefault="00FC5553">
            <w:pPr>
              <w:spacing w:after="0"/>
              <w:rPr>
                <w:rFonts w:hint="eastAsia"/>
              </w:rPr>
            </w:pPr>
            <w:r>
              <w:rPr>
                <w:sz w:val="17"/>
              </w:rPr>
              <w:t>Self-Contained Bitstate Parameterization</w:t>
            </w:r>
          </w:p>
        </w:tc>
      </w:tr>
      <w:tr w:rsidR="00E579F2" w14:paraId="3F4D0D4B" w14:textId="77777777">
        <w:tc>
          <w:tcPr>
            <w:tcW w:w="2232" w:type="dxa"/>
            <w:tcBorders>
              <w:top w:val="single" w:sz="4" w:space="0" w:color="C9D6DF"/>
              <w:left w:val="single" w:sz="4" w:space="0" w:color="C9D6DF"/>
              <w:bottom w:val="single" w:sz="4" w:space="0" w:color="C9D6DF"/>
              <w:right w:val="single" w:sz="4" w:space="0" w:color="C9D6DF"/>
            </w:tcBorders>
            <w:shd w:val="clear" w:color="auto" w:fill="EAF2F7"/>
            <w:tcMar>
              <w:top w:w="80" w:type="dxa"/>
              <w:left w:w="100" w:type="dxa"/>
              <w:bottom w:w="80" w:type="dxa"/>
              <w:right w:w="100" w:type="dxa"/>
            </w:tcMar>
          </w:tcPr>
          <w:p w14:paraId="0C429CE9" w14:textId="77777777" w:rsidR="00E579F2" w:rsidRDefault="00FC5553">
            <w:pPr>
              <w:spacing w:after="0"/>
              <w:rPr>
                <w:rFonts w:hint="eastAsia"/>
              </w:rPr>
            </w:pPr>
            <w:r>
              <w:rPr>
                <w:b/>
                <w:color w:val="17324D"/>
                <w:sz w:val="17"/>
              </w:rPr>
              <w:t>Version</w:t>
            </w:r>
          </w:p>
        </w:tc>
        <w:tc>
          <w:tcPr>
            <w:tcW w:w="7488" w:type="dxa"/>
            <w:tcBorders>
              <w:top w:val="single" w:sz="4" w:space="0" w:color="C9D6DF"/>
              <w:left w:val="single" w:sz="4" w:space="0" w:color="C9D6DF"/>
              <w:bottom w:val="single" w:sz="4" w:space="0" w:color="C9D6DF"/>
              <w:right w:val="single" w:sz="4" w:space="0" w:color="C9D6DF"/>
            </w:tcBorders>
            <w:tcMar>
              <w:top w:w="80" w:type="dxa"/>
              <w:left w:w="100" w:type="dxa"/>
              <w:bottom w:w="80" w:type="dxa"/>
              <w:right w:w="100" w:type="dxa"/>
            </w:tcMar>
          </w:tcPr>
          <w:p w14:paraId="728A50DC" w14:textId="77777777" w:rsidR="00E579F2" w:rsidRDefault="00FC5553">
            <w:pPr>
              <w:spacing w:after="0"/>
              <w:rPr>
                <w:rFonts w:hint="eastAsia"/>
              </w:rPr>
            </w:pPr>
            <w:r>
              <w:rPr>
                <w:sz w:val="17"/>
              </w:rPr>
              <w:t>1.0</w:t>
            </w:r>
          </w:p>
        </w:tc>
      </w:tr>
      <w:tr w:rsidR="00E579F2" w14:paraId="56F90237" w14:textId="77777777">
        <w:tc>
          <w:tcPr>
            <w:tcW w:w="2232" w:type="dxa"/>
            <w:tcBorders>
              <w:top w:val="single" w:sz="4" w:space="0" w:color="C9D6DF"/>
              <w:left w:val="single" w:sz="4" w:space="0" w:color="C9D6DF"/>
              <w:bottom w:val="single" w:sz="4" w:space="0" w:color="C9D6DF"/>
              <w:right w:val="single" w:sz="4" w:space="0" w:color="C9D6DF"/>
            </w:tcBorders>
            <w:shd w:val="clear" w:color="auto" w:fill="EAF2F7"/>
            <w:tcMar>
              <w:top w:w="80" w:type="dxa"/>
              <w:left w:w="100" w:type="dxa"/>
              <w:bottom w:w="80" w:type="dxa"/>
              <w:right w:w="100" w:type="dxa"/>
            </w:tcMar>
          </w:tcPr>
          <w:p w14:paraId="0A03DC61" w14:textId="77777777" w:rsidR="00E579F2" w:rsidRDefault="00FC5553">
            <w:pPr>
              <w:spacing w:after="0"/>
              <w:rPr>
                <w:rFonts w:hint="eastAsia"/>
              </w:rPr>
            </w:pPr>
            <w:r>
              <w:rPr>
                <w:b/>
                <w:color w:val="17324D"/>
                <w:sz w:val="17"/>
              </w:rPr>
              <w:t>Architecture</w:t>
            </w:r>
          </w:p>
        </w:tc>
        <w:tc>
          <w:tcPr>
            <w:tcW w:w="7488" w:type="dxa"/>
            <w:tcBorders>
              <w:top w:val="single" w:sz="4" w:space="0" w:color="C9D6DF"/>
              <w:left w:val="single" w:sz="4" w:space="0" w:color="C9D6DF"/>
              <w:bottom w:val="single" w:sz="4" w:space="0" w:color="C9D6DF"/>
              <w:right w:val="single" w:sz="4" w:space="0" w:color="C9D6DF"/>
            </w:tcBorders>
            <w:tcMar>
              <w:top w:w="80" w:type="dxa"/>
              <w:left w:w="100" w:type="dxa"/>
              <w:bottom w:w="80" w:type="dxa"/>
              <w:right w:w="100" w:type="dxa"/>
            </w:tcMar>
          </w:tcPr>
          <w:p w14:paraId="512A1874" w14:textId="77777777" w:rsidR="00E579F2" w:rsidRDefault="00FC5553">
            <w:pPr>
              <w:spacing w:after="0"/>
              <w:rPr>
                <w:rFonts w:hint="eastAsia"/>
              </w:rPr>
            </w:pPr>
            <w:r>
              <w:rPr>
                <w:sz w:val="17"/>
              </w:rPr>
              <w:t>CERBERUS Semantic Kernel System</w:t>
            </w:r>
          </w:p>
        </w:tc>
      </w:tr>
      <w:tr w:rsidR="00E579F2" w14:paraId="562A9E07" w14:textId="77777777">
        <w:tc>
          <w:tcPr>
            <w:tcW w:w="2232" w:type="dxa"/>
            <w:tcBorders>
              <w:top w:val="single" w:sz="4" w:space="0" w:color="C9D6DF"/>
              <w:left w:val="single" w:sz="4" w:space="0" w:color="C9D6DF"/>
              <w:bottom w:val="single" w:sz="4" w:space="0" w:color="C9D6DF"/>
              <w:right w:val="single" w:sz="4" w:space="0" w:color="C9D6DF"/>
            </w:tcBorders>
            <w:shd w:val="clear" w:color="auto" w:fill="EAF2F7"/>
            <w:tcMar>
              <w:top w:w="80" w:type="dxa"/>
              <w:left w:w="100" w:type="dxa"/>
              <w:bottom w:w="80" w:type="dxa"/>
              <w:right w:w="100" w:type="dxa"/>
            </w:tcMar>
          </w:tcPr>
          <w:p w14:paraId="29D6DD49" w14:textId="77777777" w:rsidR="00E579F2" w:rsidRDefault="00FC5553">
            <w:pPr>
              <w:spacing w:after="0"/>
              <w:rPr>
                <w:rFonts w:hint="eastAsia"/>
              </w:rPr>
            </w:pPr>
            <w:r>
              <w:rPr>
                <w:b/>
                <w:color w:val="17324D"/>
                <w:sz w:val="17"/>
              </w:rPr>
              <w:t>Status</w:t>
            </w:r>
          </w:p>
        </w:tc>
        <w:tc>
          <w:tcPr>
            <w:tcW w:w="7488" w:type="dxa"/>
            <w:tcBorders>
              <w:top w:val="single" w:sz="4" w:space="0" w:color="C9D6DF"/>
              <w:left w:val="single" w:sz="4" w:space="0" w:color="C9D6DF"/>
              <w:bottom w:val="single" w:sz="4" w:space="0" w:color="C9D6DF"/>
              <w:right w:val="single" w:sz="4" w:space="0" w:color="C9D6DF"/>
            </w:tcBorders>
            <w:tcMar>
              <w:top w:w="80" w:type="dxa"/>
              <w:left w:w="100" w:type="dxa"/>
              <w:bottom w:w="80" w:type="dxa"/>
              <w:right w:w="100" w:type="dxa"/>
            </w:tcMar>
          </w:tcPr>
          <w:p w14:paraId="32F4032D" w14:textId="77777777" w:rsidR="00E579F2" w:rsidRDefault="00FC5553">
            <w:pPr>
              <w:spacing w:after="0"/>
              <w:rPr>
                <w:rFonts w:hint="eastAsia"/>
              </w:rPr>
            </w:pPr>
            <w:r>
              <w:rPr>
                <w:sz w:val="17"/>
              </w:rPr>
              <w:t>Prototype Formal Specification</w:t>
            </w:r>
          </w:p>
        </w:tc>
      </w:tr>
      <w:tr w:rsidR="00E579F2" w14:paraId="0F2C691C" w14:textId="77777777">
        <w:tc>
          <w:tcPr>
            <w:tcW w:w="2232" w:type="dxa"/>
            <w:tcBorders>
              <w:top w:val="single" w:sz="4" w:space="0" w:color="C9D6DF"/>
              <w:left w:val="single" w:sz="4" w:space="0" w:color="C9D6DF"/>
              <w:bottom w:val="single" w:sz="4" w:space="0" w:color="C9D6DF"/>
              <w:right w:val="single" w:sz="4" w:space="0" w:color="C9D6DF"/>
            </w:tcBorders>
            <w:shd w:val="clear" w:color="auto" w:fill="EAF2F7"/>
            <w:tcMar>
              <w:top w:w="80" w:type="dxa"/>
              <w:left w:w="100" w:type="dxa"/>
              <w:bottom w:w="80" w:type="dxa"/>
              <w:right w:w="100" w:type="dxa"/>
            </w:tcMar>
          </w:tcPr>
          <w:p w14:paraId="3BFD53BA" w14:textId="77777777" w:rsidR="00E579F2" w:rsidRDefault="00FC5553">
            <w:pPr>
              <w:spacing w:after="0"/>
              <w:rPr>
                <w:rFonts w:hint="eastAsia"/>
              </w:rPr>
            </w:pPr>
            <w:r>
              <w:rPr>
                <w:b/>
                <w:color w:val="17324D"/>
                <w:sz w:val="17"/>
              </w:rPr>
              <w:t>Primary concern</w:t>
            </w:r>
          </w:p>
        </w:tc>
        <w:tc>
          <w:tcPr>
            <w:tcW w:w="7488" w:type="dxa"/>
            <w:tcBorders>
              <w:top w:val="single" w:sz="4" w:space="0" w:color="C9D6DF"/>
              <w:left w:val="single" w:sz="4" w:space="0" w:color="C9D6DF"/>
              <w:bottom w:val="single" w:sz="4" w:space="0" w:color="C9D6DF"/>
              <w:right w:val="single" w:sz="4" w:space="0" w:color="C9D6DF"/>
            </w:tcBorders>
            <w:tcMar>
              <w:top w:w="80" w:type="dxa"/>
              <w:left w:w="100" w:type="dxa"/>
              <w:bottom w:w="80" w:type="dxa"/>
              <w:right w:w="100" w:type="dxa"/>
            </w:tcMar>
          </w:tcPr>
          <w:p w14:paraId="0081D09B" w14:textId="77777777" w:rsidR="00E579F2" w:rsidRDefault="00FC5553">
            <w:pPr>
              <w:spacing w:after="0"/>
              <w:rPr>
                <w:rFonts w:hint="eastAsia"/>
              </w:rPr>
            </w:pPr>
            <w:r>
              <w:rPr>
                <w:sz w:val="17"/>
              </w:rPr>
              <w:t>Self-parameterized Semantic Kernel dynamics and deterministic semantic chaining</w:t>
            </w:r>
          </w:p>
        </w:tc>
      </w:tr>
    </w:tbl>
    <w:p w14:paraId="35C8FD63" w14:textId="77777777" w:rsidR="00E579F2" w:rsidRDefault="00FC5553">
      <w:pPr>
        <w:rPr>
          <w:rFonts w:hint="eastAsia"/>
        </w:rPr>
      </w:pPr>
      <w:r>
        <w:br w:type="page"/>
      </w:r>
    </w:p>
    <w:p w14:paraId="7AAD965E" w14:textId="77777777" w:rsidR="00E579F2" w:rsidRDefault="00FC5553">
      <w:pPr>
        <w:pStyle w:val="Heading1"/>
      </w:pPr>
      <w:bookmarkStart w:id="0" w:name="abstract"/>
      <w:r>
        <w:t>Abstract</w:t>
      </w:r>
      <w:bookmarkEnd w:id="0"/>
    </w:p>
    <w:p w14:paraId="706E7CBF" w14:textId="77777777" w:rsidR="00E579F2" w:rsidRDefault="00FC5553">
      <w:pPr>
        <w:spacing w:line="274" w:lineRule="auto"/>
        <w:rPr>
          <w:rFonts w:hint="eastAsia"/>
        </w:rPr>
      </w:pPr>
      <w:r>
        <w:rPr>
          <w:sz w:val="21"/>
        </w:rPr>
        <w:t>Self-Contained Bitstate Parameterization defines a method for extending a Semantic Kernel (SK) so that an instantiated object carries not only its current semantic bitstate, but also the object-specific ModelKey parameters that govern how that bitstate changes. The central pattern is a stable semantic prefix, such as a 128-bit standard word, followed by an extension word that stores thresholds, bounds, scales, hysteresis values, or other bounded transition parameters. The canonical Model remains a registry-</w:t>
      </w:r>
      <w:r>
        <w:rPr>
          <w:sz w:val="21"/>
        </w:rPr>
        <w:t>defined interpretation contract; the ModelKey extension carries the exact parameter values used by that Model for the instantiated object.</w:t>
      </w:r>
    </w:p>
    <w:p w14:paraId="59B49B1B" w14:textId="77777777" w:rsidR="00E579F2" w:rsidRDefault="00FC5553">
      <w:pPr>
        <w:spacing w:line="274" w:lineRule="auto"/>
        <w:rPr>
          <w:rFonts w:hint="eastAsia"/>
        </w:rPr>
      </w:pPr>
      <w:r>
        <w:rPr>
          <w:sz w:val="21"/>
        </w:rPr>
        <w:t>The method allows one object to occupy many independent SK state-spaces at once. Each SK remains locally simple: it observes defined semantic inputs, compares them against its own ModelKey parameters, evaluates Rules, invokes a precisely scoped Operator, and commits an exact bit mutation. Cross-object and cross-Kernel bindings allow the source value to be another object's bitstate rather than a raw sensor or local field. Repeating this pattern creates semantic chains in which globally complex behavior emerg</w:t>
      </w:r>
      <w:r>
        <w:rPr>
          <w:sz w:val="21"/>
        </w:rPr>
        <w:t>es from small, deterministic, inspectable transitions.</w:t>
      </w:r>
    </w:p>
    <w:tbl>
      <w:tblPr>
        <w:tblW w:w="0" w:type="auto"/>
        <w:jc w:val="center"/>
        <w:tblLayout w:type="fixed"/>
        <w:tblLook w:val="04A0" w:firstRow="1" w:lastRow="0" w:firstColumn="1" w:lastColumn="0" w:noHBand="0" w:noVBand="1"/>
      </w:tblPr>
      <w:tblGrid>
        <w:gridCol w:w="9720"/>
      </w:tblGrid>
      <w:tr w:rsidR="00E579F2" w14:paraId="56E90AD5" w14:textId="77777777">
        <w:trPr>
          <w:jc w:val="center"/>
        </w:trPr>
        <w:tc>
          <w:tcPr>
            <w:tcW w:w="9720" w:type="dxa"/>
            <w:tcBorders>
              <w:top w:val="single" w:sz="5" w:space="0" w:color="C9D6DF"/>
              <w:left w:val="single" w:sz="12" w:space="0" w:color="2A7F8E"/>
              <w:bottom w:val="single" w:sz="5" w:space="0" w:color="C9D6DF"/>
              <w:right w:val="single" w:sz="5" w:space="0" w:color="C9D6DF"/>
            </w:tcBorders>
            <w:shd w:val="clear" w:color="auto" w:fill="E8F5F6"/>
            <w:tcMar>
              <w:top w:w="140" w:type="dxa"/>
              <w:left w:w="180" w:type="dxa"/>
              <w:bottom w:w="140" w:type="dxa"/>
              <w:right w:w="180" w:type="dxa"/>
            </w:tcMar>
          </w:tcPr>
          <w:p w14:paraId="00AF2E0F" w14:textId="77777777" w:rsidR="00E579F2" w:rsidRDefault="00FC5553">
            <w:pPr>
              <w:spacing w:after="40"/>
              <w:rPr>
                <w:rFonts w:hint="eastAsia"/>
              </w:rPr>
            </w:pPr>
            <w:r>
              <w:rPr>
                <w:b/>
                <w:color w:val="17324D"/>
              </w:rPr>
              <w:t>Core proposition</w:t>
            </w:r>
          </w:p>
          <w:p w14:paraId="5B86A15B" w14:textId="77777777" w:rsidR="00E579F2" w:rsidRDefault="00FC5553">
            <w:pPr>
              <w:spacing w:after="0"/>
              <w:rPr>
                <w:rFonts w:hint="eastAsia"/>
              </w:rPr>
            </w:pPr>
            <w:r>
              <w:rPr>
                <w:sz w:val="19"/>
              </w:rPr>
              <w:t>An SK can carry the parameters that define its own transition boundaries. Another SK supplies the changing semantic input. Rules decide whether the boundary crossing is valid, Operators perform the exact bit mutation, and the resulting delta can parameterize the next SK in the chain.</w:t>
            </w:r>
          </w:p>
        </w:tc>
      </w:tr>
    </w:tbl>
    <w:p w14:paraId="45516C77" w14:textId="77777777" w:rsidR="00E579F2" w:rsidRDefault="00E579F2">
      <w:pPr>
        <w:spacing w:after="20"/>
        <w:rPr>
          <w:rFonts w:hint="eastAsia"/>
        </w:rPr>
      </w:pPr>
    </w:p>
    <w:p w14:paraId="5FBAD7F6" w14:textId="77777777" w:rsidR="00E579F2" w:rsidRDefault="00FC5553">
      <w:pPr>
        <w:pStyle w:val="Heading2"/>
      </w:pPr>
      <w:bookmarkStart w:id="1" w:name="conventions"/>
      <w:r>
        <w:t>Document Conventions</w:t>
      </w:r>
      <w:bookmarkEnd w:id="1"/>
    </w:p>
    <w:p w14:paraId="1DFBE431" w14:textId="77777777" w:rsidR="00E579F2" w:rsidRDefault="00FC5553">
      <w:pPr>
        <w:spacing w:line="274" w:lineRule="auto"/>
        <w:rPr>
          <w:rFonts w:hint="eastAsia"/>
        </w:rPr>
      </w:pPr>
      <w:r>
        <w:rPr>
          <w:sz w:val="21"/>
        </w:rPr>
        <w:t>The key words MUST, MUST NOT, SHOULD, SHOULD NOT, and MAY are normative when capitalized. Examples marked illustrative demonstrate the mechanism but do not freeze a production bit allocation for a future Kernel unless explicitly identified as normative.</w:t>
      </w:r>
    </w:p>
    <w:p w14:paraId="636DEDE3" w14:textId="77777777" w:rsidR="00E579F2" w:rsidRDefault="00FC5553">
      <w:pPr>
        <w:spacing w:line="274" w:lineRule="auto"/>
        <w:rPr>
          <w:rFonts w:hint="eastAsia"/>
        </w:rPr>
      </w:pPr>
      <w:r>
        <w:rPr>
          <w:sz w:val="21"/>
        </w:rPr>
        <w:t>Bit addresses are written as B000, B001, and so on. Bit ranges are inclusive. Semantic addresses use the form KERNEL:VERSION:BIT-OR-GROUP when a precise machine-readable address is required. An object identity remains external to the packed word and is resolved through its NodeKey or equivalent canonical identity record.</w:t>
      </w:r>
    </w:p>
    <w:p w14:paraId="0B4BFF40" w14:textId="77777777" w:rsidR="00E579F2" w:rsidRDefault="00FC5553">
      <w:pPr>
        <w:rPr>
          <w:rFonts w:hint="eastAsia"/>
        </w:rPr>
      </w:pPr>
      <w:r>
        <w:br w:type="page"/>
      </w:r>
    </w:p>
    <w:p w14:paraId="7D8BEF4C" w14:textId="77777777" w:rsidR="00E579F2" w:rsidRDefault="00FC5553">
      <w:pPr>
        <w:pStyle w:val="Heading1"/>
      </w:pPr>
      <w:bookmarkStart w:id="2" w:name="contents"/>
      <w:r>
        <w:t>Contents</w:t>
      </w:r>
      <w:bookmarkEnd w:id="2"/>
    </w:p>
    <w:p w14:paraId="7C682786" w14:textId="77777777" w:rsidR="00E579F2" w:rsidRDefault="00FC5553">
      <w:pPr>
        <w:spacing w:after="50"/>
        <w:rPr>
          <w:rFonts w:hint="eastAsia"/>
        </w:rPr>
      </w:pPr>
      <w:hyperlink w:anchor="sec1" w:history="1">
        <w:r>
          <w:rPr>
            <w:color w:val="2A7F8E"/>
            <w:u w:val="single"/>
          </w:rPr>
          <w:t>1. Purpose and Scope</w:t>
        </w:r>
      </w:hyperlink>
    </w:p>
    <w:p w14:paraId="42C135B1" w14:textId="77777777" w:rsidR="00E579F2" w:rsidRDefault="00FC5553">
      <w:pPr>
        <w:spacing w:after="50"/>
        <w:rPr>
          <w:rFonts w:hint="eastAsia"/>
        </w:rPr>
      </w:pPr>
      <w:hyperlink w:anchor="sec2" w:history="1">
        <w:r>
          <w:rPr>
            <w:color w:val="2A7F8E"/>
            <w:u w:val="single"/>
          </w:rPr>
          <w:t>2. Architectural Principle</w:t>
        </w:r>
      </w:hyperlink>
    </w:p>
    <w:p w14:paraId="0935A471" w14:textId="77777777" w:rsidR="00E579F2" w:rsidRDefault="00FC5553">
      <w:pPr>
        <w:spacing w:after="50"/>
        <w:rPr>
          <w:rFonts w:hint="eastAsia"/>
        </w:rPr>
      </w:pPr>
      <w:hyperlink w:anchor="sec3" w:history="1">
        <w:r>
          <w:rPr>
            <w:color w:val="2A7F8E"/>
            <w:u w:val="single"/>
          </w:rPr>
          <w:t>3. Formal Entity Model</w:t>
        </w:r>
      </w:hyperlink>
    </w:p>
    <w:p w14:paraId="69F22E0F" w14:textId="77777777" w:rsidR="00E579F2" w:rsidRDefault="00FC5553">
      <w:pPr>
        <w:spacing w:after="50"/>
        <w:rPr>
          <w:rFonts w:hint="eastAsia"/>
        </w:rPr>
      </w:pPr>
      <w:hyperlink w:anchor="sec4" w:history="1">
        <w:r>
          <w:rPr>
            <w:color w:val="2A7F8E"/>
            <w:u w:val="single"/>
          </w:rPr>
          <w:t>4. Word Families and Prefix Preservation</w:t>
        </w:r>
      </w:hyperlink>
    </w:p>
    <w:p w14:paraId="0ADDD955" w14:textId="77777777" w:rsidR="00E579F2" w:rsidRDefault="00FC5553">
      <w:pPr>
        <w:spacing w:after="50"/>
        <w:rPr>
          <w:rFonts w:hint="eastAsia"/>
        </w:rPr>
      </w:pPr>
      <w:hyperlink w:anchor="sec5" w:history="1">
        <w:r>
          <w:rPr>
            <w:color w:val="2A7F8E"/>
            <w:u w:val="single"/>
          </w:rPr>
          <w:t>5. ModelKey-Extended Semantic Kernels</w:t>
        </w:r>
      </w:hyperlink>
    </w:p>
    <w:p w14:paraId="7BE74A39" w14:textId="77777777" w:rsidR="00E579F2" w:rsidRDefault="00FC5553">
      <w:pPr>
        <w:spacing w:after="50"/>
        <w:rPr>
          <w:rFonts w:hint="eastAsia"/>
        </w:rPr>
      </w:pPr>
      <w:hyperlink w:anchor="sec6" w:history="1">
        <w:r>
          <w:rPr>
            <w:color w:val="2A7F8E"/>
            <w:u w:val="single"/>
          </w:rPr>
          <w:t>6. Bitstate Parameters</w:t>
        </w:r>
      </w:hyperlink>
    </w:p>
    <w:p w14:paraId="73175D52" w14:textId="77777777" w:rsidR="00E579F2" w:rsidRDefault="00FC5553">
      <w:pPr>
        <w:spacing w:after="50"/>
        <w:rPr>
          <w:rFonts w:hint="eastAsia"/>
        </w:rPr>
      </w:pPr>
      <w:hyperlink w:anchor="sec7" w:history="1">
        <w:r>
          <w:rPr>
            <w:color w:val="2A7F8E"/>
            <w:u w:val="single"/>
          </w:rPr>
          <w:t>7. Parameter Sources and Bindings</w:t>
        </w:r>
      </w:hyperlink>
    </w:p>
    <w:p w14:paraId="6264134A" w14:textId="77777777" w:rsidR="00E579F2" w:rsidRDefault="00FC5553">
      <w:pPr>
        <w:spacing w:after="50"/>
        <w:rPr>
          <w:rFonts w:hint="eastAsia"/>
        </w:rPr>
      </w:pPr>
      <w:hyperlink w:anchor="sec8" w:history="1">
        <w:r>
          <w:rPr>
            <w:color w:val="2A7F8E"/>
            <w:u w:val="single"/>
          </w:rPr>
          <w:t>8. Operator Semantics</w:t>
        </w:r>
      </w:hyperlink>
    </w:p>
    <w:p w14:paraId="3444EB81" w14:textId="77777777" w:rsidR="00E579F2" w:rsidRDefault="00FC5553">
      <w:pPr>
        <w:spacing w:after="50"/>
        <w:rPr>
          <w:rFonts w:hint="eastAsia"/>
        </w:rPr>
      </w:pPr>
      <w:hyperlink w:anchor="sec9" w:history="1">
        <w:r>
          <w:rPr>
            <w:color w:val="2A7F8E"/>
            <w:u w:val="single"/>
          </w:rPr>
          <w:t>9. Rules and Threshold Evaluation</w:t>
        </w:r>
      </w:hyperlink>
    </w:p>
    <w:p w14:paraId="530B83BC" w14:textId="77777777" w:rsidR="00E579F2" w:rsidRDefault="00FC5553">
      <w:pPr>
        <w:spacing w:after="50"/>
        <w:rPr>
          <w:rFonts w:hint="eastAsia"/>
        </w:rPr>
      </w:pPr>
      <w:hyperlink w:anchor="sec10" w:history="1">
        <w:r>
          <w:rPr>
            <w:color w:val="2A7F8E"/>
            <w:u w:val="single"/>
          </w:rPr>
          <w:t>10. State Transition Algorithm</w:t>
        </w:r>
      </w:hyperlink>
    </w:p>
    <w:p w14:paraId="7BC9B542" w14:textId="77777777" w:rsidR="00E579F2" w:rsidRDefault="00FC5553">
      <w:pPr>
        <w:spacing w:after="50"/>
        <w:rPr>
          <w:rFonts w:hint="eastAsia"/>
        </w:rPr>
      </w:pPr>
      <w:hyperlink w:anchor="sec11" w:history="1">
        <w:r>
          <w:rPr>
            <w:color w:val="2A7F8E"/>
            <w:u w:val="single"/>
          </w:rPr>
          <w:t>11. Multi-Kernel Objects</w:t>
        </w:r>
      </w:hyperlink>
    </w:p>
    <w:p w14:paraId="043BAFBF" w14:textId="77777777" w:rsidR="00E579F2" w:rsidRDefault="00FC5553">
      <w:pPr>
        <w:spacing w:after="50"/>
        <w:rPr>
          <w:rFonts w:hint="eastAsia"/>
        </w:rPr>
      </w:pPr>
      <w:hyperlink w:anchor="sec12" w:history="1">
        <w:r>
          <w:rPr>
            <w:color w:val="2A7F8E"/>
            <w:u w:val="single"/>
          </w:rPr>
          <w:t>12. Cross-Object Semantic Chaining</w:t>
        </w:r>
      </w:hyperlink>
    </w:p>
    <w:p w14:paraId="00D1F527" w14:textId="77777777" w:rsidR="00E579F2" w:rsidRDefault="00FC5553">
      <w:pPr>
        <w:spacing w:after="50"/>
        <w:rPr>
          <w:rFonts w:hint="eastAsia"/>
        </w:rPr>
      </w:pPr>
      <w:hyperlink w:anchor="sec13" w:history="1">
        <w:r>
          <w:rPr>
            <w:color w:val="2A7F8E"/>
            <w:u w:val="single"/>
          </w:rPr>
          <w:t>13. Worked Example: Culinary Thermal Chain</w:t>
        </w:r>
      </w:hyperlink>
    </w:p>
    <w:p w14:paraId="11B68694" w14:textId="77777777" w:rsidR="00E579F2" w:rsidRDefault="00FC5553">
      <w:pPr>
        <w:spacing w:after="50"/>
        <w:rPr>
          <w:rFonts w:hint="eastAsia"/>
        </w:rPr>
      </w:pPr>
      <w:hyperlink w:anchor="sec14" w:history="1">
        <w:r>
          <w:rPr>
            <w:color w:val="2A7F8E"/>
            <w:u w:val="single"/>
          </w:rPr>
          <w:t>14. Worked Example: Workout Progression Chain</w:t>
        </w:r>
      </w:hyperlink>
    </w:p>
    <w:p w14:paraId="22559218" w14:textId="77777777" w:rsidR="00E579F2" w:rsidRDefault="00FC5553">
      <w:pPr>
        <w:spacing w:after="50"/>
        <w:rPr>
          <w:rFonts w:hint="eastAsia"/>
        </w:rPr>
      </w:pPr>
      <w:hyperlink w:anchor="sec15" w:history="1">
        <w:r>
          <w:rPr>
            <w:color w:val="2A7F8E"/>
            <w:u w:val="single"/>
          </w:rPr>
          <w:t>15. Worked Example: Machining-to-Culinary Provenance Chain</w:t>
        </w:r>
      </w:hyperlink>
    </w:p>
    <w:p w14:paraId="47D255C8" w14:textId="77777777" w:rsidR="00E579F2" w:rsidRDefault="00FC5553">
      <w:pPr>
        <w:spacing w:after="50"/>
        <w:rPr>
          <w:rFonts w:hint="eastAsia"/>
        </w:rPr>
      </w:pPr>
      <w:hyperlink w:anchor="sec16" w:history="1">
        <w:r>
          <w:rPr>
            <w:color w:val="2A7F8E"/>
            <w:u w:val="single"/>
          </w:rPr>
          <w:t>16. Chaining, Bitlinks, and Translation</w:t>
        </w:r>
      </w:hyperlink>
    </w:p>
    <w:p w14:paraId="6B31BE8B" w14:textId="77777777" w:rsidR="00E579F2" w:rsidRDefault="00FC5553">
      <w:pPr>
        <w:spacing w:after="50"/>
        <w:rPr>
          <w:rFonts w:hint="eastAsia"/>
        </w:rPr>
      </w:pPr>
      <w:hyperlink w:anchor="sec17" w:history="1">
        <w:r>
          <w:rPr>
            <w:color w:val="2A7F8E"/>
            <w:u w:val="single"/>
          </w:rPr>
          <w:t>17. Provenance, Time, and Replay</w:t>
        </w:r>
      </w:hyperlink>
    </w:p>
    <w:p w14:paraId="6E67DDC5" w14:textId="77777777" w:rsidR="00E579F2" w:rsidRDefault="00FC5553">
      <w:pPr>
        <w:spacing w:after="50"/>
        <w:rPr>
          <w:rFonts w:hint="eastAsia"/>
        </w:rPr>
      </w:pPr>
      <w:hyperlink w:anchor="sec18" w:history="1">
        <w:r>
          <w:rPr>
            <w:color w:val="2A7F8E"/>
            <w:u w:val="single"/>
          </w:rPr>
          <w:t>18. Cloning, Templates, and Copy-on-Write</w:t>
        </w:r>
      </w:hyperlink>
    </w:p>
    <w:p w14:paraId="21B3B166" w14:textId="77777777" w:rsidR="00E579F2" w:rsidRDefault="00FC5553">
      <w:pPr>
        <w:spacing w:after="50"/>
        <w:rPr>
          <w:rFonts w:hint="eastAsia"/>
        </w:rPr>
      </w:pPr>
      <w:hyperlink w:anchor="sec19" w:history="1">
        <w:r>
          <w:rPr>
            <w:color w:val="2A7F8E"/>
            <w:u w:val="single"/>
          </w:rPr>
          <w:t>19. Runtime and Storage Model</w:t>
        </w:r>
      </w:hyperlink>
    </w:p>
    <w:p w14:paraId="05A96003" w14:textId="77777777" w:rsidR="00E579F2" w:rsidRDefault="00FC5553">
      <w:pPr>
        <w:spacing w:after="50"/>
        <w:rPr>
          <w:rFonts w:hint="eastAsia"/>
        </w:rPr>
      </w:pPr>
      <w:hyperlink w:anchor="sec20" w:history="1">
        <w:r>
          <w:rPr>
            <w:color w:val="2A7F8E"/>
            <w:u w:val="single"/>
          </w:rPr>
          <w:t>20. Airtable Prototype Mapping</w:t>
        </w:r>
      </w:hyperlink>
    </w:p>
    <w:p w14:paraId="4DD51148" w14:textId="77777777" w:rsidR="00E579F2" w:rsidRDefault="00FC5553">
      <w:pPr>
        <w:spacing w:after="50"/>
        <w:rPr>
          <w:rFonts w:hint="eastAsia"/>
        </w:rPr>
      </w:pPr>
      <w:hyperlink w:anchor="sec21" w:history="1">
        <w:r>
          <w:rPr>
            <w:color w:val="2A7F8E"/>
            <w:u w:val="single"/>
          </w:rPr>
          <w:t>21. Conformance and Validation</w:t>
        </w:r>
      </w:hyperlink>
    </w:p>
    <w:p w14:paraId="0204C7DC" w14:textId="77777777" w:rsidR="00E579F2" w:rsidRDefault="00FC5553">
      <w:pPr>
        <w:spacing w:after="50"/>
        <w:rPr>
          <w:rFonts w:hint="eastAsia"/>
        </w:rPr>
      </w:pPr>
      <w:hyperlink w:anchor="sec22" w:history="1">
        <w:r>
          <w:rPr>
            <w:color w:val="2A7F8E"/>
            <w:u w:val="single"/>
          </w:rPr>
          <w:t>22. Edge Cases and Failure Controls</w:t>
        </w:r>
      </w:hyperlink>
    </w:p>
    <w:p w14:paraId="0C73E817" w14:textId="77777777" w:rsidR="00E579F2" w:rsidRDefault="00FC5553">
      <w:pPr>
        <w:spacing w:after="50"/>
        <w:rPr>
          <w:rFonts w:hint="eastAsia"/>
        </w:rPr>
      </w:pPr>
      <w:hyperlink w:anchor="sec23" w:history="1">
        <w:r>
          <w:rPr>
            <w:color w:val="2A7F8E"/>
            <w:u w:val="single"/>
          </w:rPr>
          <w:t>23. Versioning and Evolution</w:t>
        </w:r>
      </w:hyperlink>
    </w:p>
    <w:p w14:paraId="559B716E" w14:textId="77777777" w:rsidR="00E579F2" w:rsidRDefault="00FC5553">
      <w:pPr>
        <w:spacing w:after="50"/>
        <w:rPr>
          <w:rFonts w:hint="eastAsia"/>
        </w:rPr>
      </w:pPr>
      <w:hyperlink w:anchor="sec24" w:history="1">
        <w:r>
          <w:rPr>
            <w:color w:val="2A7F8E"/>
            <w:u w:val="single"/>
          </w:rPr>
          <w:t>24. Implementation Templates</w:t>
        </w:r>
      </w:hyperlink>
    </w:p>
    <w:p w14:paraId="475B66D6" w14:textId="77777777" w:rsidR="00E579F2" w:rsidRDefault="00FC5553">
      <w:pPr>
        <w:spacing w:after="50"/>
        <w:rPr>
          <w:rFonts w:hint="eastAsia"/>
        </w:rPr>
      </w:pPr>
      <w:hyperlink w:anchor="sec25" w:history="1">
        <w:r>
          <w:rPr>
            <w:color w:val="2A7F8E"/>
            <w:u w:val="single"/>
          </w:rPr>
          <w:t>25. Design Implications</w:t>
        </w:r>
      </w:hyperlink>
    </w:p>
    <w:p w14:paraId="18850127" w14:textId="77777777" w:rsidR="00E579F2" w:rsidRDefault="00FC5553">
      <w:pPr>
        <w:spacing w:after="50"/>
        <w:rPr>
          <w:rFonts w:hint="eastAsia"/>
        </w:rPr>
      </w:pPr>
      <w:hyperlink w:anchor="glossary" w:history="1">
        <w:r>
          <w:rPr>
            <w:color w:val="2A7F8E"/>
            <w:u w:val="single"/>
          </w:rPr>
          <w:t>Glossary</w:t>
        </w:r>
      </w:hyperlink>
    </w:p>
    <w:p w14:paraId="4189EDBD" w14:textId="77777777" w:rsidR="00E579F2" w:rsidRDefault="00FC5553">
      <w:pPr>
        <w:spacing w:after="50"/>
        <w:rPr>
          <w:rFonts w:hint="eastAsia"/>
        </w:rPr>
      </w:pPr>
      <w:hyperlink w:anchor="subject_index" w:history="1">
        <w:r>
          <w:rPr>
            <w:color w:val="2A7F8E"/>
            <w:u w:val="single"/>
          </w:rPr>
          <w:t>Subject Index</w:t>
        </w:r>
      </w:hyperlink>
    </w:p>
    <w:p w14:paraId="63724AD1" w14:textId="77777777" w:rsidR="00E579F2" w:rsidRDefault="00FC5553">
      <w:pPr>
        <w:rPr>
          <w:rFonts w:hint="eastAsia"/>
        </w:rPr>
      </w:pPr>
      <w:r>
        <w:br w:type="page"/>
      </w:r>
    </w:p>
    <w:p w14:paraId="32AD27FE" w14:textId="77777777" w:rsidR="00E579F2" w:rsidRDefault="00FC5553">
      <w:pPr>
        <w:pStyle w:val="Heading1"/>
      </w:pPr>
      <w:bookmarkStart w:id="3" w:name="sec1"/>
      <w:r>
        <w:t>1. Purpose and Scope</w:t>
      </w:r>
      <w:bookmarkEnd w:id="3"/>
    </w:p>
    <w:p w14:paraId="37E3FC9D" w14:textId="77777777" w:rsidR="00E579F2" w:rsidRDefault="00FC5553">
      <w:pPr>
        <w:spacing w:line="274" w:lineRule="auto"/>
        <w:rPr>
          <w:rFonts w:hint="eastAsia"/>
        </w:rPr>
      </w:pPr>
      <w:r>
        <w:rPr>
          <w:sz w:val="21"/>
        </w:rPr>
        <w:t>This specification defines Self-Contained Bitstate Parameterization as an extension pattern for CERBERUS Semantic Kernels. It addresses the case where a Kernel state does not change only because a user explicitly edits it, but because a measurable or semantic source crosses an object-specific transition boundary. Typical examples include food changing preparation state as temperature and time change, material state changing as a furnace changes, a workout plan changing when recovery and performance conditio</w:t>
      </w:r>
      <w:r>
        <w:rPr>
          <w:sz w:val="21"/>
        </w:rPr>
        <w:t>ns are met, or a game object changing state when another object enters a linked semantic condition.</w:t>
      </w:r>
    </w:p>
    <w:p w14:paraId="405ED57F" w14:textId="77777777" w:rsidR="00E579F2" w:rsidRDefault="00FC5553">
      <w:pPr>
        <w:spacing w:line="274" w:lineRule="auto"/>
        <w:rPr>
          <w:rFonts w:hint="eastAsia"/>
        </w:rPr>
      </w:pPr>
      <w:r>
        <w:rPr>
          <w:sz w:val="21"/>
        </w:rPr>
        <w:t>The specification is deliberately domain-neutral. It does not attempt to define cooking science, metallurgy, physiology, or game physics. Instead, it defines the machine-operable grammar that allows experts to encode those domains as bounded Kernel contracts and object-specific ModelKey parameters.</w:t>
      </w:r>
    </w:p>
    <w:p w14:paraId="11314766" w14:textId="77777777" w:rsidR="00E579F2" w:rsidRDefault="00FC5553">
      <w:pPr>
        <w:pStyle w:val="Heading2"/>
      </w:pPr>
      <w:r>
        <w:t>1.1 Goals</w:t>
      </w:r>
    </w:p>
    <w:p w14:paraId="2A8CDADD" w14:textId="77777777" w:rsidR="00E579F2" w:rsidRDefault="00FC5553">
      <w:pPr>
        <w:pStyle w:val="ListBullet"/>
        <w:spacing w:after="50" w:line="259" w:lineRule="auto"/>
        <w:rPr>
          <w:rFonts w:hint="eastAsia"/>
        </w:rPr>
      </w:pPr>
      <w:r>
        <w:rPr>
          <w:sz w:val="21"/>
        </w:rPr>
        <w:t>Keep individual SK transitions small, deterministic, and exactly scoped to declared bits or bit groups.</w:t>
      </w:r>
    </w:p>
    <w:p w14:paraId="78B51CB5" w14:textId="77777777" w:rsidR="00E579F2" w:rsidRDefault="00FC5553">
      <w:pPr>
        <w:pStyle w:val="ListBullet"/>
        <w:spacing w:after="50" w:line="259" w:lineRule="auto"/>
        <w:rPr>
          <w:rFonts w:hint="eastAsia"/>
        </w:rPr>
      </w:pPr>
      <w:r>
        <w:rPr>
          <w:sz w:val="21"/>
        </w:rPr>
        <w:t>Allow an instantiated SK to carry the parameters that define its own transition boundaries.</w:t>
      </w:r>
    </w:p>
    <w:p w14:paraId="571B5672" w14:textId="77777777" w:rsidR="00E579F2" w:rsidRDefault="00FC5553">
      <w:pPr>
        <w:pStyle w:val="ListBullet"/>
        <w:spacing w:after="50" w:line="259" w:lineRule="auto"/>
        <w:rPr>
          <w:rFonts w:hint="eastAsia"/>
        </w:rPr>
      </w:pPr>
      <w:r>
        <w:rPr>
          <w:sz w:val="21"/>
        </w:rPr>
        <w:t>Preserve stable 128-bit standard prefixes while permitting 256-bit, 512-bit, or other explicit extension families.</w:t>
      </w:r>
    </w:p>
    <w:p w14:paraId="4ED035A5" w14:textId="77777777" w:rsidR="00E579F2" w:rsidRDefault="00FC5553">
      <w:pPr>
        <w:pStyle w:val="ListBullet"/>
        <w:spacing w:after="50" w:line="259" w:lineRule="auto"/>
        <w:rPr>
          <w:rFonts w:hint="eastAsia"/>
        </w:rPr>
      </w:pPr>
      <w:r>
        <w:rPr>
          <w:sz w:val="21"/>
        </w:rPr>
        <w:t>Allow source parameters to come from the same object, another SK on the same object, another object, or a translated external semantic source.</w:t>
      </w:r>
    </w:p>
    <w:p w14:paraId="24A6D9CD" w14:textId="77777777" w:rsidR="00E579F2" w:rsidRDefault="00FC5553">
      <w:pPr>
        <w:pStyle w:val="ListBullet"/>
        <w:spacing w:after="50" w:line="259" w:lineRule="auto"/>
        <w:rPr>
          <w:rFonts w:hint="eastAsia"/>
        </w:rPr>
      </w:pPr>
      <w:r>
        <w:rPr>
          <w:sz w:val="21"/>
        </w:rPr>
        <w:t>Support semantic chaining without forcing domain-specific behavior into the CERBERUS Core runtime.</w:t>
      </w:r>
    </w:p>
    <w:p w14:paraId="2FFE65AA" w14:textId="77777777" w:rsidR="00E579F2" w:rsidRDefault="00FC5553">
      <w:pPr>
        <w:pStyle w:val="ListBullet"/>
        <w:spacing w:after="50" w:line="259" w:lineRule="auto"/>
        <w:rPr>
          <w:rFonts w:hint="eastAsia"/>
        </w:rPr>
      </w:pPr>
      <w:r>
        <w:rPr>
          <w:sz w:val="21"/>
        </w:rPr>
        <w:t>Maintain traceability from source bitstate through threshold evaluation, Rule decision, Operator mutation, resulting delta, and downstream effects.</w:t>
      </w:r>
    </w:p>
    <w:p w14:paraId="4D8EFC94" w14:textId="77777777" w:rsidR="00E579F2" w:rsidRDefault="00FC5553">
      <w:pPr>
        <w:pStyle w:val="Heading2"/>
      </w:pPr>
      <w:r>
        <w:t>1.2 Non-goals</w:t>
      </w:r>
    </w:p>
    <w:p w14:paraId="017CA119" w14:textId="77777777" w:rsidR="00E579F2" w:rsidRDefault="00FC5553">
      <w:pPr>
        <w:pStyle w:val="ListBullet"/>
        <w:spacing w:after="50" w:line="259" w:lineRule="auto"/>
        <w:rPr>
          <w:rFonts w:hint="eastAsia"/>
        </w:rPr>
      </w:pPr>
      <w:r>
        <w:rPr>
          <w:sz w:val="21"/>
        </w:rPr>
        <w:t>This specification does not require AI. All execution semantics are deterministic and can be driven by buttons, scripts, sensors, games, automation, or other software.</w:t>
      </w:r>
    </w:p>
    <w:p w14:paraId="253CDBB4" w14:textId="77777777" w:rsidR="00E579F2" w:rsidRDefault="00FC5553">
      <w:pPr>
        <w:pStyle w:val="ListBullet"/>
        <w:spacing w:after="50" w:line="259" w:lineRule="auto"/>
        <w:rPr>
          <w:rFonts w:hint="eastAsia"/>
        </w:rPr>
      </w:pPr>
      <w:r>
        <w:rPr>
          <w:sz w:val="21"/>
        </w:rPr>
        <w:t>This specification does not require every domain to use 128-bit words. A Kernel earns a fixed-width representation only when its operational state is stable enough to justify one.</w:t>
      </w:r>
    </w:p>
    <w:p w14:paraId="2AC554E5" w14:textId="77777777" w:rsidR="00E579F2" w:rsidRDefault="00FC5553">
      <w:pPr>
        <w:pStyle w:val="ListBullet"/>
        <w:spacing w:after="50" w:line="259" w:lineRule="auto"/>
        <w:rPr>
          <w:rFonts w:hint="eastAsia"/>
        </w:rPr>
      </w:pPr>
      <w:r>
        <w:rPr>
          <w:sz w:val="21"/>
        </w:rPr>
        <w:t>Self-contained parameterization does not mean duplicating all upstream world data inside the target word. The target contains its own model parameters; external source values remain authoritative at their source.</w:t>
      </w:r>
    </w:p>
    <w:p w14:paraId="6F56A5A0" w14:textId="77777777" w:rsidR="00E579F2" w:rsidRDefault="00FC5553">
      <w:pPr>
        <w:pStyle w:val="ListBullet"/>
        <w:spacing w:after="50" w:line="259" w:lineRule="auto"/>
        <w:rPr>
          <w:rFonts w:hint="eastAsia"/>
        </w:rPr>
      </w:pPr>
      <w:r>
        <w:rPr>
          <w:sz w:val="21"/>
        </w:rPr>
        <w:t>This specification does not make simulated outputs equivalent to observed or validated real-world facts. Provenance and state type MUST distinguish those categories.</w:t>
      </w:r>
    </w:p>
    <w:p w14:paraId="6A1CD7CE" w14:textId="77777777" w:rsidR="00E579F2" w:rsidRDefault="00FC5553">
      <w:pPr>
        <w:pStyle w:val="Heading1"/>
      </w:pPr>
      <w:bookmarkStart w:id="4" w:name="sec2"/>
      <w:r>
        <w:t>2. Architectural Principle</w:t>
      </w:r>
      <w:bookmarkEnd w:id="4"/>
    </w:p>
    <w:p w14:paraId="6F8FF8D6" w14:textId="77777777" w:rsidR="00E579F2" w:rsidRDefault="00FC5553">
      <w:pPr>
        <w:spacing w:line="274" w:lineRule="auto"/>
        <w:rPr>
          <w:rFonts w:hint="eastAsia"/>
        </w:rPr>
      </w:pPr>
      <w:r>
        <w:rPr>
          <w:sz w:val="21"/>
        </w:rPr>
        <w:t>An object can be modeled as one identity occupying any number of bounded Semantic Kernel state-spaces. The global complexity of the object is therefore compositional rather than monolithic. Each Kernel is responsible only for its own semantic modality and exposes its own state, parameters, Operators, Rules, Models, and Bitlinks.</w:t>
      </w:r>
    </w:p>
    <w:p w14:paraId="014A2561" w14:textId="77777777" w:rsidR="00E579F2" w:rsidRDefault="00FC5553">
      <w:pPr>
        <w:pStyle w:val="FigureCaption"/>
        <w:keepLines/>
        <w:spacing w:before="80" w:after="60"/>
        <w:rPr>
          <w:rFonts w:hint="eastAsia"/>
        </w:rPr>
      </w:pPr>
      <w:r>
        <w:t>Figure 1. Object as a composition of bounded Semantic Kernel state-spaces</w:t>
      </w:r>
    </w:p>
    <w:p w14:paraId="1488A27A" w14:textId="77777777" w:rsidR="00E579F2" w:rsidRDefault="00FC5553">
      <w:pPr>
        <w:pStyle w:val="CodeBlock"/>
        <w:pBdr>
          <w:left w:val="single" w:sz="18" w:space="8" w:color="2A7F8E"/>
        </w:pBdr>
        <w:shd w:val="clear" w:color="auto" w:fill="F4F7F9"/>
        <w:spacing w:before="40" w:after="160" w:line="240" w:lineRule="auto"/>
        <w:ind w:left="259" w:right="259"/>
        <w:rPr>
          <w:rFonts w:hint="eastAsia"/>
        </w:rPr>
      </w:pPr>
      <w:r>
        <w:t>OBJECT</w:t>
      </w:r>
      <w:r>
        <w:br/>
      </w:r>
      <w:r>
        <w:t>|</w:t>
      </w:r>
      <w:r>
        <w:br/>
      </w:r>
      <w:r>
        <w:t>+-- SK_A -&gt; current word + ModelKey parameters</w:t>
      </w:r>
      <w:r>
        <w:br/>
      </w:r>
      <w:r>
        <w:t>+-- SK_B -&gt; current word + ModelKey parameters</w:t>
      </w:r>
      <w:r>
        <w:br/>
      </w:r>
      <w:r>
        <w:t>+-- SK_C -&gt; current word + ModelKey parameters</w:t>
      </w:r>
      <w:r>
        <w:br/>
      </w:r>
      <w:r>
        <w:t>+-- SK_D -&gt; current word + ModelKey parameters</w:t>
      </w:r>
      <w:r>
        <w:br/>
      </w:r>
      <w:r>
        <w:t>`-- SK_n -&gt; current word + ModelKey parameters</w:t>
      </w:r>
    </w:p>
    <w:p w14:paraId="58CDEA8D" w14:textId="77777777" w:rsidR="00E579F2" w:rsidRDefault="00FC5553">
      <w:pPr>
        <w:spacing w:line="274" w:lineRule="auto"/>
        <w:rPr>
          <w:rFonts w:hint="eastAsia"/>
        </w:rPr>
      </w:pPr>
      <w:r>
        <w:rPr>
          <w:sz w:val="21"/>
        </w:rPr>
        <w:t>The resulting architecture has two complementary properties. Locally, each Kernel can remain simple enough to inspect down to exact bit changes. Globally, many Kernels can interact through stable semantic bindings, allowing complex behavior to emerge from a graph of small state transitions.</w:t>
      </w:r>
    </w:p>
    <w:tbl>
      <w:tblPr>
        <w:tblW w:w="0" w:type="auto"/>
        <w:jc w:val="center"/>
        <w:tblLayout w:type="fixed"/>
        <w:tblLook w:val="04A0" w:firstRow="1" w:lastRow="0" w:firstColumn="1" w:lastColumn="0" w:noHBand="0" w:noVBand="1"/>
      </w:tblPr>
      <w:tblGrid>
        <w:gridCol w:w="9720"/>
      </w:tblGrid>
      <w:tr w:rsidR="00E579F2" w14:paraId="592A7EE7" w14:textId="77777777">
        <w:trPr>
          <w:jc w:val="center"/>
        </w:trPr>
        <w:tc>
          <w:tcPr>
            <w:tcW w:w="9720" w:type="dxa"/>
            <w:tcBorders>
              <w:top w:val="single" w:sz="5" w:space="0" w:color="C9D6DF"/>
              <w:left w:val="single" w:sz="12" w:space="0" w:color="2A7F8E"/>
              <w:bottom w:val="single" w:sz="5" w:space="0" w:color="C9D6DF"/>
              <w:right w:val="single" w:sz="5" w:space="0" w:color="C9D6DF"/>
            </w:tcBorders>
            <w:shd w:val="clear" w:color="auto" w:fill="E8F5F6"/>
            <w:tcMar>
              <w:top w:w="140" w:type="dxa"/>
              <w:left w:w="180" w:type="dxa"/>
              <w:bottom w:w="140" w:type="dxa"/>
              <w:right w:w="180" w:type="dxa"/>
            </w:tcMar>
          </w:tcPr>
          <w:p w14:paraId="6EAC0C75" w14:textId="77777777" w:rsidR="00E579F2" w:rsidRDefault="00FC5553">
            <w:pPr>
              <w:spacing w:after="40"/>
              <w:rPr>
                <w:rFonts w:hint="eastAsia"/>
              </w:rPr>
            </w:pPr>
            <w:r>
              <w:rPr>
                <w:b/>
                <w:color w:val="17324D"/>
              </w:rPr>
              <w:t>Design law</w:t>
            </w:r>
          </w:p>
          <w:p w14:paraId="5966D5F2" w14:textId="77777777" w:rsidR="00E579F2" w:rsidRDefault="00FC5553">
            <w:pPr>
              <w:spacing w:after="0"/>
              <w:rPr>
                <w:rFonts w:hint="eastAsia"/>
              </w:rPr>
            </w:pPr>
            <w:r>
              <w:rPr>
                <w:sz w:val="19"/>
              </w:rPr>
              <w:t>Simple bits locally. Complex worlds globally. Complexity SHOULD arise from composition, semantic chaining, Models, and explicit Rules rather than from opaque domain-specific runtime code.</w:t>
            </w:r>
          </w:p>
        </w:tc>
      </w:tr>
    </w:tbl>
    <w:p w14:paraId="4E534387" w14:textId="77777777" w:rsidR="00E579F2" w:rsidRDefault="00E579F2">
      <w:pPr>
        <w:spacing w:after="20"/>
        <w:rPr>
          <w:rFonts w:hint="eastAsia"/>
        </w:rPr>
      </w:pPr>
    </w:p>
    <w:p w14:paraId="6B526330" w14:textId="77777777" w:rsidR="00E579F2" w:rsidRDefault="00FC5553">
      <w:pPr>
        <w:pStyle w:val="Heading2"/>
      </w:pPr>
      <w:r>
        <w:t>2.1 Semantic plasticity through attachment</w:t>
      </w:r>
    </w:p>
    <w:p w14:paraId="52B41DC6" w14:textId="77777777" w:rsidR="00E579F2" w:rsidRDefault="00FC5553">
      <w:pPr>
        <w:spacing w:line="274" w:lineRule="auto"/>
        <w:rPr>
          <w:rFonts w:hint="eastAsia"/>
        </w:rPr>
      </w:pPr>
      <w:r>
        <w:rPr>
          <w:sz w:val="21"/>
        </w:rPr>
        <w:t>The object schema is not permanently fixed at creation. Attaching another compatible SK adds another formal coordinate system through which the same NodeKey can be inspected, operated, simulated, or rendered. Existing Kernels do not need to be rewritten merely because a new semantic modality is attached.</w:t>
      </w:r>
    </w:p>
    <w:p w14:paraId="62E72000" w14:textId="77777777" w:rsidR="00E579F2" w:rsidRDefault="00FC5553">
      <w:pPr>
        <w:pStyle w:val="Heading2"/>
      </w:pPr>
      <w:r>
        <w:t>2.2 Dynamic plasticity through ModelKeys</w:t>
      </w:r>
    </w:p>
    <w:p w14:paraId="57C38F7E" w14:textId="77777777" w:rsidR="00E579F2" w:rsidRDefault="00FC5553">
      <w:pPr>
        <w:spacing w:line="274" w:lineRule="auto"/>
        <w:rPr>
          <w:rFonts w:hint="eastAsia"/>
        </w:rPr>
      </w:pPr>
      <w:r>
        <w:rPr>
          <w:sz w:val="21"/>
        </w:rPr>
        <w:t>A ModelKey makes the attached modality object-specific. The Kernel contract defines what parameter slots mean; the ModelKey supplies the values that apply to this particular object. For a thermal cooking transition, the Kernel may define an entry threshold, exit threshold, time requirement, and comparator semantics, while a steak ModelKey and a potato ModelKey provide different values.</w:t>
      </w:r>
    </w:p>
    <w:p w14:paraId="0464B968" w14:textId="77777777" w:rsidR="00E579F2" w:rsidRDefault="00FC5553">
      <w:pPr>
        <w:pStyle w:val="Heading1"/>
      </w:pPr>
      <w:bookmarkStart w:id="5" w:name="sec3"/>
      <w:r>
        <w:t>3. Formal Entity Model</w:t>
      </w:r>
      <w:bookmarkEnd w:id="5"/>
    </w:p>
    <w:tbl>
      <w:tblPr>
        <w:tblW w:w="0" w:type="auto"/>
        <w:jc w:val="center"/>
        <w:tblLayout w:type="fixed"/>
        <w:tblLook w:val="04A0" w:firstRow="1" w:lastRow="0" w:firstColumn="1" w:lastColumn="0" w:noHBand="0" w:noVBand="1"/>
      </w:tblPr>
      <w:tblGrid>
        <w:gridCol w:w="2376"/>
        <w:gridCol w:w="7343"/>
      </w:tblGrid>
      <w:tr w:rsidR="00E579F2" w14:paraId="36E369DE" w14:textId="77777777">
        <w:trPr>
          <w:tblHeader/>
          <w:jc w:val="center"/>
        </w:trPr>
        <w:tc>
          <w:tcPr>
            <w:tcW w:w="2376" w:type="dxa"/>
            <w:tcBorders>
              <w:top w:val="single" w:sz="4" w:space="0" w:color="C9D6DF"/>
              <w:left w:val="single" w:sz="4" w:space="0" w:color="C9D6DF"/>
              <w:bottom w:val="single" w:sz="4" w:space="0" w:color="C9D6DF"/>
              <w:right w:val="single" w:sz="4" w:space="0" w:color="C9D6DF"/>
            </w:tcBorders>
            <w:shd w:val="clear" w:color="auto" w:fill="17324D"/>
            <w:tcMar>
              <w:top w:w="105" w:type="dxa"/>
              <w:left w:w="110" w:type="dxa"/>
              <w:bottom w:w="105" w:type="dxa"/>
              <w:right w:w="110" w:type="dxa"/>
            </w:tcMar>
            <w:vAlign w:val="center"/>
          </w:tcPr>
          <w:p w14:paraId="27297C16" w14:textId="77777777" w:rsidR="00E579F2" w:rsidRDefault="00FC5553">
            <w:pPr>
              <w:spacing w:after="0"/>
              <w:rPr>
                <w:rFonts w:hint="eastAsia"/>
              </w:rPr>
            </w:pPr>
            <w:r>
              <w:rPr>
                <w:b/>
                <w:color w:val="FFFFFF"/>
                <w:sz w:val="17"/>
              </w:rPr>
              <w:t>Entity</w:t>
            </w:r>
          </w:p>
        </w:tc>
        <w:tc>
          <w:tcPr>
            <w:tcW w:w="7343" w:type="dxa"/>
            <w:tcBorders>
              <w:top w:val="single" w:sz="4" w:space="0" w:color="C9D6DF"/>
              <w:left w:val="single" w:sz="4" w:space="0" w:color="C9D6DF"/>
              <w:bottom w:val="single" w:sz="4" w:space="0" w:color="C9D6DF"/>
              <w:right w:val="single" w:sz="4" w:space="0" w:color="C9D6DF"/>
            </w:tcBorders>
            <w:shd w:val="clear" w:color="auto" w:fill="17324D"/>
            <w:tcMar>
              <w:top w:w="105" w:type="dxa"/>
              <w:left w:w="110" w:type="dxa"/>
              <w:bottom w:w="105" w:type="dxa"/>
              <w:right w:w="110" w:type="dxa"/>
            </w:tcMar>
            <w:vAlign w:val="center"/>
          </w:tcPr>
          <w:p w14:paraId="7D8A1F65" w14:textId="77777777" w:rsidR="00E579F2" w:rsidRDefault="00FC5553">
            <w:pPr>
              <w:spacing w:after="0"/>
              <w:rPr>
                <w:rFonts w:hint="eastAsia"/>
              </w:rPr>
            </w:pPr>
            <w:r>
              <w:rPr>
                <w:b/>
                <w:color w:val="FFFFFF"/>
                <w:sz w:val="17"/>
              </w:rPr>
              <w:t>Normative responsibility</w:t>
            </w:r>
          </w:p>
        </w:tc>
      </w:tr>
      <w:tr w:rsidR="00E579F2" w14:paraId="76C4BBD1" w14:textId="77777777">
        <w:trPr>
          <w:cantSplit/>
          <w:jc w:val="center"/>
        </w:trPr>
        <w:tc>
          <w:tcPr>
            <w:tcW w:w="2376" w:type="dxa"/>
            <w:tcMar>
              <w:top w:w="95" w:type="dxa"/>
              <w:left w:w="110" w:type="dxa"/>
              <w:bottom w:w="95" w:type="dxa"/>
              <w:right w:w="110" w:type="dxa"/>
            </w:tcMar>
            <w:vAlign w:val="center"/>
          </w:tcPr>
          <w:p w14:paraId="4D612D02" w14:textId="77777777" w:rsidR="00E579F2" w:rsidRDefault="00FC5553">
            <w:pPr>
              <w:spacing w:after="0" w:line="252" w:lineRule="auto"/>
              <w:rPr>
                <w:rFonts w:hint="eastAsia"/>
              </w:rPr>
            </w:pPr>
            <w:r>
              <w:rPr>
                <w:sz w:val="17"/>
              </w:rPr>
              <w:t>NodeKey / Object Identity</w:t>
            </w:r>
          </w:p>
        </w:tc>
        <w:tc>
          <w:tcPr>
            <w:tcW w:w="7343" w:type="dxa"/>
            <w:tcMar>
              <w:top w:w="95" w:type="dxa"/>
              <w:left w:w="110" w:type="dxa"/>
              <w:bottom w:w="95" w:type="dxa"/>
              <w:right w:w="110" w:type="dxa"/>
            </w:tcMar>
            <w:vAlign w:val="center"/>
          </w:tcPr>
          <w:p w14:paraId="24088AE2" w14:textId="77777777" w:rsidR="00E579F2" w:rsidRDefault="00FC5553">
            <w:pPr>
              <w:spacing w:after="0" w:line="252" w:lineRule="auto"/>
              <w:rPr>
                <w:rFonts w:hint="eastAsia"/>
              </w:rPr>
            </w:pPr>
            <w:r>
              <w:rPr>
                <w:sz w:val="17"/>
              </w:rPr>
              <w:t>Names the object that owns or participates in one or more Kernel states.</w:t>
            </w:r>
          </w:p>
        </w:tc>
      </w:tr>
      <w:tr w:rsidR="00E579F2" w14:paraId="3216D3DF" w14:textId="77777777">
        <w:trPr>
          <w:cantSplit/>
          <w:jc w:val="center"/>
        </w:trPr>
        <w:tc>
          <w:tcPr>
            <w:tcW w:w="2376" w:type="dxa"/>
            <w:tcMar>
              <w:top w:w="95" w:type="dxa"/>
              <w:left w:w="110" w:type="dxa"/>
              <w:bottom w:w="95" w:type="dxa"/>
              <w:right w:w="110" w:type="dxa"/>
            </w:tcMar>
            <w:vAlign w:val="center"/>
          </w:tcPr>
          <w:p w14:paraId="74663835" w14:textId="77777777" w:rsidR="00E579F2" w:rsidRDefault="00FC5553">
            <w:pPr>
              <w:spacing w:after="0" w:line="252" w:lineRule="auto"/>
              <w:rPr>
                <w:rFonts w:hint="eastAsia"/>
              </w:rPr>
            </w:pPr>
            <w:r>
              <w:rPr>
                <w:sz w:val="17"/>
              </w:rPr>
              <w:t>Semantic Kernel Specification</w:t>
            </w:r>
          </w:p>
        </w:tc>
        <w:tc>
          <w:tcPr>
            <w:tcW w:w="7343" w:type="dxa"/>
            <w:tcMar>
              <w:top w:w="95" w:type="dxa"/>
              <w:left w:w="110" w:type="dxa"/>
              <w:bottom w:w="95" w:type="dxa"/>
              <w:right w:w="110" w:type="dxa"/>
            </w:tcMar>
            <w:vAlign w:val="center"/>
          </w:tcPr>
          <w:p w14:paraId="1087500E" w14:textId="77777777" w:rsidR="00E579F2" w:rsidRDefault="00FC5553">
            <w:pPr>
              <w:spacing w:after="0" w:line="252" w:lineRule="auto"/>
              <w:rPr>
                <w:rFonts w:hint="eastAsia"/>
              </w:rPr>
            </w:pPr>
            <w:r>
              <w:rPr>
                <w:sz w:val="17"/>
              </w:rPr>
              <w:t>Defines bit meanings, groups, encodings, version, serialization, and valid state-space.</w:t>
            </w:r>
          </w:p>
        </w:tc>
      </w:tr>
      <w:tr w:rsidR="00E579F2" w14:paraId="390BB2E4" w14:textId="77777777">
        <w:trPr>
          <w:cantSplit/>
          <w:jc w:val="center"/>
        </w:trPr>
        <w:tc>
          <w:tcPr>
            <w:tcW w:w="2376" w:type="dxa"/>
            <w:tcMar>
              <w:top w:w="95" w:type="dxa"/>
              <w:left w:w="110" w:type="dxa"/>
              <w:bottom w:w="95" w:type="dxa"/>
              <w:right w:w="110" w:type="dxa"/>
            </w:tcMar>
            <w:vAlign w:val="center"/>
          </w:tcPr>
          <w:p w14:paraId="30CAE0FD" w14:textId="77777777" w:rsidR="00E579F2" w:rsidRDefault="00FC5553">
            <w:pPr>
              <w:spacing w:after="0" w:line="252" w:lineRule="auto"/>
              <w:rPr>
                <w:rFonts w:hint="eastAsia"/>
              </w:rPr>
            </w:pPr>
            <w:r>
              <w:rPr>
                <w:sz w:val="17"/>
              </w:rPr>
              <w:t>Kernel Instance</w:t>
            </w:r>
          </w:p>
        </w:tc>
        <w:tc>
          <w:tcPr>
            <w:tcW w:w="7343" w:type="dxa"/>
            <w:tcMar>
              <w:top w:w="95" w:type="dxa"/>
              <w:left w:w="110" w:type="dxa"/>
              <w:bottom w:w="95" w:type="dxa"/>
              <w:right w:w="110" w:type="dxa"/>
            </w:tcMar>
            <w:vAlign w:val="center"/>
          </w:tcPr>
          <w:p w14:paraId="72260E9E" w14:textId="77777777" w:rsidR="00E579F2" w:rsidRDefault="00FC5553">
            <w:pPr>
              <w:spacing w:after="0" w:line="252" w:lineRule="auto"/>
              <w:rPr>
                <w:rFonts w:hint="eastAsia"/>
              </w:rPr>
            </w:pPr>
            <w:r>
              <w:rPr>
                <w:sz w:val="17"/>
              </w:rPr>
              <w:t>Binds an object to a current Kernel word and version.</w:t>
            </w:r>
          </w:p>
        </w:tc>
      </w:tr>
      <w:tr w:rsidR="00E579F2" w14:paraId="34AC8064" w14:textId="77777777">
        <w:trPr>
          <w:cantSplit/>
          <w:jc w:val="center"/>
        </w:trPr>
        <w:tc>
          <w:tcPr>
            <w:tcW w:w="2376" w:type="dxa"/>
            <w:tcMar>
              <w:top w:w="95" w:type="dxa"/>
              <w:left w:w="110" w:type="dxa"/>
              <w:bottom w:w="95" w:type="dxa"/>
              <w:right w:w="110" w:type="dxa"/>
            </w:tcMar>
            <w:vAlign w:val="center"/>
          </w:tcPr>
          <w:p w14:paraId="10DAB976" w14:textId="77777777" w:rsidR="00E579F2" w:rsidRDefault="00FC5553">
            <w:pPr>
              <w:spacing w:after="0" w:line="252" w:lineRule="auto"/>
              <w:rPr>
                <w:rFonts w:hint="eastAsia"/>
              </w:rPr>
            </w:pPr>
            <w:r>
              <w:rPr>
                <w:sz w:val="17"/>
              </w:rPr>
              <w:t>Model</w:t>
            </w:r>
          </w:p>
        </w:tc>
        <w:tc>
          <w:tcPr>
            <w:tcW w:w="7343" w:type="dxa"/>
            <w:tcMar>
              <w:top w:w="95" w:type="dxa"/>
              <w:left w:w="110" w:type="dxa"/>
              <w:bottom w:w="95" w:type="dxa"/>
              <w:right w:w="110" w:type="dxa"/>
            </w:tcMar>
            <w:vAlign w:val="center"/>
          </w:tcPr>
          <w:p w14:paraId="3209952C" w14:textId="77777777" w:rsidR="00E579F2" w:rsidRDefault="00FC5553">
            <w:pPr>
              <w:spacing w:after="0" w:line="252" w:lineRule="auto"/>
              <w:rPr>
                <w:rFonts w:hint="eastAsia"/>
              </w:rPr>
            </w:pPr>
            <w:r>
              <w:rPr>
                <w:sz w:val="17"/>
              </w:rPr>
              <w:t>Defines the canonical interpretation or calculation applied to ModelKey values and semantic inputs.</w:t>
            </w:r>
          </w:p>
        </w:tc>
      </w:tr>
      <w:tr w:rsidR="00E579F2" w14:paraId="6CD4DFD7" w14:textId="77777777">
        <w:trPr>
          <w:cantSplit/>
          <w:jc w:val="center"/>
        </w:trPr>
        <w:tc>
          <w:tcPr>
            <w:tcW w:w="2376" w:type="dxa"/>
            <w:tcMar>
              <w:top w:w="95" w:type="dxa"/>
              <w:left w:w="110" w:type="dxa"/>
              <w:bottom w:w="95" w:type="dxa"/>
              <w:right w:w="110" w:type="dxa"/>
            </w:tcMar>
            <w:vAlign w:val="center"/>
          </w:tcPr>
          <w:p w14:paraId="58C65A23" w14:textId="77777777" w:rsidR="00E579F2" w:rsidRDefault="00FC5553">
            <w:pPr>
              <w:spacing w:after="0" w:line="252" w:lineRule="auto"/>
              <w:rPr>
                <w:rFonts w:hint="eastAsia"/>
              </w:rPr>
            </w:pPr>
            <w:r>
              <w:rPr>
                <w:sz w:val="17"/>
              </w:rPr>
              <w:t>ModelKey</w:t>
            </w:r>
          </w:p>
        </w:tc>
        <w:tc>
          <w:tcPr>
            <w:tcW w:w="7343" w:type="dxa"/>
            <w:tcMar>
              <w:top w:w="95" w:type="dxa"/>
              <w:left w:w="110" w:type="dxa"/>
              <w:bottom w:w="95" w:type="dxa"/>
              <w:right w:w="110" w:type="dxa"/>
            </w:tcMar>
            <w:vAlign w:val="center"/>
          </w:tcPr>
          <w:p w14:paraId="4C7CDA70" w14:textId="77777777" w:rsidR="00E579F2" w:rsidRDefault="00FC5553">
            <w:pPr>
              <w:spacing w:after="0" w:line="252" w:lineRule="auto"/>
              <w:rPr>
                <w:rFonts w:hint="eastAsia"/>
              </w:rPr>
            </w:pPr>
            <w:r>
              <w:rPr>
                <w:sz w:val="17"/>
              </w:rPr>
              <w:t>Carries object-specific values used by a Model. In an extended SK, these values may be serialized directly into the suffix word.</w:t>
            </w:r>
          </w:p>
        </w:tc>
      </w:tr>
      <w:tr w:rsidR="00E579F2" w14:paraId="2DAA08BA" w14:textId="77777777">
        <w:trPr>
          <w:cantSplit/>
          <w:jc w:val="center"/>
        </w:trPr>
        <w:tc>
          <w:tcPr>
            <w:tcW w:w="2376" w:type="dxa"/>
            <w:tcMar>
              <w:top w:w="95" w:type="dxa"/>
              <w:left w:w="110" w:type="dxa"/>
              <w:bottom w:w="95" w:type="dxa"/>
              <w:right w:w="110" w:type="dxa"/>
            </w:tcMar>
            <w:vAlign w:val="center"/>
          </w:tcPr>
          <w:p w14:paraId="3D9C1D30" w14:textId="77777777" w:rsidR="00E579F2" w:rsidRDefault="00FC5553">
            <w:pPr>
              <w:spacing w:after="0" w:line="252" w:lineRule="auto"/>
              <w:rPr>
                <w:rFonts w:hint="eastAsia"/>
              </w:rPr>
            </w:pPr>
            <w:r>
              <w:rPr>
                <w:sz w:val="17"/>
              </w:rPr>
              <w:t>Bitstate Parameter</w:t>
            </w:r>
          </w:p>
        </w:tc>
        <w:tc>
          <w:tcPr>
            <w:tcW w:w="7343" w:type="dxa"/>
            <w:tcMar>
              <w:top w:w="95" w:type="dxa"/>
              <w:left w:w="110" w:type="dxa"/>
              <w:bottom w:w="95" w:type="dxa"/>
              <w:right w:w="110" w:type="dxa"/>
            </w:tcMar>
            <w:vAlign w:val="center"/>
          </w:tcPr>
          <w:p w14:paraId="29188B70" w14:textId="77777777" w:rsidR="00E579F2" w:rsidRDefault="00FC5553">
            <w:pPr>
              <w:spacing w:after="0" w:line="252" w:lineRule="auto"/>
              <w:rPr>
                <w:rFonts w:hint="eastAsia"/>
              </w:rPr>
            </w:pPr>
            <w:r>
              <w:rPr>
                <w:sz w:val="17"/>
              </w:rPr>
              <w:t>A bounded encoded value that determines a transition boundary, scale, range, hysteresis band, timing condition, or other state-change parameter.</w:t>
            </w:r>
          </w:p>
        </w:tc>
      </w:tr>
      <w:tr w:rsidR="00E579F2" w14:paraId="574AA81F" w14:textId="77777777">
        <w:trPr>
          <w:cantSplit/>
          <w:jc w:val="center"/>
        </w:trPr>
        <w:tc>
          <w:tcPr>
            <w:tcW w:w="2376" w:type="dxa"/>
            <w:tcMar>
              <w:top w:w="95" w:type="dxa"/>
              <w:left w:w="110" w:type="dxa"/>
              <w:bottom w:w="95" w:type="dxa"/>
              <w:right w:w="110" w:type="dxa"/>
            </w:tcMar>
            <w:vAlign w:val="center"/>
          </w:tcPr>
          <w:p w14:paraId="6F1D9485" w14:textId="77777777" w:rsidR="00E579F2" w:rsidRDefault="00FC5553">
            <w:pPr>
              <w:spacing w:after="0" w:line="252" w:lineRule="auto"/>
              <w:rPr>
                <w:rFonts w:hint="eastAsia"/>
              </w:rPr>
            </w:pPr>
            <w:r>
              <w:rPr>
                <w:sz w:val="17"/>
              </w:rPr>
              <w:t>Parameter Binding</w:t>
            </w:r>
          </w:p>
        </w:tc>
        <w:tc>
          <w:tcPr>
            <w:tcW w:w="7343" w:type="dxa"/>
            <w:tcMar>
              <w:top w:w="95" w:type="dxa"/>
              <w:left w:w="110" w:type="dxa"/>
              <w:bottom w:w="95" w:type="dxa"/>
              <w:right w:w="110" w:type="dxa"/>
            </w:tcMar>
            <w:vAlign w:val="center"/>
          </w:tcPr>
          <w:p w14:paraId="5CD7A10F" w14:textId="77777777" w:rsidR="00E579F2" w:rsidRDefault="00FC5553">
            <w:pPr>
              <w:spacing w:after="0" w:line="252" w:lineRule="auto"/>
              <w:rPr>
                <w:rFonts w:hint="eastAsia"/>
              </w:rPr>
            </w:pPr>
            <w:r>
              <w:rPr>
                <w:sz w:val="17"/>
              </w:rPr>
              <w:t>Declares where the source semantic value comes from and which local parameter slot evaluates it.</w:t>
            </w:r>
          </w:p>
        </w:tc>
      </w:tr>
      <w:tr w:rsidR="00E579F2" w14:paraId="37FC8B4E" w14:textId="77777777">
        <w:trPr>
          <w:cantSplit/>
          <w:jc w:val="center"/>
        </w:trPr>
        <w:tc>
          <w:tcPr>
            <w:tcW w:w="2376" w:type="dxa"/>
            <w:tcMar>
              <w:top w:w="95" w:type="dxa"/>
              <w:left w:w="110" w:type="dxa"/>
              <w:bottom w:w="95" w:type="dxa"/>
              <w:right w:w="110" w:type="dxa"/>
            </w:tcMar>
            <w:vAlign w:val="center"/>
          </w:tcPr>
          <w:p w14:paraId="662087C6" w14:textId="77777777" w:rsidR="00E579F2" w:rsidRDefault="00FC5553">
            <w:pPr>
              <w:spacing w:after="0" w:line="252" w:lineRule="auto"/>
              <w:rPr>
                <w:rFonts w:hint="eastAsia"/>
              </w:rPr>
            </w:pPr>
            <w:r>
              <w:rPr>
                <w:sz w:val="17"/>
              </w:rPr>
              <w:t>Operator</w:t>
            </w:r>
          </w:p>
        </w:tc>
        <w:tc>
          <w:tcPr>
            <w:tcW w:w="7343" w:type="dxa"/>
            <w:tcMar>
              <w:top w:w="95" w:type="dxa"/>
              <w:left w:w="110" w:type="dxa"/>
              <w:bottom w:w="95" w:type="dxa"/>
              <w:right w:w="110" w:type="dxa"/>
            </w:tcMar>
            <w:vAlign w:val="center"/>
          </w:tcPr>
          <w:p w14:paraId="0905A0F5" w14:textId="77777777" w:rsidR="00E579F2" w:rsidRDefault="00FC5553">
            <w:pPr>
              <w:spacing w:after="0" w:line="252" w:lineRule="auto"/>
              <w:rPr>
                <w:rFonts w:hint="eastAsia"/>
              </w:rPr>
            </w:pPr>
            <w:r>
              <w:rPr>
                <w:sz w:val="17"/>
              </w:rPr>
              <w:t>Performs an exact, declared mutation of target bits or bit groups.</w:t>
            </w:r>
          </w:p>
        </w:tc>
      </w:tr>
      <w:tr w:rsidR="00E579F2" w14:paraId="45F47A3C" w14:textId="77777777">
        <w:trPr>
          <w:cantSplit/>
          <w:jc w:val="center"/>
        </w:trPr>
        <w:tc>
          <w:tcPr>
            <w:tcW w:w="2376" w:type="dxa"/>
            <w:tcMar>
              <w:top w:w="95" w:type="dxa"/>
              <w:left w:w="110" w:type="dxa"/>
              <w:bottom w:w="95" w:type="dxa"/>
              <w:right w:w="110" w:type="dxa"/>
            </w:tcMar>
            <w:vAlign w:val="center"/>
          </w:tcPr>
          <w:p w14:paraId="6E7900EE" w14:textId="77777777" w:rsidR="00E579F2" w:rsidRDefault="00FC5553">
            <w:pPr>
              <w:spacing w:after="0" w:line="252" w:lineRule="auto"/>
              <w:rPr>
                <w:rFonts w:hint="eastAsia"/>
              </w:rPr>
            </w:pPr>
            <w:r>
              <w:rPr>
                <w:sz w:val="17"/>
              </w:rPr>
              <w:t>Rule</w:t>
            </w:r>
          </w:p>
        </w:tc>
        <w:tc>
          <w:tcPr>
            <w:tcW w:w="7343" w:type="dxa"/>
            <w:tcMar>
              <w:top w:w="95" w:type="dxa"/>
              <w:left w:w="110" w:type="dxa"/>
              <w:bottom w:w="95" w:type="dxa"/>
              <w:right w:w="110" w:type="dxa"/>
            </w:tcMar>
            <w:vAlign w:val="center"/>
          </w:tcPr>
          <w:p w14:paraId="3325A33F" w14:textId="77777777" w:rsidR="00E579F2" w:rsidRDefault="00FC5553">
            <w:pPr>
              <w:spacing w:after="0" w:line="252" w:lineRule="auto"/>
              <w:rPr>
                <w:rFonts w:hint="eastAsia"/>
              </w:rPr>
            </w:pPr>
            <w:r>
              <w:rPr>
                <w:sz w:val="17"/>
              </w:rPr>
              <w:t>Determines whether an attempted state transition is valid in the current context.</w:t>
            </w:r>
          </w:p>
        </w:tc>
      </w:tr>
      <w:tr w:rsidR="00E579F2" w14:paraId="13CBBFF6" w14:textId="77777777">
        <w:trPr>
          <w:cantSplit/>
          <w:jc w:val="center"/>
        </w:trPr>
        <w:tc>
          <w:tcPr>
            <w:tcW w:w="2376" w:type="dxa"/>
            <w:tcMar>
              <w:top w:w="95" w:type="dxa"/>
              <w:left w:w="110" w:type="dxa"/>
              <w:bottom w:w="95" w:type="dxa"/>
              <w:right w:w="110" w:type="dxa"/>
            </w:tcMar>
            <w:vAlign w:val="center"/>
          </w:tcPr>
          <w:p w14:paraId="4F021B2D" w14:textId="77777777" w:rsidR="00E579F2" w:rsidRDefault="00FC5553">
            <w:pPr>
              <w:spacing w:after="0" w:line="252" w:lineRule="auto"/>
              <w:rPr>
                <w:rFonts w:hint="eastAsia"/>
              </w:rPr>
            </w:pPr>
            <w:r>
              <w:rPr>
                <w:sz w:val="17"/>
              </w:rPr>
              <w:t>Bitlink / Translation</w:t>
            </w:r>
          </w:p>
        </w:tc>
        <w:tc>
          <w:tcPr>
            <w:tcW w:w="7343" w:type="dxa"/>
            <w:tcMar>
              <w:top w:w="95" w:type="dxa"/>
              <w:left w:w="110" w:type="dxa"/>
              <w:bottom w:w="95" w:type="dxa"/>
              <w:right w:w="110" w:type="dxa"/>
            </w:tcMar>
            <w:vAlign w:val="center"/>
          </w:tcPr>
          <w:p w14:paraId="1ED95CD9" w14:textId="77777777" w:rsidR="00E579F2" w:rsidRDefault="00FC5553">
            <w:pPr>
              <w:spacing w:after="0" w:line="252" w:lineRule="auto"/>
              <w:rPr>
                <w:rFonts w:hint="eastAsia"/>
              </w:rPr>
            </w:pPr>
            <w:r>
              <w:rPr>
                <w:sz w:val="17"/>
              </w:rPr>
              <w:t>Maps a semantic delta or value in one Kernel to another Kernel, modality, or interpretation system.</w:t>
            </w:r>
          </w:p>
        </w:tc>
      </w:tr>
      <w:tr w:rsidR="00E579F2" w14:paraId="33A1C3F7" w14:textId="77777777">
        <w:trPr>
          <w:cantSplit/>
          <w:jc w:val="center"/>
        </w:trPr>
        <w:tc>
          <w:tcPr>
            <w:tcW w:w="2376" w:type="dxa"/>
            <w:tcMar>
              <w:top w:w="95" w:type="dxa"/>
              <w:left w:w="110" w:type="dxa"/>
              <w:bottom w:w="95" w:type="dxa"/>
              <w:right w:w="110" w:type="dxa"/>
            </w:tcMar>
            <w:vAlign w:val="center"/>
          </w:tcPr>
          <w:p w14:paraId="0A8FECA7" w14:textId="77777777" w:rsidR="00E579F2" w:rsidRDefault="00FC5553">
            <w:pPr>
              <w:spacing w:after="0" w:line="252" w:lineRule="auto"/>
              <w:rPr>
                <w:rFonts w:hint="eastAsia"/>
              </w:rPr>
            </w:pPr>
            <w:r>
              <w:rPr>
                <w:sz w:val="17"/>
              </w:rPr>
              <w:t>Transition Event</w:t>
            </w:r>
          </w:p>
        </w:tc>
        <w:tc>
          <w:tcPr>
            <w:tcW w:w="7343" w:type="dxa"/>
            <w:tcMar>
              <w:top w:w="95" w:type="dxa"/>
              <w:left w:w="110" w:type="dxa"/>
              <w:bottom w:w="95" w:type="dxa"/>
              <w:right w:w="110" w:type="dxa"/>
            </w:tcMar>
            <w:vAlign w:val="center"/>
          </w:tcPr>
          <w:p w14:paraId="4E76838E" w14:textId="77777777" w:rsidR="00E579F2" w:rsidRDefault="00FC5553">
            <w:pPr>
              <w:spacing w:after="0" w:line="252" w:lineRule="auto"/>
              <w:rPr>
                <w:rFonts w:hint="eastAsia"/>
              </w:rPr>
            </w:pPr>
            <w:r>
              <w:rPr>
                <w:sz w:val="17"/>
              </w:rPr>
              <w:t>Records before state, after state, Operator, Rule result, source cause, time, and provenance.</w:t>
            </w:r>
          </w:p>
        </w:tc>
      </w:tr>
    </w:tbl>
    <w:p w14:paraId="5FE7AB5A" w14:textId="77777777" w:rsidR="00E579F2" w:rsidRDefault="00E579F2">
      <w:pPr>
        <w:spacing w:after="20"/>
        <w:rPr>
          <w:rFonts w:hint="eastAsia"/>
        </w:rPr>
      </w:pPr>
    </w:p>
    <w:p w14:paraId="55A5869E" w14:textId="77777777" w:rsidR="00E579F2" w:rsidRDefault="00FC5553">
      <w:pPr>
        <w:pStyle w:val="Heading2"/>
      </w:pPr>
      <w:r>
        <w:t>3.1 Formal state notation</w:t>
      </w:r>
    </w:p>
    <w:p w14:paraId="4A2A3CF4" w14:textId="77777777" w:rsidR="00E579F2" w:rsidRDefault="00FC5553">
      <w:pPr>
        <w:spacing w:line="274" w:lineRule="auto"/>
        <w:rPr>
          <w:rFonts w:hint="eastAsia"/>
        </w:rPr>
      </w:pPr>
      <w:r>
        <w:rPr>
          <w:sz w:val="21"/>
        </w:rPr>
        <w:t>Let an object O carry Kernel instances K1 through Kn. Each Kernel Ki has current state word Wi and, when extended, a ModelKey parameter segment Mi. The total semantic condition of O can be represented conceptually as the product of its attached Kernel state-spaces:</w:t>
      </w:r>
    </w:p>
    <w:p w14:paraId="51714983" w14:textId="77777777" w:rsidR="00E579F2" w:rsidRDefault="00FC5553">
      <w:pPr>
        <w:pStyle w:val="CodeBlock"/>
        <w:pBdr>
          <w:left w:val="single" w:sz="18" w:space="8" w:color="2A7F8E"/>
        </w:pBdr>
        <w:shd w:val="clear" w:color="auto" w:fill="F4F7F9"/>
        <w:spacing w:before="40" w:after="160" w:line="240" w:lineRule="auto"/>
        <w:ind w:left="259" w:right="259"/>
        <w:rPr>
          <w:rFonts w:hint="eastAsia"/>
        </w:rPr>
      </w:pPr>
      <w:r>
        <w:t>State(O) = K1(W1, M1) x K2(W2, M2) x ... x Kn(Wn, Mn)</w:t>
      </w:r>
    </w:p>
    <w:p w14:paraId="021DFD83" w14:textId="77777777" w:rsidR="00E579F2" w:rsidRDefault="00FC5553">
      <w:pPr>
        <w:spacing w:line="274" w:lineRule="auto"/>
        <w:rPr>
          <w:rFonts w:hint="eastAsia"/>
        </w:rPr>
      </w:pPr>
      <w:r>
        <w:rPr>
          <w:sz w:val="21"/>
        </w:rPr>
        <w:t>This notation does not require the words to be concatenated in storage. It expresses that the object simultaneously occupies one valid state in each attached Kernel modality.</w:t>
      </w:r>
    </w:p>
    <w:p w14:paraId="539332AD" w14:textId="77777777" w:rsidR="00E579F2" w:rsidRDefault="00FC5553">
      <w:pPr>
        <w:pStyle w:val="Heading2"/>
      </w:pPr>
      <w:r>
        <w:t>3.2 Transition notation</w:t>
      </w:r>
    </w:p>
    <w:p w14:paraId="510BF782" w14:textId="77777777" w:rsidR="00E579F2" w:rsidRDefault="00FC5553">
      <w:pPr>
        <w:spacing w:line="274" w:lineRule="auto"/>
        <w:rPr>
          <w:rFonts w:hint="eastAsia"/>
        </w:rPr>
      </w:pPr>
      <w:r>
        <w:rPr>
          <w:sz w:val="21"/>
        </w:rPr>
        <w:t>A transition in target Kernel Ki is generated by a source value S, local ModelKey parameters Mi, a Rule R, and an Operator Op. The target state changes only when the Rule authorizes the Operator under the resolved inputs.</w:t>
      </w:r>
    </w:p>
    <w:p w14:paraId="53230CD8" w14:textId="77777777" w:rsidR="00E579F2" w:rsidRDefault="00FC5553">
      <w:pPr>
        <w:pStyle w:val="CodeBlock"/>
        <w:pBdr>
          <w:left w:val="single" w:sz="18" w:space="8" w:color="2A7F8E"/>
        </w:pBdr>
        <w:shd w:val="clear" w:color="auto" w:fill="F4F7F9"/>
        <w:spacing w:before="40" w:after="160" w:line="240" w:lineRule="auto"/>
        <w:ind w:left="259" w:right="259"/>
        <w:rPr>
          <w:rFonts w:hint="eastAsia"/>
        </w:rPr>
      </w:pPr>
      <w:r>
        <w:t>if R(Wi, Mi, S, Context) = PASS:</w:t>
      </w:r>
      <w:r>
        <w:br/>
      </w:r>
      <w:r>
        <w:t xml:space="preserve">    Wi_next = Op(Wi, Mi, S)</w:t>
      </w:r>
      <w:r>
        <w:br/>
      </w:r>
      <w:r>
        <w:t>else:</w:t>
      </w:r>
      <w:r>
        <w:br/>
      </w:r>
      <w:r>
        <w:t xml:space="preserve">    Wi_next = Wi</w:t>
      </w:r>
    </w:p>
    <w:p w14:paraId="02B0936A" w14:textId="77777777" w:rsidR="00E579F2" w:rsidRDefault="00FC5553">
      <w:pPr>
        <w:pStyle w:val="Heading1"/>
      </w:pPr>
      <w:bookmarkStart w:id="6" w:name="sec4"/>
      <w:r>
        <w:t>4. Word Families and Prefix Preservation</w:t>
      </w:r>
      <w:bookmarkEnd w:id="6"/>
    </w:p>
    <w:p w14:paraId="4B13EDEC" w14:textId="77777777" w:rsidR="00E579F2" w:rsidRDefault="00FC5553">
      <w:pPr>
        <w:spacing w:line="274" w:lineRule="auto"/>
        <w:rPr>
          <w:rFonts w:hint="eastAsia"/>
        </w:rPr>
      </w:pPr>
      <w:r>
        <w:rPr>
          <w:sz w:val="21"/>
        </w:rPr>
        <w:t>Semantic Kernel families MAY use prefix-preserving growth when the extension is genuinely additive. Under this pattern, a larger word retains the exact semantics of the smaller standard word in its leading bits and appends advanced parameterization or state dimensions after the prefix.</w:t>
      </w:r>
    </w:p>
    <w:p w14:paraId="569B5B37" w14:textId="77777777" w:rsidR="00E579F2" w:rsidRDefault="00FC5553">
      <w:pPr>
        <w:pStyle w:val="CodeBlock"/>
        <w:pBdr>
          <w:left w:val="single" w:sz="18" w:space="8" w:color="2A7F8E"/>
        </w:pBdr>
        <w:shd w:val="clear" w:color="auto" w:fill="F4F7F9"/>
        <w:spacing w:before="40" w:after="160" w:line="240" w:lineRule="auto"/>
        <w:ind w:left="259" w:right="259"/>
        <w:rPr>
          <w:rFonts w:hint="eastAsia"/>
        </w:rPr>
      </w:pPr>
      <w:r>
        <w:t>FOOD-128</w:t>
      </w:r>
      <w:r>
        <w:br/>
      </w:r>
      <w:r>
        <w:t>B000-B127  = standard portable food semantics</w:t>
      </w:r>
      <w:r>
        <w:br/>
      </w:r>
      <w:r>
        <w:br/>
      </w:r>
      <w:r>
        <w:t>FOOD-256</w:t>
      </w:r>
      <w:r>
        <w:br/>
      </w:r>
      <w:r>
        <w:t>B000-B127  = FOOD-128 exactly</w:t>
      </w:r>
      <w:r>
        <w:br/>
      </w:r>
      <w:r>
        <w:t>B128-B255  = FOOD-256 extension contract</w:t>
      </w:r>
    </w:p>
    <w:p w14:paraId="21072DB7" w14:textId="77777777" w:rsidR="00E579F2" w:rsidRDefault="00FC5553">
      <w:pPr>
        <w:spacing w:line="274" w:lineRule="auto"/>
        <w:rPr>
          <w:rFonts w:hint="eastAsia"/>
        </w:rPr>
      </w:pPr>
      <w:r>
        <w:rPr>
          <w:sz w:val="21"/>
        </w:rPr>
        <w:t>A system that understands only FOOD-128 can read the first 128 bits and safely ignore the suffix. A system that understands FOOD-256 can additionally use the extension. Prefix compatibility MUST be declared by specification; it MUST NOT be assumed merely because two Kernels share a domain name.</w:t>
      </w:r>
    </w:p>
    <w:p w14:paraId="2B718C11" w14:textId="77777777" w:rsidR="00E579F2" w:rsidRDefault="00FC5553">
      <w:pPr>
        <w:pStyle w:val="Heading2"/>
      </w:pPr>
      <w:r>
        <w:t>4.1 Extension families</w:t>
      </w:r>
    </w:p>
    <w:tbl>
      <w:tblPr>
        <w:tblW w:w="0" w:type="auto"/>
        <w:jc w:val="center"/>
        <w:tblLayout w:type="fixed"/>
        <w:tblLook w:val="04A0" w:firstRow="1" w:lastRow="0" w:firstColumn="1" w:lastColumn="0" w:noHBand="0" w:noVBand="1"/>
      </w:tblPr>
      <w:tblGrid>
        <w:gridCol w:w="1944"/>
        <w:gridCol w:w="4320"/>
        <w:gridCol w:w="3456"/>
      </w:tblGrid>
      <w:tr w:rsidR="00E579F2" w14:paraId="6AF928CF" w14:textId="77777777">
        <w:trPr>
          <w:tblHeader/>
          <w:jc w:val="center"/>
        </w:trPr>
        <w:tc>
          <w:tcPr>
            <w:tcW w:w="1944" w:type="dxa"/>
            <w:tcBorders>
              <w:top w:val="single" w:sz="4" w:space="0" w:color="C9D6DF"/>
              <w:left w:val="single" w:sz="4" w:space="0" w:color="C9D6DF"/>
              <w:bottom w:val="single" w:sz="4" w:space="0" w:color="C9D6DF"/>
              <w:right w:val="single" w:sz="4" w:space="0" w:color="C9D6DF"/>
            </w:tcBorders>
            <w:shd w:val="clear" w:color="auto" w:fill="17324D"/>
            <w:tcMar>
              <w:top w:w="105" w:type="dxa"/>
              <w:left w:w="110" w:type="dxa"/>
              <w:bottom w:w="105" w:type="dxa"/>
              <w:right w:w="110" w:type="dxa"/>
            </w:tcMar>
            <w:vAlign w:val="center"/>
          </w:tcPr>
          <w:p w14:paraId="3E171FB3" w14:textId="77777777" w:rsidR="00E579F2" w:rsidRDefault="00FC5553">
            <w:pPr>
              <w:spacing w:after="0"/>
              <w:rPr>
                <w:rFonts w:hint="eastAsia"/>
              </w:rPr>
            </w:pPr>
            <w:r>
              <w:rPr>
                <w:b/>
                <w:color w:val="FFFFFF"/>
                <w:sz w:val="17"/>
              </w:rPr>
              <w:t>Pattern</w:t>
            </w:r>
          </w:p>
        </w:tc>
        <w:tc>
          <w:tcPr>
            <w:tcW w:w="4320" w:type="dxa"/>
            <w:tcBorders>
              <w:top w:val="single" w:sz="4" w:space="0" w:color="C9D6DF"/>
              <w:left w:val="single" w:sz="4" w:space="0" w:color="C9D6DF"/>
              <w:bottom w:val="single" w:sz="4" w:space="0" w:color="C9D6DF"/>
              <w:right w:val="single" w:sz="4" w:space="0" w:color="C9D6DF"/>
            </w:tcBorders>
            <w:shd w:val="clear" w:color="auto" w:fill="17324D"/>
            <w:tcMar>
              <w:top w:w="105" w:type="dxa"/>
              <w:left w:w="110" w:type="dxa"/>
              <w:bottom w:w="105" w:type="dxa"/>
              <w:right w:w="110" w:type="dxa"/>
            </w:tcMar>
            <w:vAlign w:val="center"/>
          </w:tcPr>
          <w:p w14:paraId="1827E05C" w14:textId="77777777" w:rsidR="00E579F2" w:rsidRDefault="00FC5553">
            <w:pPr>
              <w:spacing w:after="0"/>
              <w:rPr>
                <w:rFonts w:hint="eastAsia"/>
              </w:rPr>
            </w:pPr>
            <w:r>
              <w:rPr>
                <w:b/>
                <w:color w:val="FFFFFF"/>
                <w:sz w:val="17"/>
              </w:rPr>
              <w:t>Use</w:t>
            </w:r>
          </w:p>
        </w:tc>
        <w:tc>
          <w:tcPr>
            <w:tcW w:w="3456" w:type="dxa"/>
            <w:tcBorders>
              <w:top w:val="single" w:sz="4" w:space="0" w:color="C9D6DF"/>
              <w:left w:val="single" w:sz="4" w:space="0" w:color="C9D6DF"/>
              <w:bottom w:val="single" w:sz="4" w:space="0" w:color="C9D6DF"/>
              <w:right w:val="single" w:sz="4" w:space="0" w:color="C9D6DF"/>
            </w:tcBorders>
            <w:shd w:val="clear" w:color="auto" w:fill="17324D"/>
            <w:tcMar>
              <w:top w:w="105" w:type="dxa"/>
              <w:left w:w="110" w:type="dxa"/>
              <w:bottom w:w="105" w:type="dxa"/>
              <w:right w:w="110" w:type="dxa"/>
            </w:tcMar>
            <w:vAlign w:val="center"/>
          </w:tcPr>
          <w:p w14:paraId="4CD6E417" w14:textId="77777777" w:rsidR="00E579F2" w:rsidRDefault="00FC5553">
            <w:pPr>
              <w:spacing w:after="0"/>
              <w:rPr>
                <w:rFonts w:hint="eastAsia"/>
              </w:rPr>
            </w:pPr>
            <w:r>
              <w:rPr>
                <w:b/>
                <w:color w:val="FFFFFF"/>
                <w:sz w:val="17"/>
              </w:rPr>
              <w:t>Compatibility rule</w:t>
            </w:r>
          </w:p>
        </w:tc>
      </w:tr>
      <w:tr w:rsidR="00E579F2" w14:paraId="6975BEB6" w14:textId="77777777">
        <w:trPr>
          <w:cantSplit/>
          <w:jc w:val="center"/>
        </w:trPr>
        <w:tc>
          <w:tcPr>
            <w:tcW w:w="1944" w:type="dxa"/>
            <w:tcMar>
              <w:top w:w="95" w:type="dxa"/>
              <w:left w:w="110" w:type="dxa"/>
              <w:bottom w:w="95" w:type="dxa"/>
              <w:right w:w="110" w:type="dxa"/>
            </w:tcMar>
            <w:vAlign w:val="center"/>
          </w:tcPr>
          <w:p w14:paraId="739F80F6" w14:textId="77777777" w:rsidR="00E579F2" w:rsidRDefault="00FC5553">
            <w:pPr>
              <w:spacing w:after="0" w:line="252" w:lineRule="auto"/>
              <w:rPr>
                <w:rFonts w:hint="eastAsia"/>
              </w:rPr>
            </w:pPr>
            <w:r>
              <w:rPr>
                <w:sz w:val="17"/>
              </w:rPr>
              <w:t>128 -&gt; 256</w:t>
            </w:r>
          </w:p>
        </w:tc>
        <w:tc>
          <w:tcPr>
            <w:tcW w:w="4320" w:type="dxa"/>
            <w:tcMar>
              <w:top w:w="95" w:type="dxa"/>
              <w:left w:w="110" w:type="dxa"/>
              <w:bottom w:w="95" w:type="dxa"/>
              <w:right w:w="110" w:type="dxa"/>
            </w:tcMar>
            <w:vAlign w:val="center"/>
          </w:tcPr>
          <w:p w14:paraId="49234FA2" w14:textId="77777777" w:rsidR="00E579F2" w:rsidRDefault="00FC5553">
            <w:pPr>
              <w:spacing w:after="0" w:line="252" w:lineRule="auto"/>
              <w:rPr>
                <w:rFonts w:hint="eastAsia"/>
              </w:rPr>
            </w:pPr>
            <w:r>
              <w:rPr>
                <w:sz w:val="17"/>
              </w:rPr>
              <w:t>Add stable model/threshold parameters or additional bounded state.</w:t>
            </w:r>
          </w:p>
        </w:tc>
        <w:tc>
          <w:tcPr>
            <w:tcW w:w="3456" w:type="dxa"/>
            <w:tcMar>
              <w:top w:w="95" w:type="dxa"/>
              <w:left w:w="110" w:type="dxa"/>
              <w:bottom w:w="95" w:type="dxa"/>
              <w:right w:w="110" w:type="dxa"/>
            </w:tcMar>
            <w:vAlign w:val="center"/>
          </w:tcPr>
          <w:p w14:paraId="6AB2D3D7" w14:textId="77777777" w:rsidR="00E579F2" w:rsidRDefault="00FC5553">
            <w:pPr>
              <w:spacing w:after="0" w:line="252" w:lineRule="auto"/>
              <w:rPr>
                <w:rFonts w:hint="eastAsia"/>
              </w:rPr>
            </w:pPr>
            <w:r>
              <w:rPr>
                <w:sz w:val="17"/>
              </w:rPr>
              <w:t>First 128 bits MUST retain identical meaning if prefix preservation is claimed.</w:t>
            </w:r>
          </w:p>
        </w:tc>
      </w:tr>
      <w:tr w:rsidR="00E579F2" w14:paraId="5C7A71C1" w14:textId="77777777">
        <w:trPr>
          <w:cantSplit/>
          <w:jc w:val="center"/>
        </w:trPr>
        <w:tc>
          <w:tcPr>
            <w:tcW w:w="1944" w:type="dxa"/>
            <w:tcMar>
              <w:top w:w="95" w:type="dxa"/>
              <w:left w:w="110" w:type="dxa"/>
              <w:bottom w:w="95" w:type="dxa"/>
              <w:right w:w="110" w:type="dxa"/>
            </w:tcMar>
            <w:vAlign w:val="center"/>
          </w:tcPr>
          <w:p w14:paraId="652243A0" w14:textId="77777777" w:rsidR="00E579F2" w:rsidRDefault="00FC5553">
            <w:pPr>
              <w:spacing w:after="0" w:line="252" w:lineRule="auto"/>
              <w:rPr>
                <w:rFonts w:hint="eastAsia"/>
              </w:rPr>
            </w:pPr>
            <w:r>
              <w:rPr>
                <w:sz w:val="17"/>
              </w:rPr>
              <w:t>256 -&gt; 512</w:t>
            </w:r>
          </w:p>
        </w:tc>
        <w:tc>
          <w:tcPr>
            <w:tcW w:w="4320" w:type="dxa"/>
            <w:tcMar>
              <w:top w:w="95" w:type="dxa"/>
              <w:left w:w="110" w:type="dxa"/>
              <w:bottom w:w="95" w:type="dxa"/>
              <w:right w:w="110" w:type="dxa"/>
            </w:tcMar>
            <w:vAlign w:val="center"/>
          </w:tcPr>
          <w:p w14:paraId="6E894676" w14:textId="77777777" w:rsidR="00E579F2" w:rsidRDefault="00FC5553">
            <w:pPr>
              <w:spacing w:after="0" w:line="252" w:lineRule="auto"/>
              <w:rPr>
                <w:rFonts w:hint="eastAsia"/>
              </w:rPr>
            </w:pPr>
            <w:r>
              <w:rPr>
                <w:sz w:val="17"/>
              </w:rPr>
              <w:t>Add another stable extension layer.</w:t>
            </w:r>
          </w:p>
        </w:tc>
        <w:tc>
          <w:tcPr>
            <w:tcW w:w="3456" w:type="dxa"/>
            <w:tcMar>
              <w:top w:w="95" w:type="dxa"/>
              <w:left w:w="110" w:type="dxa"/>
              <w:bottom w:w="95" w:type="dxa"/>
              <w:right w:w="110" w:type="dxa"/>
            </w:tcMar>
            <w:vAlign w:val="center"/>
          </w:tcPr>
          <w:p w14:paraId="236107F1" w14:textId="77777777" w:rsidR="00E579F2" w:rsidRDefault="00FC5553">
            <w:pPr>
              <w:spacing w:after="0" w:line="252" w:lineRule="auto"/>
              <w:rPr>
                <w:rFonts w:hint="eastAsia"/>
              </w:rPr>
            </w:pPr>
            <w:r>
              <w:rPr>
                <w:sz w:val="17"/>
              </w:rPr>
              <w:t>First 256 bits MUST retain identical meaning if prefix preservation is claimed.</w:t>
            </w:r>
          </w:p>
        </w:tc>
      </w:tr>
      <w:tr w:rsidR="00E579F2" w14:paraId="09D43A6D" w14:textId="77777777">
        <w:trPr>
          <w:cantSplit/>
          <w:jc w:val="center"/>
        </w:trPr>
        <w:tc>
          <w:tcPr>
            <w:tcW w:w="1944" w:type="dxa"/>
            <w:tcMar>
              <w:top w:w="95" w:type="dxa"/>
              <w:left w:w="110" w:type="dxa"/>
              <w:bottom w:w="95" w:type="dxa"/>
              <w:right w:w="110" w:type="dxa"/>
            </w:tcMar>
            <w:vAlign w:val="center"/>
          </w:tcPr>
          <w:p w14:paraId="606AE4B5" w14:textId="77777777" w:rsidR="00E579F2" w:rsidRDefault="00FC5553">
            <w:pPr>
              <w:spacing w:after="0" w:line="252" w:lineRule="auto"/>
              <w:rPr>
                <w:rFonts w:hint="eastAsia"/>
              </w:rPr>
            </w:pPr>
            <w:r>
              <w:rPr>
                <w:sz w:val="17"/>
              </w:rPr>
              <w:t>Companion Kernel</w:t>
            </w:r>
          </w:p>
        </w:tc>
        <w:tc>
          <w:tcPr>
            <w:tcW w:w="4320" w:type="dxa"/>
            <w:tcMar>
              <w:top w:w="95" w:type="dxa"/>
              <w:left w:w="110" w:type="dxa"/>
              <w:bottom w:w="95" w:type="dxa"/>
              <w:right w:w="110" w:type="dxa"/>
            </w:tcMar>
            <w:vAlign w:val="center"/>
          </w:tcPr>
          <w:p w14:paraId="7FD4EDA9" w14:textId="77777777" w:rsidR="00E579F2" w:rsidRDefault="00FC5553">
            <w:pPr>
              <w:spacing w:after="0" w:line="252" w:lineRule="auto"/>
              <w:rPr>
                <w:rFonts w:hint="eastAsia"/>
              </w:rPr>
            </w:pPr>
            <w:r>
              <w:rPr>
                <w:sz w:val="17"/>
              </w:rPr>
              <w:t>Keep an independent semantic concern separate rather than extending the original word.</w:t>
            </w:r>
          </w:p>
        </w:tc>
        <w:tc>
          <w:tcPr>
            <w:tcW w:w="3456" w:type="dxa"/>
            <w:tcMar>
              <w:top w:w="95" w:type="dxa"/>
              <w:left w:w="110" w:type="dxa"/>
              <w:bottom w:w="95" w:type="dxa"/>
              <w:right w:w="110" w:type="dxa"/>
            </w:tcMar>
            <w:vAlign w:val="center"/>
          </w:tcPr>
          <w:p w14:paraId="26AE5A8A" w14:textId="77777777" w:rsidR="00E579F2" w:rsidRDefault="00FC5553">
            <w:pPr>
              <w:spacing w:after="0" w:line="252" w:lineRule="auto"/>
              <w:rPr>
                <w:rFonts w:hint="eastAsia"/>
              </w:rPr>
            </w:pPr>
            <w:r>
              <w:rPr>
                <w:sz w:val="17"/>
              </w:rPr>
              <w:t>Link through NodeKey and Bitlinks; no prefix relationship required.</w:t>
            </w:r>
          </w:p>
        </w:tc>
      </w:tr>
      <w:tr w:rsidR="00E579F2" w14:paraId="454FDE32" w14:textId="77777777">
        <w:trPr>
          <w:cantSplit/>
          <w:jc w:val="center"/>
        </w:trPr>
        <w:tc>
          <w:tcPr>
            <w:tcW w:w="1944" w:type="dxa"/>
            <w:tcMar>
              <w:top w:w="95" w:type="dxa"/>
              <w:left w:w="110" w:type="dxa"/>
              <w:bottom w:w="95" w:type="dxa"/>
              <w:right w:w="110" w:type="dxa"/>
            </w:tcMar>
            <w:vAlign w:val="center"/>
          </w:tcPr>
          <w:p w14:paraId="2DD2165B" w14:textId="77777777" w:rsidR="00E579F2" w:rsidRDefault="00FC5553">
            <w:pPr>
              <w:spacing w:after="0" w:line="252" w:lineRule="auto"/>
              <w:rPr>
                <w:rFonts w:hint="eastAsia"/>
              </w:rPr>
            </w:pPr>
            <w:r>
              <w:rPr>
                <w:sz w:val="17"/>
              </w:rPr>
              <w:t>Translated Fork</w:t>
            </w:r>
          </w:p>
        </w:tc>
        <w:tc>
          <w:tcPr>
            <w:tcW w:w="4320" w:type="dxa"/>
            <w:tcMar>
              <w:top w:w="95" w:type="dxa"/>
              <w:left w:w="110" w:type="dxa"/>
              <w:bottom w:w="95" w:type="dxa"/>
              <w:right w:w="110" w:type="dxa"/>
            </w:tcMar>
            <w:vAlign w:val="center"/>
          </w:tcPr>
          <w:p w14:paraId="6FB061B8" w14:textId="77777777" w:rsidR="00E579F2" w:rsidRDefault="00FC5553">
            <w:pPr>
              <w:spacing w:after="0" w:line="252" w:lineRule="auto"/>
              <w:rPr>
                <w:rFonts w:hint="eastAsia"/>
              </w:rPr>
            </w:pPr>
            <w:r>
              <w:rPr>
                <w:sz w:val="17"/>
              </w:rPr>
              <w:t>Use a different layout or world-specific semantics.</w:t>
            </w:r>
          </w:p>
        </w:tc>
        <w:tc>
          <w:tcPr>
            <w:tcW w:w="3456" w:type="dxa"/>
            <w:tcMar>
              <w:top w:w="95" w:type="dxa"/>
              <w:left w:w="110" w:type="dxa"/>
              <w:bottom w:w="95" w:type="dxa"/>
              <w:right w:w="110" w:type="dxa"/>
            </w:tcMar>
            <w:vAlign w:val="center"/>
          </w:tcPr>
          <w:p w14:paraId="5CA1C6AE" w14:textId="77777777" w:rsidR="00E579F2" w:rsidRDefault="00FC5553">
            <w:pPr>
              <w:spacing w:after="0" w:line="252" w:lineRule="auto"/>
              <w:rPr>
                <w:rFonts w:hint="eastAsia"/>
              </w:rPr>
            </w:pPr>
            <w:r>
              <w:rPr>
                <w:sz w:val="17"/>
              </w:rPr>
              <w:t>Requires an explicit translation manifest; prefix compatibility is not implied.</w:t>
            </w:r>
          </w:p>
        </w:tc>
      </w:tr>
    </w:tbl>
    <w:p w14:paraId="240C0DF7" w14:textId="77777777" w:rsidR="00E579F2" w:rsidRDefault="00E579F2">
      <w:pPr>
        <w:spacing w:after="20"/>
        <w:rPr>
          <w:rFonts w:hint="eastAsia"/>
        </w:rPr>
      </w:pPr>
    </w:p>
    <w:p w14:paraId="7D80827C" w14:textId="77777777" w:rsidR="00E579F2" w:rsidRDefault="00FC5553">
      <w:pPr>
        <w:pStyle w:val="Heading2"/>
      </w:pPr>
      <w:r>
        <w:t>4.2 When not to extend</w:t>
      </w:r>
    </w:p>
    <w:p w14:paraId="461AD35F" w14:textId="77777777" w:rsidR="00E579F2" w:rsidRDefault="00FC5553">
      <w:pPr>
        <w:spacing w:line="274" w:lineRule="auto"/>
        <w:rPr>
          <w:rFonts w:hint="eastAsia"/>
        </w:rPr>
      </w:pPr>
      <w:r>
        <w:rPr>
          <w:sz w:val="21"/>
        </w:rPr>
        <w:t>A word SHOULD NOT be expanded merely because more information exists. Extension is appropriate when the added parameters are high-frequency, bounded, stable, and repeatedly used in machine operation. Sparse narrative context, rare exceptions, long provenance, or arbitrarily complex models SHOULD remain in linked registries, documents, Rules, or companion Kernels.</w:t>
      </w:r>
    </w:p>
    <w:p w14:paraId="0E2BB4D0" w14:textId="77777777" w:rsidR="00E579F2" w:rsidRDefault="00FC5553">
      <w:pPr>
        <w:pStyle w:val="Heading1"/>
      </w:pPr>
      <w:bookmarkStart w:id="7" w:name="sec5"/>
      <w:r>
        <w:t>5. ModelKey-Extended Semantic Kernels</w:t>
      </w:r>
      <w:bookmarkEnd w:id="7"/>
    </w:p>
    <w:p w14:paraId="3DC4461C" w14:textId="77777777" w:rsidR="00E579F2" w:rsidRDefault="00FC5553">
      <w:pPr>
        <w:spacing w:line="274" w:lineRule="auto"/>
        <w:rPr>
          <w:rFonts w:hint="eastAsia"/>
        </w:rPr>
      </w:pPr>
      <w:r>
        <w:rPr>
          <w:sz w:val="21"/>
        </w:rPr>
        <w:t>A ModelKey-Extended Semantic Kernel is an SK instance whose serialized word includes a base semantic state segment and an extension segment containing the exact object-specific values required by one or more registered Models. The ModelKey extension can therefore hold both the values that characterize the object under the Model and the Bitstate Parameters that determine how that object transitions through the Kernel state-space.</w:t>
      </w:r>
    </w:p>
    <w:tbl>
      <w:tblPr>
        <w:tblW w:w="0" w:type="auto"/>
        <w:jc w:val="center"/>
        <w:tblLayout w:type="fixed"/>
        <w:tblLook w:val="04A0" w:firstRow="1" w:lastRow="0" w:firstColumn="1" w:lastColumn="0" w:noHBand="0" w:noVBand="1"/>
      </w:tblPr>
      <w:tblGrid>
        <w:gridCol w:w="9720"/>
      </w:tblGrid>
      <w:tr w:rsidR="00E579F2" w14:paraId="1FD9331C" w14:textId="77777777">
        <w:trPr>
          <w:jc w:val="center"/>
        </w:trPr>
        <w:tc>
          <w:tcPr>
            <w:tcW w:w="9720" w:type="dxa"/>
            <w:tcBorders>
              <w:top w:val="single" w:sz="5" w:space="0" w:color="C9D6DF"/>
              <w:left w:val="single" w:sz="12" w:space="0" w:color="2A7F8E"/>
              <w:bottom w:val="single" w:sz="5" w:space="0" w:color="C9D6DF"/>
              <w:right w:val="single" w:sz="5" w:space="0" w:color="C9D6DF"/>
            </w:tcBorders>
            <w:shd w:val="clear" w:color="auto" w:fill="E8F5F6"/>
            <w:tcMar>
              <w:top w:w="140" w:type="dxa"/>
              <w:left w:w="180" w:type="dxa"/>
              <w:bottom w:w="140" w:type="dxa"/>
              <w:right w:w="180" w:type="dxa"/>
            </w:tcMar>
          </w:tcPr>
          <w:p w14:paraId="2DC28301" w14:textId="77777777" w:rsidR="00E579F2" w:rsidRDefault="00FC5553">
            <w:pPr>
              <w:spacing w:after="40"/>
              <w:rPr>
                <w:rFonts w:hint="eastAsia"/>
              </w:rPr>
            </w:pPr>
            <w:r>
              <w:rPr>
                <w:b/>
                <w:color w:val="17324D"/>
              </w:rPr>
              <w:t>Important separation</w:t>
            </w:r>
          </w:p>
          <w:p w14:paraId="1A28873F" w14:textId="77777777" w:rsidR="00E579F2" w:rsidRDefault="00FC5553">
            <w:pPr>
              <w:spacing w:after="0"/>
              <w:rPr>
                <w:rFonts w:hint="eastAsia"/>
              </w:rPr>
            </w:pPr>
            <w:r>
              <w:rPr>
                <w:sz w:val="19"/>
              </w:rPr>
              <w:t>The extended word carries ModelKey values and parameter values. The canonical Model definition, formula, units, validation logic, and semantic documentation remain in the Model Registry unless the Kernel specification explicitly embeds a finite model selector. This prevents every object from duplicating executable model definitions.</w:t>
            </w:r>
          </w:p>
        </w:tc>
      </w:tr>
    </w:tbl>
    <w:p w14:paraId="6A8A8DFD" w14:textId="77777777" w:rsidR="00E579F2" w:rsidRDefault="00E579F2">
      <w:pPr>
        <w:spacing w:after="20"/>
        <w:rPr>
          <w:rFonts w:hint="eastAsia"/>
        </w:rPr>
      </w:pPr>
    </w:p>
    <w:p w14:paraId="6076146D" w14:textId="77777777" w:rsidR="00E579F2" w:rsidRDefault="00FC5553">
      <w:pPr>
        <w:pStyle w:val="Heading2"/>
      </w:pPr>
      <w:r>
        <w:t>5.1 Logical structure</w:t>
      </w:r>
    </w:p>
    <w:p w14:paraId="2CFA7A8E" w14:textId="77777777" w:rsidR="00E579F2" w:rsidRDefault="00FC5553">
      <w:pPr>
        <w:pStyle w:val="CodeBlock"/>
        <w:pBdr>
          <w:left w:val="single" w:sz="18" w:space="8" w:color="2A7F8E"/>
        </w:pBdr>
        <w:shd w:val="clear" w:color="auto" w:fill="F4F7F9"/>
        <w:spacing w:before="40" w:after="160" w:line="240" w:lineRule="auto"/>
        <w:ind w:left="259" w:right="259"/>
        <w:rPr>
          <w:rFonts w:hint="eastAsia"/>
        </w:rPr>
      </w:pPr>
      <w:r>
        <w:t>EXTENDED SK INSTANCE</w:t>
      </w:r>
      <w:r>
        <w:br/>
      </w:r>
      <w:r>
        <w:t>|</w:t>
      </w:r>
      <w:r>
        <w:br/>
      </w:r>
      <w:r>
        <w:t>+-- Object / NodeKey reference</w:t>
      </w:r>
      <w:r>
        <w:br/>
      </w:r>
      <w:r>
        <w:t>+-- Kernel ID + Version</w:t>
      </w:r>
      <w:r>
        <w:br/>
      </w:r>
      <w:r>
        <w:t>+-- Base Word</w:t>
      </w:r>
      <w:r>
        <w:br/>
      </w:r>
      <w:r>
        <w:t>|   `-- current standard semantic state</w:t>
      </w:r>
      <w:r>
        <w:br/>
      </w:r>
      <w:r>
        <w:t>+-- ModelKey Extension Word</w:t>
      </w:r>
      <w:r>
        <w:br/>
      </w:r>
      <w:r>
        <w:t>|   +-- model selector or ModelKey binding</w:t>
      </w:r>
      <w:r>
        <w:br/>
      </w:r>
      <w:r>
        <w:t>|   +-- object-specific values</w:t>
      </w:r>
      <w:r>
        <w:br/>
      </w:r>
      <w:r>
        <w:t>|   +-- transition thresholds</w:t>
      </w:r>
      <w:r>
        <w:br/>
      </w:r>
      <w:r>
        <w:t>|   +-- exit thresholds / hysteresis</w:t>
      </w:r>
      <w:r>
        <w:br/>
      </w:r>
      <w:r>
        <w:t>|   +-- scalar bounds / gains / coefficients</w:t>
      </w:r>
      <w:r>
        <w:br/>
      </w:r>
      <w:r>
        <w:t>|   `-- other bounded parameters defined by the Kernel</w:t>
      </w:r>
      <w:r>
        <w:br/>
      </w:r>
      <w:r>
        <w:t>+-- Ruleset binding</w:t>
      </w:r>
      <w:r>
        <w:br/>
      </w:r>
      <w:r>
        <w:t>+-- Operator bindings</w:t>
      </w:r>
      <w:r>
        <w:br/>
      </w:r>
      <w:r>
        <w:t>`-- Parameter source bindings</w:t>
      </w:r>
    </w:p>
    <w:p w14:paraId="203C7513" w14:textId="77777777" w:rsidR="00E579F2" w:rsidRDefault="00FC5553">
      <w:pPr>
        <w:pStyle w:val="Heading2"/>
      </w:pPr>
      <w:r>
        <w:t>5.2 Self-contained meaning</w:t>
      </w:r>
    </w:p>
    <w:p w14:paraId="4A642B6D" w14:textId="77777777" w:rsidR="00E579F2" w:rsidRDefault="00FC5553">
      <w:pPr>
        <w:spacing w:line="274" w:lineRule="auto"/>
        <w:rPr>
          <w:rFonts w:hint="eastAsia"/>
        </w:rPr>
      </w:pPr>
      <w:r>
        <w:rPr>
          <w:sz w:val="21"/>
        </w:rPr>
        <w:t>The term self-contained means that the target SK carries the local parameter values required to evaluate its own transition boundaries. It does not require the target to copy the changing source state. For example, a steak can carry its thermal transition thresholds in its COOKING-256 ModelKey while the current temperature remains authoritative in an Oven THERMAL-128 instance.</w:t>
      </w:r>
    </w:p>
    <w:p w14:paraId="7FE2C00C" w14:textId="77777777" w:rsidR="00E579F2" w:rsidRDefault="00FC5553">
      <w:pPr>
        <w:pStyle w:val="Heading2"/>
      </w:pPr>
      <w:r>
        <w:t>5.3 Object-specific specialization</w:t>
      </w:r>
    </w:p>
    <w:p w14:paraId="38EE8931" w14:textId="77777777" w:rsidR="00E579F2" w:rsidRDefault="00FC5553">
      <w:pPr>
        <w:spacing w:line="274" w:lineRule="auto"/>
        <w:rPr>
          <w:rFonts w:hint="eastAsia"/>
        </w:rPr>
      </w:pPr>
      <w:r>
        <w:rPr>
          <w:sz w:val="21"/>
        </w:rPr>
        <w:t>The same extension layout can be instantiated differently for different objects. If FOOD-256 or COOKING-256 defines a set of threshold slots, a Potato ModelKey and Steak ModelKey populate those slots with values appropriate to their registered Models. This removes the need for runtime branches such as if object equals steak or if object equals potato. The runtime reads the same semantic slots from different ModelKeys.</w:t>
      </w:r>
    </w:p>
    <w:p w14:paraId="3211E7CE" w14:textId="77777777" w:rsidR="00E579F2" w:rsidRDefault="00FC5553">
      <w:pPr>
        <w:pStyle w:val="Heading1"/>
      </w:pPr>
      <w:bookmarkStart w:id="8" w:name="sec6"/>
      <w:r>
        <w:t>6. Bitstate Parameters</w:t>
      </w:r>
      <w:bookmarkEnd w:id="8"/>
    </w:p>
    <w:p w14:paraId="73F69CDB" w14:textId="77777777" w:rsidR="00E579F2" w:rsidRDefault="00FC5553">
      <w:pPr>
        <w:spacing w:line="274" w:lineRule="auto"/>
        <w:rPr>
          <w:rFonts w:hint="eastAsia"/>
        </w:rPr>
      </w:pPr>
      <w:r>
        <w:rPr>
          <w:sz w:val="21"/>
        </w:rPr>
        <w:t>A Bitstate Parameter is a bounded value that contributes to a state-transition decision. Parameters MAY be encoded as single bits, unsigned or signed integers, fixed-point values, enumerated states, bitmasks, ranges, or compact references, provided the Kernel specification defines the encoding unambiguously.</w:t>
      </w:r>
    </w:p>
    <w:p w14:paraId="56EC6149" w14:textId="77777777" w:rsidR="00E579F2" w:rsidRDefault="00FC5553">
      <w:pPr>
        <w:pStyle w:val="Heading2"/>
      </w:pPr>
      <w:r>
        <w:t>6.1 Parameter classes</w:t>
      </w:r>
    </w:p>
    <w:tbl>
      <w:tblPr>
        <w:tblW w:w="0" w:type="auto"/>
        <w:jc w:val="center"/>
        <w:tblLayout w:type="fixed"/>
        <w:tblLook w:val="04A0" w:firstRow="1" w:lastRow="0" w:firstColumn="1" w:lastColumn="0" w:noHBand="0" w:noVBand="1"/>
      </w:tblPr>
      <w:tblGrid>
        <w:gridCol w:w="1800"/>
        <w:gridCol w:w="3744"/>
        <w:gridCol w:w="4176"/>
      </w:tblGrid>
      <w:tr w:rsidR="00E579F2" w14:paraId="4C6D0FE2" w14:textId="77777777">
        <w:trPr>
          <w:tblHeader/>
          <w:jc w:val="center"/>
        </w:trPr>
        <w:tc>
          <w:tcPr>
            <w:tcW w:w="1800" w:type="dxa"/>
            <w:tcBorders>
              <w:top w:val="single" w:sz="4" w:space="0" w:color="C9D6DF"/>
              <w:left w:val="single" w:sz="4" w:space="0" w:color="C9D6DF"/>
              <w:bottom w:val="single" w:sz="4" w:space="0" w:color="C9D6DF"/>
              <w:right w:val="single" w:sz="4" w:space="0" w:color="C9D6DF"/>
            </w:tcBorders>
            <w:shd w:val="clear" w:color="auto" w:fill="17324D"/>
            <w:tcMar>
              <w:top w:w="105" w:type="dxa"/>
              <w:left w:w="110" w:type="dxa"/>
              <w:bottom w:w="105" w:type="dxa"/>
              <w:right w:w="110" w:type="dxa"/>
            </w:tcMar>
            <w:vAlign w:val="center"/>
          </w:tcPr>
          <w:p w14:paraId="455D24BB" w14:textId="77777777" w:rsidR="00E579F2" w:rsidRDefault="00FC5553">
            <w:pPr>
              <w:spacing w:after="0"/>
              <w:rPr>
                <w:rFonts w:hint="eastAsia"/>
              </w:rPr>
            </w:pPr>
            <w:r>
              <w:rPr>
                <w:b/>
                <w:color w:val="FFFFFF"/>
                <w:sz w:val="16"/>
              </w:rPr>
              <w:t>Class</w:t>
            </w:r>
          </w:p>
        </w:tc>
        <w:tc>
          <w:tcPr>
            <w:tcW w:w="3744" w:type="dxa"/>
            <w:tcBorders>
              <w:top w:val="single" w:sz="4" w:space="0" w:color="C9D6DF"/>
              <w:left w:val="single" w:sz="4" w:space="0" w:color="C9D6DF"/>
              <w:bottom w:val="single" w:sz="4" w:space="0" w:color="C9D6DF"/>
              <w:right w:val="single" w:sz="4" w:space="0" w:color="C9D6DF"/>
            </w:tcBorders>
            <w:shd w:val="clear" w:color="auto" w:fill="17324D"/>
            <w:tcMar>
              <w:top w:w="105" w:type="dxa"/>
              <w:left w:w="110" w:type="dxa"/>
              <w:bottom w:w="105" w:type="dxa"/>
              <w:right w:w="110" w:type="dxa"/>
            </w:tcMar>
            <w:vAlign w:val="center"/>
          </w:tcPr>
          <w:p w14:paraId="2156F366" w14:textId="77777777" w:rsidR="00E579F2" w:rsidRDefault="00FC5553">
            <w:pPr>
              <w:spacing w:after="0"/>
              <w:rPr>
                <w:rFonts w:hint="eastAsia"/>
              </w:rPr>
            </w:pPr>
            <w:r>
              <w:rPr>
                <w:b/>
                <w:color w:val="FFFFFF"/>
                <w:sz w:val="16"/>
              </w:rPr>
              <w:t>Typical purpose</w:t>
            </w:r>
          </w:p>
        </w:tc>
        <w:tc>
          <w:tcPr>
            <w:tcW w:w="4176" w:type="dxa"/>
            <w:tcBorders>
              <w:top w:val="single" w:sz="4" w:space="0" w:color="C9D6DF"/>
              <w:left w:val="single" w:sz="4" w:space="0" w:color="C9D6DF"/>
              <w:bottom w:val="single" w:sz="4" w:space="0" w:color="C9D6DF"/>
              <w:right w:val="single" w:sz="4" w:space="0" w:color="C9D6DF"/>
            </w:tcBorders>
            <w:shd w:val="clear" w:color="auto" w:fill="17324D"/>
            <w:tcMar>
              <w:top w:w="105" w:type="dxa"/>
              <w:left w:w="110" w:type="dxa"/>
              <w:bottom w:w="105" w:type="dxa"/>
              <w:right w:w="110" w:type="dxa"/>
            </w:tcMar>
            <w:vAlign w:val="center"/>
          </w:tcPr>
          <w:p w14:paraId="1FC46540" w14:textId="77777777" w:rsidR="00E579F2" w:rsidRDefault="00FC5553">
            <w:pPr>
              <w:spacing w:after="0"/>
              <w:rPr>
                <w:rFonts w:hint="eastAsia"/>
              </w:rPr>
            </w:pPr>
            <w:r>
              <w:rPr>
                <w:b/>
                <w:color w:val="FFFFFF"/>
                <w:sz w:val="16"/>
              </w:rPr>
              <w:t>Example semantic use</w:t>
            </w:r>
          </w:p>
        </w:tc>
      </w:tr>
      <w:tr w:rsidR="00E579F2" w14:paraId="19D7F5D0" w14:textId="77777777">
        <w:trPr>
          <w:cantSplit/>
          <w:jc w:val="center"/>
        </w:trPr>
        <w:tc>
          <w:tcPr>
            <w:tcW w:w="1800" w:type="dxa"/>
            <w:tcMar>
              <w:top w:w="95" w:type="dxa"/>
              <w:left w:w="110" w:type="dxa"/>
              <w:bottom w:w="95" w:type="dxa"/>
              <w:right w:w="110" w:type="dxa"/>
            </w:tcMar>
            <w:vAlign w:val="center"/>
          </w:tcPr>
          <w:p w14:paraId="0F071D75" w14:textId="77777777" w:rsidR="00E579F2" w:rsidRDefault="00FC5553">
            <w:pPr>
              <w:spacing w:after="0" w:line="252" w:lineRule="auto"/>
              <w:rPr>
                <w:rFonts w:hint="eastAsia"/>
              </w:rPr>
            </w:pPr>
            <w:r>
              <w:rPr>
                <w:sz w:val="16"/>
              </w:rPr>
              <w:t>Entry threshold</w:t>
            </w:r>
          </w:p>
        </w:tc>
        <w:tc>
          <w:tcPr>
            <w:tcW w:w="3744" w:type="dxa"/>
            <w:tcMar>
              <w:top w:w="95" w:type="dxa"/>
              <w:left w:w="110" w:type="dxa"/>
              <w:bottom w:w="95" w:type="dxa"/>
              <w:right w:w="110" w:type="dxa"/>
            </w:tcMar>
            <w:vAlign w:val="center"/>
          </w:tcPr>
          <w:p w14:paraId="1F01C881" w14:textId="77777777" w:rsidR="00E579F2" w:rsidRDefault="00FC5553">
            <w:pPr>
              <w:spacing w:after="0" w:line="252" w:lineRule="auto"/>
              <w:rPr>
                <w:rFonts w:hint="eastAsia"/>
              </w:rPr>
            </w:pPr>
            <w:r>
              <w:rPr>
                <w:sz w:val="16"/>
              </w:rPr>
              <w:t>Boundary for entering a state.</w:t>
            </w:r>
          </w:p>
        </w:tc>
        <w:tc>
          <w:tcPr>
            <w:tcW w:w="4176" w:type="dxa"/>
            <w:tcMar>
              <w:top w:w="95" w:type="dxa"/>
              <w:left w:w="110" w:type="dxa"/>
              <w:bottom w:w="95" w:type="dxa"/>
              <w:right w:w="110" w:type="dxa"/>
            </w:tcMar>
            <w:vAlign w:val="center"/>
          </w:tcPr>
          <w:p w14:paraId="2275BCC7" w14:textId="77777777" w:rsidR="00E579F2" w:rsidRDefault="00FC5553">
            <w:pPr>
              <w:spacing w:after="0" w:line="252" w:lineRule="auto"/>
              <w:rPr>
                <w:rFonts w:hint="eastAsia"/>
              </w:rPr>
            </w:pPr>
            <w:r>
              <w:rPr>
                <w:sz w:val="16"/>
              </w:rPr>
              <w:t>Enter a browned state when a bound source exceeds the object-specific entry value and other Rules pass.</w:t>
            </w:r>
          </w:p>
        </w:tc>
      </w:tr>
      <w:tr w:rsidR="00E579F2" w14:paraId="16417C05" w14:textId="77777777">
        <w:trPr>
          <w:cantSplit/>
          <w:jc w:val="center"/>
        </w:trPr>
        <w:tc>
          <w:tcPr>
            <w:tcW w:w="1800" w:type="dxa"/>
            <w:tcMar>
              <w:top w:w="95" w:type="dxa"/>
              <w:left w:w="110" w:type="dxa"/>
              <w:bottom w:w="95" w:type="dxa"/>
              <w:right w:w="110" w:type="dxa"/>
            </w:tcMar>
            <w:vAlign w:val="center"/>
          </w:tcPr>
          <w:p w14:paraId="0CFDE609" w14:textId="77777777" w:rsidR="00E579F2" w:rsidRDefault="00FC5553">
            <w:pPr>
              <w:spacing w:after="0" w:line="252" w:lineRule="auto"/>
              <w:rPr>
                <w:rFonts w:hint="eastAsia"/>
              </w:rPr>
            </w:pPr>
            <w:r>
              <w:rPr>
                <w:sz w:val="16"/>
              </w:rPr>
              <w:t>Exit threshold</w:t>
            </w:r>
          </w:p>
        </w:tc>
        <w:tc>
          <w:tcPr>
            <w:tcW w:w="3744" w:type="dxa"/>
            <w:tcMar>
              <w:top w:w="95" w:type="dxa"/>
              <w:left w:w="110" w:type="dxa"/>
              <w:bottom w:w="95" w:type="dxa"/>
              <w:right w:w="110" w:type="dxa"/>
            </w:tcMar>
            <w:vAlign w:val="center"/>
          </w:tcPr>
          <w:p w14:paraId="036EA6F6" w14:textId="77777777" w:rsidR="00E579F2" w:rsidRDefault="00FC5553">
            <w:pPr>
              <w:spacing w:after="0" w:line="252" w:lineRule="auto"/>
              <w:rPr>
                <w:rFonts w:hint="eastAsia"/>
              </w:rPr>
            </w:pPr>
            <w:r>
              <w:rPr>
                <w:sz w:val="16"/>
              </w:rPr>
              <w:t>Boundary for leaving a state.</w:t>
            </w:r>
          </w:p>
        </w:tc>
        <w:tc>
          <w:tcPr>
            <w:tcW w:w="4176" w:type="dxa"/>
            <w:tcMar>
              <w:top w:w="95" w:type="dxa"/>
              <w:left w:w="110" w:type="dxa"/>
              <w:bottom w:w="95" w:type="dxa"/>
              <w:right w:w="110" w:type="dxa"/>
            </w:tcMar>
            <w:vAlign w:val="center"/>
          </w:tcPr>
          <w:p w14:paraId="4707EDFA" w14:textId="77777777" w:rsidR="00E579F2" w:rsidRDefault="00FC5553">
            <w:pPr>
              <w:spacing w:after="0" w:line="252" w:lineRule="auto"/>
              <w:rPr>
                <w:rFonts w:hint="eastAsia"/>
              </w:rPr>
            </w:pPr>
            <w:r>
              <w:rPr>
                <w:sz w:val="16"/>
              </w:rPr>
              <w:t>Leave a warm state only after the source falls below a lower exit value.</w:t>
            </w:r>
          </w:p>
        </w:tc>
      </w:tr>
      <w:tr w:rsidR="00E579F2" w14:paraId="56CCAE13" w14:textId="77777777">
        <w:trPr>
          <w:cantSplit/>
          <w:jc w:val="center"/>
        </w:trPr>
        <w:tc>
          <w:tcPr>
            <w:tcW w:w="1800" w:type="dxa"/>
            <w:tcMar>
              <w:top w:w="95" w:type="dxa"/>
              <w:left w:w="110" w:type="dxa"/>
              <w:bottom w:w="95" w:type="dxa"/>
              <w:right w:w="110" w:type="dxa"/>
            </w:tcMar>
            <w:vAlign w:val="center"/>
          </w:tcPr>
          <w:p w14:paraId="693F8A61" w14:textId="77777777" w:rsidR="00E579F2" w:rsidRDefault="00FC5553">
            <w:pPr>
              <w:spacing w:after="0" w:line="252" w:lineRule="auto"/>
              <w:rPr>
                <w:rFonts w:hint="eastAsia"/>
              </w:rPr>
            </w:pPr>
            <w:r>
              <w:rPr>
                <w:sz w:val="16"/>
              </w:rPr>
              <w:t>Hysteresis band</w:t>
            </w:r>
          </w:p>
        </w:tc>
        <w:tc>
          <w:tcPr>
            <w:tcW w:w="3744" w:type="dxa"/>
            <w:tcMar>
              <w:top w:w="95" w:type="dxa"/>
              <w:left w:w="110" w:type="dxa"/>
              <w:bottom w:w="95" w:type="dxa"/>
              <w:right w:w="110" w:type="dxa"/>
            </w:tcMar>
            <w:vAlign w:val="center"/>
          </w:tcPr>
          <w:p w14:paraId="45AC9EC7" w14:textId="77777777" w:rsidR="00E579F2" w:rsidRDefault="00FC5553">
            <w:pPr>
              <w:spacing w:after="0" w:line="252" w:lineRule="auto"/>
              <w:rPr>
                <w:rFonts w:hint="eastAsia"/>
              </w:rPr>
            </w:pPr>
            <w:r>
              <w:rPr>
                <w:sz w:val="16"/>
              </w:rPr>
              <w:t>Prevents rapid oscillation near a boundary.</w:t>
            </w:r>
          </w:p>
        </w:tc>
        <w:tc>
          <w:tcPr>
            <w:tcW w:w="4176" w:type="dxa"/>
            <w:tcMar>
              <w:top w:w="95" w:type="dxa"/>
              <w:left w:w="110" w:type="dxa"/>
              <w:bottom w:w="95" w:type="dxa"/>
              <w:right w:w="110" w:type="dxa"/>
            </w:tcMar>
            <w:vAlign w:val="center"/>
          </w:tcPr>
          <w:p w14:paraId="0A541595" w14:textId="77777777" w:rsidR="00E579F2" w:rsidRDefault="00FC5553">
            <w:pPr>
              <w:spacing w:after="0" w:line="252" w:lineRule="auto"/>
              <w:rPr>
                <w:rFonts w:hint="eastAsia"/>
              </w:rPr>
            </w:pPr>
            <w:r>
              <w:rPr>
                <w:sz w:val="16"/>
              </w:rPr>
              <w:t>Use different entry and exit thresholds.</w:t>
            </w:r>
          </w:p>
        </w:tc>
      </w:tr>
      <w:tr w:rsidR="00E579F2" w14:paraId="21FDBC2E" w14:textId="77777777">
        <w:trPr>
          <w:cantSplit/>
          <w:jc w:val="center"/>
        </w:trPr>
        <w:tc>
          <w:tcPr>
            <w:tcW w:w="1800" w:type="dxa"/>
            <w:tcMar>
              <w:top w:w="95" w:type="dxa"/>
              <w:left w:w="110" w:type="dxa"/>
              <w:bottom w:w="95" w:type="dxa"/>
              <w:right w:w="110" w:type="dxa"/>
            </w:tcMar>
            <w:vAlign w:val="center"/>
          </w:tcPr>
          <w:p w14:paraId="053EEA8B" w14:textId="77777777" w:rsidR="00E579F2" w:rsidRDefault="00FC5553">
            <w:pPr>
              <w:spacing w:after="0" w:line="252" w:lineRule="auto"/>
              <w:rPr>
                <w:rFonts w:hint="eastAsia"/>
              </w:rPr>
            </w:pPr>
            <w:r>
              <w:rPr>
                <w:sz w:val="16"/>
              </w:rPr>
              <w:t>Minimum duration</w:t>
            </w:r>
          </w:p>
        </w:tc>
        <w:tc>
          <w:tcPr>
            <w:tcW w:w="3744" w:type="dxa"/>
            <w:tcMar>
              <w:top w:w="95" w:type="dxa"/>
              <w:left w:w="110" w:type="dxa"/>
              <w:bottom w:w="95" w:type="dxa"/>
              <w:right w:w="110" w:type="dxa"/>
            </w:tcMar>
            <w:vAlign w:val="center"/>
          </w:tcPr>
          <w:p w14:paraId="59B88F97" w14:textId="77777777" w:rsidR="00E579F2" w:rsidRDefault="00FC5553">
            <w:pPr>
              <w:spacing w:after="0" w:line="252" w:lineRule="auto"/>
              <w:rPr>
                <w:rFonts w:hint="eastAsia"/>
              </w:rPr>
            </w:pPr>
            <w:r>
              <w:rPr>
                <w:sz w:val="16"/>
              </w:rPr>
              <w:t>Requires a condition to persist.</w:t>
            </w:r>
          </w:p>
        </w:tc>
        <w:tc>
          <w:tcPr>
            <w:tcW w:w="4176" w:type="dxa"/>
            <w:tcMar>
              <w:top w:w="95" w:type="dxa"/>
              <w:left w:w="110" w:type="dxa"/>
              <w:bottom w:w="95" w:type="dxa"/>
              <w:right w:w="110" w:type="dxa"/>
            </w:tcMar>
            <w:vAlign w:val="center"/>
          </w:tcPr>
          <w:p w14:paraId="18697D6F" w14:textId="77777777" w:rsidR="00E579F2" w:rsidRDefault="00FC5553">
            <w:pPr>
              <w:spacing w:after="0" w:line="252" w:lineRule="auto"/>
              <w:rPr>
                <w:rFonts w:hint="eastAsia"/>
              </w:rPr>
            </w:pPr>
            <w:r>
              <w:rPr>
                <w:sz w:val="16"/>
              </w:rPr>
              <w:t>Source remains above threshold for a minimum TIME-128-derived duration.</w:t>
            </w:r>
          </w:p>
        </w:tc>
      </w:tr>
      <w:tr w:rsidR="00E579F2" w14:paraId="08641D26" w14:textId="77777777">
        <w:trPr>
          <w:cantSplit/>
          <w:jc w:val="center"/>
        </w:trPr>
        <w:tc>
          <w:tcPr>
            <w:tcW w:w="1800" w:type="dxa"/>
            <w:tcMar>
              <w:top w:w="95" w:type="dxa"/>
              <w:left w:w="110" w:type="dxa"/>
              <w:bottom w:w="95" w:type="dxa"/>
              <w:right w:w="110" w:type="dxa"/>
            </w:tcMar>
            <w:vAlign w:val="center"/>
          </w:tcPr>
          <w:p w14:paraId="1E28F4AC" w14:textId="77777777" w:rsidR="00E579F2" w:rsidRDefault="00FC5553">
            <w:pPr>
              <w:spacing w:after="0" w:line="252" w:lineRule="auto"/>
              <w:rPr>
                <w:rFonts w:hint="eastAsia"/>
              </w:rPr>
            </w:pPr>
            <w:r>
              <w:rPr>
                <w:sz w:val="16"/>
              </w:rPr>
              <w:t>Maximum duration</w:t>
            </w:r>
          </w:p>
        </w:tc>
        <w:tc>
          <w:tcPr>
            <w:tcW w:w="3744" w:type="dxa"/>
            <w:tcMar>
              <w:top w:w="95" w:type="dxa"/>
              <w:left w:w="110" w:type="dxa"/>
              <w:bottom w:w="95" w:type="dxa"/>
              <w:right w:w="110" w:type="dxa"/>
            </w:tcMar>
            <w:vAlign w:val="center"/>
          </w:tcPr>
          <w:p w14:paraId="243F3AA9" w14:textId="77777777" w:rsidR="00E579F2" w:rsidRDefault="00FC5553">
            <w:pPr>
              <w:spacing w:after="0" w:line="252" w:lineRule="auto"/>
              <w:rPr>
                <w:rFonts w:hint="eastAsia"/>
              </w:rPr>
            </w:pPr>
            <w:r>
              <w:rPr>
                <w:sz w:val="16"/>
              </w:rPr>
              <w:t>Caps a state or process window.</w:t>
            </w:r>
          </w:p>
        </w:tc>
        <w:tc>
          <w:tcPr>
            <w:tcW w:w="4176" w:type="dxa"/>
            <w:tcMar>
              <w:top w:w="95" w:type="dxa"/>
              <w:left w:w="110" w:type="dxa"/>
              <w:bottom w:w="95" w:type="dxa"/>
              <w:right w:w="110" w:type="dxa"/>
            </w:tcMar>
            <w:vAlign w:val="center"/>
          </w:tcPr>
          <w:p w14:paraId="28BA2682" w14:textId="77777777" w:rsidR="00E579F2" w:rsidRDefault="00FC5553">
            <w:pPr>
              <w:spacing w:after="0" w:line="252" w:lineRule="auto"/>
              <w:rPr>
                <w:rFonts w:hint="eastAsia"/>
              </w:rPr>
            </w:pPr>
            <w:r>
              <w:rPr>
                <w:sz w:val="16"/>
              </w:rPr>
              <w:t>Operator is disallowed after an exposure window.</w:t>
            </w:r>
          </w:p>
        </w:tc>
      </w:tr>
      <w:tr w:rsidR="00E579F2" w14:paraId="3B2E506D" w14:textId="77777777">
        <w:trPr>
          <w:cantSplit/>
          <w:jc w:val="center"/>
        </w:trPr>
        <w:tc>
          <w:tcPr>
            <w:tcW w:w="1800" w:type="dxa"/>
            <w:tcMar>
              <w:top w:w="95" w:type="dxa"/>
              <w:left w:w="110" w:type="dxa"/>
              <w:bottom w:w="95" w:type="dxa"/>
              <w:right w:w="110" w:type="dxa"/>
            </w:tcMar>
            <w:vAlign w:val="center"/>
          </w:tcPr>
          <w:p w14:paraId="03BEFF12" w14:textId="77777777" w:rsidR="00E579F2" w:rsidRDefault="00FC5553">
            <w:pPr>
              <w:spacing w:after="0" w:line="252" w:lineRule="auto"/>
              <w:rPr>
                <w:rFonts w:hint="eastAsia"/>
              </w:rPr>
            </w:pPr>
            <w:r>
              <w:rPr>
                <w:sz w:val="16"/>
              </w:rPr>
              <w:t>Range</w:t>
            </w:r>
          </w:p>
        </w:tc>
        <w:tc>
          <w:tcPr>
            <w:tcW w:w="3744" w:type="dxa"/>
            <w:tcMar>
              <w:top w:w="95" w:type="dxa"/>
              <w:left w:w="110" w:type="dxa"/>
              <w:bottom w:w="95" w:type="dxa"/>
              <w:right w:w="110" w:type="dxa"/>
            </w:tcMar>
            <w:vAlign w:val="center"/>
          </w:tcPr>
          <w:p w14:paraId="514BF4DC" w14:textId="77777777" w:rsidR="00E579F2" w:rsidRDefault="00FC5553">
            <w:pPr>
              <w:spacing w:after="0" w:line="252" w:lineRule="auto"/>
              <w:rPr>
                <w:rFonts w:hint="eastAsia"/>
              </w:rPr>
            </w:pPr>
            <w:r>
              <w:rPr>
                <w:sz w:val="16"/>
              </w:rPr>
              <w:t>Defines valid or preferred interval.</w:t>
            </w:r>
          </w:p>
        </w:tc>
        <w:tc>
          <w:tcPr>
            <w:tcW w:w="4176" w:type="dxa"/>
            <w:tcMar>
              <w:top w:w="95" w:type="dxa"/>
              <w:left w:w="110" w:type="dxa"/>
              <w:bottom w:w="95" w:type="dxa"/>
              <w:right w:w="110" w:type="dxa"/>
            </w:tcMar>
            <w:vAlign w:val="center"/>
          </w:tcPr>
          <w:p w14:paraId="69FD72E9" w14:textId="77777777" w:rsidR="00E579F2" w:rsidRDefault="00FC5553">
            <w:pPr>
              <w:spacing w:after="0" w:line="252" w:lineRule="auto"/>
              <w:rPr>
                <w:rFonts w:hint="eastAsia"/>
              </w:rPr>
            </w:pPr>
            <w:r>
              <w:rPr>
                <w:sz w:val="16"/>
              </w:rPr>
              <w:t>Operate only while a source remains between lower and upper bounds.</w:t>
            </w:r>
          </w:p>
        </w:tc>
      </w:tr>
      <w:tr w:rsidR="00E579F2" w14:paraId="6DD94016" w14:textId="77777777">
        <w:trPr>
          <w:cantSplit/>
          <w:jc w:val="center"/>
        </w:trPr>
        <w:tc>
          <w:tcPr>
            <w:tcW w:w="1800" w:type="dxa"/>
            <w:tcMar>
              <w:top w:w="95" w:type="dxa"/>
              <w:left w:w="110" w:type="dxa"/>
              <w:bottom w:w="95" w:type="dxa"/>
              <w:right w:w="110" w:type="dxa"/>
            </w:tcMar>
            <w:vAlign w:val="center"/>
          </w:tcPr>
          <w:p w14:paraId="7AD04221" w14:textId="77777777" w:rsidR="00E579F2" w:rsidRDefault="00FC5553">
            <w:pPr>
              <w:spacing w:after="0" w:line="252" w:lineRule="auto"/>
              <w:rPr>
                <w:rFonts w:hint="eastAsia"/>
              </w:rPr>
            </w:pPr>
            <w:r>
              <w:rPr>
                <w:sz w:val="16"/>
              </w:rPr>
              <w:t>Gain / coefficient</w:t>
            </w:r>
          </w:p>
        </w:tc>
        <w:tc>
          <w:tcPr>
            <w:tcW w:w="3744" w:type="dxa"/>
            <w:tcMar>
              <w:top w:w="95" w:type="dxa"/>
              <w:left w:w="110" w:type="dxa"/>
              <w:bottom w:w="95" w:type="dxa"/>
              <w:right w:w="110" w:type="dxa"/>
            </w:tcMar>
            <w:vAlign w:val="center"/>
          </w:tcPr>
          <w:p w14:paraId="2285F8B5" w14:textId="77777777" w:rsidR="00E579F2" w:rsidRDefault="00FC5553">
            <w:pPr>
              <w:spacing w:after="0" w:line="252" w:lineRule="auto"/>
              <w:rPr>
                <w:rFonts w:hint="eastAsia"/>
              </w:rPr>
            </w:pPr>
            <w:r>
              <w:rPr>
                <w:sz w:val="16"/>
              </w:rPr>
              <w:t>Scales an input before interpretation.</w:t>
            </w:r>
          </w:p>
        </w:tc>
        <w:tc>
          <w:tcPr>
            <w:tcW w:w="4176" w:type="dxa"/>
            <w:tcMar>
              <w:top w:w="95" w:type="dxa"/>
              <w:left w:w="110" w:type="dxa"/>
              <w:bottom w:w="95" w:type="dxa"/>
              <w:right w:w="110" w:type="dxa"/>
            </w:tcMar>
            <w:vAlign w:val="center"/>
          </w:tcPr>
          <w:p w14:paraId="08A2EFE1" w14:textId="77777777" w:rsidR="00E579F2" w:rsidRDefault="00FC5553">
            <w:pPr>
              <w:spacing w:after="0" w:line="252" w:lineRule="auto"/>
              <w:rPr>
                <w:rFonts w:hint="eastAsia"/>
              </w:rPr>
            </w:pPr>
            <w:r>
              <w:rPr>
                <w:sz w:val="16"/>
              </w:rPr>
              <w:t>Convert a semantic source delta into a model-specific response.</w:t>
            </w:r>
          </w:p>
        </w:tc>
      </w:tr>
      <w:tr w:rsidR="00E579F2" w14:paraId="5513ACB7" w14:textId="77777777">
        <w:trPr>
          <w:cantSplit/>
          <w:jc w:val="center"/>
        </w:trPr>
        <w:tc>
          <w:tcPr>
            <w:tcW w:w="1800" w:type="dxa"/>
            <w:tcMar>
              <w:top w:w="95" w:type="dxa"/>
              <w:left w:w="110" w:type="dxa"/>
              <w:bottom w:w="95" w:type="dxa"/>
              <w:right w:w="110" w:type="dxa"/>
            </w:tcMar>
            <w:vAlign w:val="center"/>
          </w:tcPr>
          <w:p w14:paraId="427C726B" w14:textId="77777777" w:rsidR="00E579F2" w:rsidRDefault="00FC5553">
            <w:pPr>
              <w:spacing w:after="0" w:line="252" w:lineRule="auto"/>
              <w:rPr>
                <w:rFonts w:hint="eastAsia"/>
              </w:rPr>
            </w:pPr>
            <w:r>
              <w:rPr>
                <w:sz w:val="16"/>
              </w:rPr>
              <w:t>Comparator mode</w:t>
            </w:r>
          </w:p>
        </w:tc>
        <w:tc>
          <w:tcPr>
            <w:tcW w:w="3744" w:type="dxa"/>
            <w:tcMar>
              <w:top w:w="95" w:type="dxa"/>
              <w:left w:w="110" w:type="dxa"/>
              <w:bottom w:w="95" w:type="dxa"/>
              <w:right w:w="110" w:type="dxa"/>
            </w:tcMar>
            <w:vAlign w:val="center"/>
          </w:tcPr>
          <w:p w14:paraId="3B3E5866" w14:textId="77777777" w:rsidR="00E579F2" w:rsidRDefault="00FC5553">
            <w:pPr>
              <w:spacing w:after="0" w:line="252" w:lineRule="auto"/>
              <w:rPr>
                <w:rFonts w:hint="eastAsia"/>
              </w:rPr>
            </w:pPr>
            <w:r>
              <w:rPr>
                <w:sz w:val="16"/>
              </w:rPr>
              <w:t>Chooses greater-than, less-than, equality, membership, or range semantics.</w:t>
            </w:r>
          </w:p>
        </w:tc>
        <w:tc>
          <w:tcPr>
            <w:tcW w:w="4176" w:type="dxa"/>
            <w:tcMar>
              <w:top w:w="95" w:type="dxa"/>
              <w:left w:w="110" w:type="dxa"/>
              <w:bottom w:w="95" w:type="dxa"/>
              <w:right w:w="110" w:type="dxa"/>
            </w:tcMar>
            <w:vAlign w:val="center"/>
          </w:tcPr>
          <w:p w14:paraId="61D21F9D" w14:textId="77777777" w:rsidR="00E579F2" w:rsidRDefault="00FC5553">
            <w:pPr>
              <w:spacing w:after="0" w:line="252" w:lineRule="auto"/>
              <w:rPr>
                <w:rFonts w:hint="eastAsia"/>
              </w:rPr>
            </w:pPr>
            <w:r>
              <w:rPr>
                <w:sz w:val="16"/>
              </w:rPr>
              <w:t>Resolve a generic threshold evaluator without bespoke code.</w:t>
            </w:r>
          </w:p>
        </w:tc>
      </w:tr>
      <w:tr w:rsidR="00E579F2" w14:paraId="76725DFB" w14:textId="77777777">
        <w:trPr>
          <w:cantSplit/>
          <w:jc w:val="center"/>
        </w:trPr>
        <w:tc>
          <w:tcPr>
            <w:tcW w:w="1800" w:type="dxa"/>
            <w:tcMar>
              <w:top w:w="95" w:type="dxa"/>
              <w:left w:w="110" w:type="dxa"/>
              <w:bottom w:w="95" w:type="dxa"/>
              <w:right w:w="110" w:type="dxa"/>
            </w:tcMar>
            <w:vAlign w:val="center"/>
          </w:tcPr>
          <w:p w14:paraId="6ED5CAC9" w14:textId="77777777" w:rsidR="00E579F2" w:rsidRDefault="00FC5553">
            <w:pPr>
              <w:spacing w:after="0" w:line="252" w:lineRule="auto"/>
              <w:rPr>
                <w:rFonts w:hint="eastAsia"/>
              </w:rPr>
            </w:pPr>
            <w:r>
              <w:rPr>
                <w:sz w:val="16"/>
              </w:rPr>
              <w:t>Priority / precedence</w:t>
            </w:r>
          </w:p>
        </w:tc>
        <w:tc>
          <w:tcPr>
            <w:tcW w:w="3744" w:type="dxa"/>
            <w:tcMar>
              <w:top w:w="95" w:type="dxa"/>
              <w:left w:w="110" w:type="dxa"/>
              <w:bottom w:w="95" w:type="dxa"/>
              <w:right w:w="110" w:type="dxa"/>
            </w:tcMar>
            <w:vAlign w:val="center"/>
          </w:tcPr>
          <w:p w14:paraId="1AD166DA" w14:textId="77777777" w:rsidR="00E579F2" w:rsidRDefault="00FC5553">
            <w:pPr>
              <w:spacing w:after="0" w:line="252" w:lineRule="auto"/>
              <w:rPr>
                <w:rFonts w:hint="eastAsia"/>
              </w:rPr>
            </w:pPr>
            <w:r>
              <w:rPr>
                <w:sz w:val="16"/>
              </w:rPr>
              <w:t>Orders competing transition candidates.</w:t>
            </w:r>
          </w:p>
        </w:tc>
        <w:tc>
          <w:tcPr>
            <w:tcW w:w="4176" w:type="dxa"/>
            <w:tcMar>
              <w:top w:w="95" w:type="dxa"/>
              <w:left w:w="110" w:type="dxa"/>
              <w:bottom w:w="95" w:type="dxa"/>
              <w:right w:w="110" w:type="dxa"/>
            </w:tcMar>
            <w:vAlign w:val="center"/>
          </w:tcPr>
          <w:p w14:paraId="6E6366F9" w14:textId="77777777" w:rsidR="00E579F2" w:rsidRDefault="00FC5553">
            <w:pPr>
              <w:spacing w:after="0" w:line="252" w:lineRule="auto"/>
              <w:rPr>
                <w:rFonts w:hint="eastAsia"/>
              </w:rPr>
            </w:pPr>
            <w:r>
              <w:rPr>
                <w:sz w:val="16"/>
              </w:rPr>
              <w:t>Select one deterministic transition when multiple Rules pass.</w:t>
            </w:r>
          </w:p>
        </w:tc>
      </w:tr>
    </w:tbl>
    <w:p w14:paraId="1C8C6C3C" w14:textId="77777777" w:rsidR="00E579F2" w:rsidRDefault="00E579F2">
      <w:pPr>
        <w:spacing w:after="20"/>
        <w:rPr>
          <w:rFonts w:hint="eastAsia"/>
        </w:rPr>
      </w:pPr>
    </w:p>
    <w:p w14:paraId="5220EBA0" w14:textId="77777777" w:rsidR="00E579F2" w:rsidRDefault="00FC5553">
      <w:pPr>
        <w:pStyle w:val="Heading2"/>
      </w:pPr>
      <w:r>
        <w:t>6.2 Units and basis</w:t>
      </w:r>
    </w:p>
    <w:p w14:paraId="53FC2AF2" w14:textId="77777777" w:rsidR="00E579F2" w:rsidRDefault="00FC5553">
      <w:pPr>
        <w:spacing w:line="274" w:lineRule="auto"/>
        <w:rPr>
          <w:rFonts w:hint="eastAsia"/>
        </w:rPr>
      </w:pPr>
      <w:r>
        <w:rPr>
          <w:sz w:val="21"/>
        </w:rPr>
        <w:t>Every numeric parameter MUST have a declared basis, scale, signedness, and valid range. A threshold value without units is not a stable semantic contract. Units MAY be intrinsic to the Kernel bit range, selected by basis bits, or resolved from the registered Model. The decoder MUST know which rule applies before interpreting the raw integer.</w:t>
      </w:r>
    </w:p>
    <w:p w14:paraId="0C086D3E" w14:textId="77777777" w:rsidR="00E579F2" w:rsidRDefault="00FC5553">
      <w:pPr>
        <w:pStyle w:val="Heading2"/>
      </w:pPr>
      <w:r>
        <w:t>6.3 Quantization</w:t>
      </w:r>
    </w:p>
    <w:p w14:paraId="3A53A982" w14:textId="77777777" w:rsidR="00E579F2" w:rsidRDefault="00FC5553">
      <w:pPr>
        <w:spacing w:line="274" w:lineRule="auto"/>
        <w:rPr>
          <w:rFonts w:hint="eastAsia"/>
        </w:rPr>
      </w:pPr>
      <w:r>
        <w:rPr>
          <w:sz w:val="21"/>
        </w:rPr>
        <w:t>Fixed-width parameterization necessarily quantizes values. The Kernel specification MUST state resolution and overflow behavior. When the domain requires more precision than the allotted range permits, the Kernel SHOULD increase the word size, use a different basis, or move the parameter into a companion Kernel rather than silently degrading meaning.</w:t>
      </w:r>
    </w:p>
    <w:p w14:paraId="369AACBB" w14:textId="77777777" w:rsidR="00E579F2" w:rsidRDefault="00FC5553">
      <w:pPr>
        <w:pStyle w:val="Heading2"/>
      </w:pPr>
      <w:r>
        <w:t>6.4 Hysteresis and anti-flapping</w:t>
      </w:r>
    </w:p>
    <w:p w14:paraId="66E146DE" w14:textId="77777777" w:rsidR="00E579F2" w:rsidRDefault="00FC5553">
      <w:pPr>
        <w:spacing w:line="274" w:lineRule="auto"/>
        <w:rPr>
          <w:rFonts w:hint="eastAsia"/>
        </w:rPr>
      </w:pPr>
      <w:r>
        <w:rPr>
          <w:sz w:val="21"/>
        </w:rPr>
        <w:t>Threshold-based systems SHOULD use hysteresis, dwell time, or Rule-level debounce when source values can fluctuate near boundaries. This prevents repeated 0-to-1 and 1-to-0 transitions caused by minor noise or quantization around a single threshold.</w:t>
      </w:r>
    </w:p>
    <w:p w14:paraId="6B6890AE" w14:textId="77777777" w:rsidR="00E579F2" w:rsidRDefault="00FC5553">
      <w:pPr>
        <w:pStyle w:val="Heading1"/>
      </w:pPr>
      <w:bookmarkStart w:id="9" w:name="sec7"/>
      <w:r>
        <w:t>7. Parameter Sources and Bindings</w:t>
      </w:r>
      <w:bookmarkEnd w:id="9"/>
    </w:p>
    <w:p w14:paraId="258361D7" w14:textId="77777777" w:rsidR="00E579F2" w:rsidRDefault="00FC5553">
      <w:pPr>
        <w:spacing w:line="274" w:lineRule="auto"/>
        <w:rPr>
          <w:rFonts w:hint="eastAsia"/>
        </w:rPr>
      </w:pPr>
      <w:r>
        <w:rPr>
          <w:sz w:val="21"/>
        </w:rPr>
        <w:t>A Bitstate Parameter has meaning only when it is evaluated against a source. The Parameter Binding declares the source object, source Kernel, source bit or range, decoding method, local ModelKey parameter slot, comparator, Rule, and target Operator.</w:t>
      </w:r>
    </w:p>
    <w:tbl>
      <w:tblPr>
        <w:tblW w:w="0" w:type="auto"/>
        <w:jc w:val="center"/>
        <w:tblLayout w:type="fixed"/>
        <w:tblLook w:val="04A0" w:firstRow="1" w:lastRow="0" w:firstColumn="1" w:lastColumn="0" w:noHBand="0" w:noVBand="1"/>
      </w:tblPr>
      <w:tblGrid>
        <w:gridCol w:w="2304"/>
        <w:gridCol w:w="7416"/>
      </w:tblGrid>
      <w:tr w:rsidR="00E579F2" w14:paraId="5A846869" w14:textId="77777777">
        <w:trPr>
          <w:tblHeader/>
          <w:jc w:val="center"/>
        </w:trPr>
        <w:tc>
          <w:tcPr>
            <w:tcW w:w="2304" w:type="dxa"/>
            <w:tcBorders>
              <w:top w:val="single" w:sz="4" w:space="0" w:color="C9D6DF"/>
              <w:left w:val="single" w:sz="4" w:space="0" w:color="C9D6DF"/>
              <w:bottom w:val="single" w:sz="4" w:space="0" w:color="C9D6DF"/>
              <w:right w:val="single" w:sz="4" w:space="0" w:color="C9D6DF"/>
            </w:tcBorders>
            <w:shd w:val="clear" w:color="auto" w:fill="17324D"/>
            <w:tcMar>
              <w:top w:w="105" w:type="dxa"/>
              <w:left w:w="110" w:type="dxa"/>
              <w:bottom w:w="105" w:type="dxa"/>
              <w:right w:w="110" w:type="dxa"/>
            </w:tcMar>
            <w:vAlign w:val="center"/>
          </w:tcPr>
          <w:p w14:paraId="3C4D4DE5" w14:textId="77777777" w:rsidR="00E579F2" w:rsidRDefault="00FC5553">
            <w:pPr>
              <w:spacing w:after="0"/>
              <w:rPr>
                <w:rFonts w:hint="eastAsia"/>
              </w:rPr>
            </w:pPr>
            <w:r>
              <w:rPr>
                <w:b/>
                <w:color w:val="FFFFFF"/>
                <w:sz w:val="17"/>
              </w:rPr>
              <w:t>Binding field</w:t>
            </w:r>
          </w:p>
        </w:tc>
        <w:tc>
          <w:tcPr>
            <w:tcW w:w="7416" w:type="dxa"/>
            <w:tcBorders>
              <w:top w:val="single" w:sz="4" w:space="0" w:color="C9D6DF"/>
              <w:left w:val="single" w:sz="4" w:space="0" w:color="C9D6DF"/>
              <w:bottom w:val="single" w:sz="4" w:space="0" w:color="C9D6DF"/>
              <w:right w:val="single" w:sz="4" w:space="0" w:color="C9D6DF"/>
            </w:tcBorders>
            <w:shd w:val="clear" w:color="auto" w:fill="17324D"/>
            <w:tcMar>
              <w:top w:w="105" w:type="dxa"/>
              <w:left w:w="110" w:type="dxa"/>
              <w:bottom w:w="105" w:type="dxa"/>
              <w:right w:w="110" w:type="dxa"/>
            </w:tcMar>
            <w:vAlign w:val="center"/>
          </w:tcPr>
          <w:p w14:paraId="7CB22D65" w14:textId="77777777" w:rsidR="00E579F2" w:rsidRDefault="00FC5553">
            <w:pPr>
              <w:spacing w:after="0"/>
              <w:rPr>
                <w:rFonts w:hint="eastAsia"/>
              </w:rPr>
            </w:pPr>
            <w:r>
              <w:rPr>
                <w:b/>
                <w:color w:val="FFFFFF"/>
                <w:sz w:val="17"/>
              </w:rPr>
              <w:t>Meaning</w:t>
            </w:r>
          </w:p>
        </w:tc>
      </w:tr>
      <w:tr w:rsidR="00E579F2" w14:paraId="0A12843F" w14:textId="77777777">
        <w:trPr>
          <w:cantSplit/>
          <w:jc w:val="center"/>
        </w:trPr>
        <w:tc>
          <w:tcPr>
            <w:tcW w:w="2304" w:type="dxa"/>
            <w:tcMar>
              <w:top w:w="95" w:type="dxa"/>
              <w:left w:w="110" w:type="dxa"/>
              <w:bottom w:w="95" w:type="dxa"/>
              <w:right w:w="110" w:type="dxa"/>
            </w:tcMar>
            <w:vAlign w:val="center"/>
          </w:tcPr>
          <w:p w14:paraId="24A67391" w14:textId="77777777" w:rsidR="00E579F2" w:rsidRDefault="00FC5553">
            <w:pPr>
              <w:spacing w:after="0" w:line="252" w:lineRule="auto"/>
              <w:rPr>
                <w:rFonts w:hint="eastAsia"/>
              </w:rPr>
            </w:pPr>
            <w:r>
              <w:rPr>
                <w:sz w:val="17"/>
              </w:rPr>
              <w:t>Source Object</w:t>
            </w:r>
          </w:p>
        </w:tc>
        <w:tc>
          <w:tcPr>
            <w:tcW w:w="7416" w:type="dxa"/>
            <w:tcMar>
              <w:top w:w="95" w:type="dxa"/>
              <w:left w:w="110" w:type="dxa"/>
              <w:bottom w:w="95" w:type="dxa"/>
              <w:right w:w="110" w:type="dxa"/>
            </w:tcMar>
            <w:vAlign w:val="center"/>
          </w:tcPr>
          <w:p w14:paraId="20AC38FA" w14:textId="77777777" w:rsidR="00E579F2" w:rsidRDefault="00FC5553">
            <w:pPr>
              <w:spacing w:after="0" w:line="252" w:lineRule="auto"/>
              <w:rPr>
                <w:rFonts w:hint="eastAsia"/>
              </w:rPr>
            </w:pPr>
            <w:r>
              <w:rPr>
                <w:sz w:val="17"/>
              </w:rPr>
              <w:t>The NodeKey whose semantic state supplies the input. MAY resolve to THIS for the target object itself.</w:t>
            </w:r>
          </w:p>
        </w:tc>
      </w:tr>
      <w:tr w:rsidR="00E579F2" w14:paraId="48B94C5B" w14:textId="77777777">
        <w:trPr>
          <w:cantSplit/>
          <w:jc w:val="center"/>
        </w:trPr>
        <w:tc>
          <w:tcPr>
            <w:tcW w:w="2304" w:type="dxa"/>
            <w:tcMar>
              <w:top w:w="95" w:type="dxa"/>
              <w:left w:w="110" w:type="dxa"/>
              <w:bottom w:w="95" w:type="dxa"/>
              <w:right w:w="110" w:type="dxa"/>
            </w:tcMar>
            <w:vAlign w:val="center"/>
          </w:tcPr>
          <w:p w14:paraId="03682BEC" w14:textId="77777777" w:rsidR="00E579F2" w:rsidRDefault="00FC5553">
            <w:pPr>
              <w:spacing w:after="0" w:line="252" w:lineRule="auto"/>
              <w:rPr>
                <w:rFonts w:hint="eastAsia"/>
              </w:rPr>
            </w:pPr>
            <w:r>
              <w:rPr>
                <w:sz w:val="17"/>
              </w:rPr>
              <w:t>Source Kernel</w:t>
            </w:r>
          </w:p>
        </w:tc>
        <w:tc>
          <w:tcPr>
            <w:tcW w:w="7416" w:type="dxa"/>
            <w:tcMar>
              <w:top w:w="95" w:type="dxa"/>
              <w:left w:w="110" w:type="dxa"/>
              <w:bottom w:w="95" w:type="dxa"/>
              <w:right w:w="110" w:type="dxa"/>
            </w:tcMar>
            <w:vAlign w:val="center"/>
          </w:tcPr>
          <w:p w14:paraId="4E69B7B4" w14:textId="77777777" w:rsidR="00E579F2" w:rsidRDefault="00FC5553">
            <w:pPr>
              <w:spacing w:after="0" w:line="252" w:lineRule="auto"/>
              <w:rPr>
                <w:rFonts w:hint="eastAsia"/>
              </w:rPr>
            </w:pPr>
            <w:r>
              <w:rPr>
                <w:sz w:val="17"/>
              </w:rPr>
              <w:t>Kernel ID and version that define the source value.</w:t>
            </w:r>
          </w:p>
        </w:tc>
      </w:tr>
      <w:tr w:rsidR="00E579F2" w14:paraId="731705AE" w14:textId="77777777">
        <w:trPr>
          <w:cantSplit/>
          <w:jc w:val="center"/>
        </w:trPr>
        <w:tc>
          <w:tcPr>
            <w:tcW w:w="2304" w:type="dxa"/>
            <w:tcMar>
              <w:top w:w="95" w:type="dxa"/>
              <w:left w:w="110" w:type="dxa"/>
              <w:bottom w:w="95" w:type="dxa"/>
              <w:right w:w="110" w:type="dxa"/>
            </w:tcMar>
            <w:vAlign w:val="center"/>
          </w:tcPr>
          <w:p w14:paraId="07B32258" w14:textId="77777777" w:rsidR="00E579F2" w:rsidRDefault="00FC5553">
            <w:pPr>
              <w:spacing w:after="0" w:line="252" w:lineRule="auto"/>
              <w:rPr>
                <w:rFonts w:hint="eastAsia"/>
              </w:rPr>
            </w:pPr>
            <w:r>
              <w:rPr>
                <w:sz w:val="17"/>
              </w:rPr>
              <w:t>Source Address</w:t>
            </w:r>
          </w:p>
        </w:tc>
        <w:tc>
          <w:tcPr>
            <w:tcW w:w="7416" w:type="dxa"/>
            <w:tcMar>
              <w:top w:w="95" w:type="dxa"/>
              <w:left w:w="110" w:type="dxa"/>
              <w:bottom w:w="95" w:type="dxa"/>
              <w:right w:w="110" w:type="dxa"/>
            </w:tcMar>
            <w:vAlign w:val="center"/>
          </w:tcPr>
          <w:p w14:paraId="7E3930EE" w14:textId="77777777" w:rsidR="00E579F2" w:rsidRDefault="00FC5553">
            <w:pPr>
              <w:spacing w:after="0" w:line="252" w:lineRule="auto"/>
              <w:rPr>
                <w:rFonts w:hint="eastAsia"/>
              </w:rPr>
            </w:pPr>
            <w:r>
              <w:rPr>
                <w:sz w:val="17"/>
              </w:rPr>
              <w:t>Bit, bit group, or scalar range to decode.</w:t>
            </w:r>
          </w:p>
        </w:tc>
      </w:tr>
      <w:tr w:rsidR="00E579F2" w14:paraId="676521E8" w14:textId="77777777">
        <w:trPr>
          <w:cantSplit/>
          <w:jc w:val="center"/>
        </w:trPr>
        <w:tc>
          <w:tcPr>
            <w:tcW w:w="2304" w:type="dxa"/>
            <w:tcMar>
              <w:top w:w="95" w:type="dxa"/>
              <w:left w:w="110" w:type="dxa"/>
              <w:bottom w:w="95" w:type="dxa"/>
              <w:right w:w="110" w:type="dxa"/>
            </w:tcMar>
            <w:vAlign w:val="center"/>
          </w:tcPr>
          <w:p w14:paraId="5541E1B7" w14:textId="77777777" w:rsidR="00E579F2" w:rsidRDefault="00FC5553">
            <w:pPr>
              <w:spacing w:after="0" w:line="252" w:lineRule="auto"/>
              <w:rPr>
                <w:rFonts w:hint="eastAsia"/>
              </w:rPr>
            </w:pPr>
            <w:r>
              <w:rPr>
                <w:sz w:val="17"/>
              </w:rPr>
              <w:t>Source Interpretation</w:t>
            </w:r>
          </w:p>
        </w:tc>
        <w:tc>
          <w:tcPr>
            <w:tcW w:w="7416" w:type="dxa"/>
            <w:tcMar>
              <w:top w:w="95" w:type="dxa"/>
              <w:left w:w="110" w:type="dxa"/>
              <w:bottom w:w="95" w:type="dxa"/>
              <w:right w:w="110" w:type="dxa"/>
            </w:tcMar>
            <w:vAlign w:val="center"/>
          </w:tcPr>
          <w:p w14:paraId="5B7D0CE9" w14:textId="77777777" w:rsidR="00E579F2" w:rsidRDefault="00FC5553">
            <w:pPr>
              <w:spacing w:after="0" w:line="252" w:lineRule="auto"/>
              <w:rPr>
                <w:rFonts w:hint="eastAsia"/>
              </w:rPr>
            </w:pPr>
            <w:r>
              <w:rPr>
                <w:sz w:val="17"/>
              </w:rPr>
              <w:t>Boolean, enum, fixed-point, scalar, mask membership, typed delta, or translated value.</w:t>
            </w:r>
          </w:p>
        </w:tc>
      </w:tr>
      <w:tr w:rsidR="00E579F2" w14:paraId="3165B1E0" w14:textId="77777777">
        <w:trPr>
          <w:cantSplit/>
          <w:jc w:val="center"/>
        </w:trPr>
        <w:tc>
          <w:tcPr>
            <w:tcW w:w="2304" w:type="dxa"/>
            <w:tcMar>
              <w:top w:w="95" w:type="dxa"/>
              <w:left w:w="110" w:type="dxa"/>
              <w:bottom w:w="95" w:type="dxa"/>
              <w:right w:w="110" w:type="dxa"/>
            </w:tcMar>
            <w:vAlign w:val="center"/>
          </w:tcPr>
          <w:p w14:paraId="2DD2A443" w14:textId="77777777" w:rsidR="00E579F2" w:rsidRDefault="00FC5553">
            <w:pPr>
              <w:spacing w:after="0" w:line="252" w:lineRule="auto"/>
              <w:rPr>
                <w:rFonts w:hint="eastAsia"/>
              </w:rPr>
            </w:pPr>
            <w:r>
              <w:rPr>
                <w:sz w:val="17"/>
              </w:rPr>
              <w:t>Local Parameter Slot</w:t>
            </w:r>
          </w:p>
        </w:tc>
        <w:tc>
          <w:tcPr>
            <w:tcW w:w="7416" w:type="dxa"/>
            <w:tcMar>
              <w:top w:w="95" w:type="dxa"/>
              <w:left w:w="110" w:type="dxa"/>
              <w:bottom w:w="95" w:type="dxa"/>
              <w:right w:w="110" w:type="dxa"/>
            </w:tcMar>
            <w:vAlign w:val="center"/>
          </w:tcPr>
          <w:p w14:paraId="04F47629" w14:textId="77777777" w:rsidR="00E579F2" w:rsidRDefault="00FC5553">
            <w:pPr>
              <w:spacing w:after="0" w:line="252" w:lineRule="auto"/>
              <w:rPr>
                <w:rFonts w:hint="eastAsia"/>
              </w:rPr>
            </w:pPr>
            <w:r>
              <w:rPr>
                <w:sz w:val="17"/>
              </w:rPr>
              <w:t>Bit range in the target ModelKey extension used as threshold, bound, gain, or other parameter.</w:t>
            </w:r>
          </w:p>
        </w:tc>
      </w:tr>
      <w:tr w:rsidR="00E579F2" w14:paraId="420E374A" w14:textId="77777777">
        <w:trPr>
          <w:cantSplit/>
          <w:jc w:val="center"/>
        </w:trPr>
        <w:tc>
          <w:tcPr>
            <w:tcW w:w="2304" w:type="dxa"/>
            <w:tcMar>
              <w:top w:w="95" w:type="dxa"/>
              <w:left w:w="110" w:type="dxa"/>
              <w:bottom w:w="95" w:type="dxa"/>
              <w:right w:w="110" w:type="dxa"/>
            </w:tcMar>
            <w:vAlign w:val="center"/>
          </w:tcPr>
          <w:p w14:paraId="2565B3F2" w14:textId="77777777" w:rsidR="00E579F2" w:rsidRDefault="00FC5553">
            <w:pPr>
              <w:spacing w:after="0" w:line="252" w:lineRule="auto"/>
              <w:rPr>
                <w:rFonts w:hint="eastAsia"/>
              </w:rPr>
            </w:pPr>
            <w:r>
              <w:rPr>
                <w:sz w:val="17"/>
              </w:rPr>
              <w:t>Comparator / Rule</w:t>
            </w:r>
          </w:p>
        </w:tc>
        <w:tc>
          <w:tcPr>
            <w:tcW w:w="7416" w:type="dxa"/>
            <w:tcMar>
              <w:top w:w="95" w:type="dxa"/>
              <w:left w:w="110" w:type="dxa"/>
              <w:bottom w:w="95" w:type="dxa"/>
              <w:right w:w="110" w:type="dxa"/>
            </w:tcMar>
            <w:vAlign w:val="center"/>
          </w:tcPr>
          <w:p w14:paraId="49B50F06" w14:textId="77777777" w:rsidR="00E579F2" w:rsidRDefault="00FC5553">
            <w:pPr>
              <w:spacing w:after="0" w:line="252" w:lineRule="auto"/>
              <w:rPr>
                <w:rFonts w:hint="eastAsia"/>
              </w:rPr>
            </w:pPr>
            <w:r>
              <w:rPr>
                <w:sz w:val="17"/>
              </w:rPr>
              <w:t>Condition that determines whether a transition candidate becomes valid.</w:t>
            </w:r>
          </w:p>
        </w:tc>
      </w:tr>
      <w:tr w:rsidR="00E579F2" w14:paraId="3D6CFE42" w14:textId="77777777">
        <w:trPr>
          <w:cantSplit/>
          <w:jc w:val="center"/>
        </w:trPr>
        <w:tc>
          <w:tcPr>
            <w:tcW w:w="2304" w:type="dxa"/>
            <w:tcMar>
              <w:top w:w="95" w:type="dxa"/>
              <w:left w:w="110" w:type="dxa"/>
              <w:bottom w:w="95" w:type="dxa"/>
              <w:right w:w="110" w:type="dxa"/>
            </w:tcMar>
            <w:vAlign w:val="center"/>
          </w:tcPr>
          <w:p w14:paraId="366BF11E" w14:textId="77777777" w:rsidR="00E579F2" w:rsidRDefault="00FC5553">
            <w:pPr>
              <w:spacing w:after="0" w:line="252" w:lineRule="auto"/>
              <w:rPr>
                <w:rFonts w:hint="eastAsia"/>
              </w:rPr>
            </w:pPr>
            <w:r>
              <w:rPr>
                <w:sz w:val="17"/>
              </w:rPr>
              <w:t>Target Operator</w:t>
            </w:r>
          </w:p>
        </w:tc>
        <w:tc>
          <w:tcPr>
            <w:tcW w:w="7416" w:type="dxa"/>
            <w:tcMar>
              <w:top w:w="95" w:type="dxa"/>
              <w:left w:w="110" w:type="dxa"/>
              <w:bottom w:w="95" w:type="dxa"/>
              <w:right w:w="110" w:type="dxa"/>
            </w:tcMar>
            <w:vAlign w:val="center"/>
          </w:tcPr>
          <w:p w14:paraId="660DE091" w14:textId="77777777" w:rsidR="00E579F2" w:rsidRDefault="00FC5553">
            <w:pPr>
              <w:spacing w:after="0" w:line="252" w:lineRule="auto"/>
              <w:rPr>
                <w:rFonts w:hint="eastAsia"/>
              </w:rPr>
            </w:pPr>
            <w:r>
              <w:rPr>
                <w:sz w:val="17"/>
              </w:rPr>
              <w:t>Precisely scoped Operator invoked when the condition is satisfied.</w:t>
            </w:r>
          </w:p>
        </w:tc>
      </w:tr>
      <w:tr w:rsidR="00E579F2" w14:paraId="0DE1DC8B" w14:textId="77777777">
        <w:trPr>
          <w:cantSplit/>
          <w:jc w:val="center"/>
        </w:trPr>
        <w:tc>
          <w:tcPr>
            <w:tcW w:w="2304" w:type="dxa"/>
            <w:tcMar>
              <w:top w:w="95" w:type="dxa"/>
              <w:left w:w="110" w:type="dxa"/>
              <w:bottom w:w="95" w:type="dxa"/>
              <w:right w:w="110" w:type="dxa"/>
            </w:tcMar>
            <w:vAlign w:val="center"/>
          </w:tcPr>
          <w:p w14:paraId="1962ECD1" w14:textId="77777777" w:rsidR="00E579F2" w:rsidRDefault="00FC5553">
            <w:pPr>
              <w:spacing w:after="0" w:line="252" w:lineRule="auto"/>
              <w:rPr>
                <w:rFonts w:hint="eastAsia"/>
              </w:rPr>
            </w:pPr>
            <w:r>
              <w:rPr>
                <w:sz w:val="17"/>
              </w:rPr>
              <w:t>Propagation Policy</w:t>
            </w:r>
          </w:p>
        </w:tc>
        <w:tc>
          <w:tcPr>
            <w:tcW w:w="7416" w:type="dxa"/>
            <w:tcMar>
              <w:top w:w="95" w:type="dxa"/>
              <w:left w:w="110" w:type="dxa"/>
              <w:bottom w:w="95" w:type="dxa"/>
              <w:right w:w="110" w:type="dxa"/>
            </w:tcMar>
            <w:vAlign w:val="center"/>
          </w:tcPr>
          <w:p w14:paraId="0323C24E" w14:textId="77777777" w:rsidR="00E579F2" w:rsidRDefault="00FC5553">
            <w:pPr>
              <w:spacing w:after="0" w:line="252" w:lineRule="auto"/>
              <w:rPr>
                <w:rFonts w:hint="eastAsia"/>
              </w:rPr>
            </w:pPr>
            <w:r>
              <w:rPr>
                <w:sz w:val="17"/>
              </w:rPr>
              <w:t>Immediate, transactional, queued, debounced, manual confirmation, or simulation-only.</w:t>
            </w:r>
          </w:p>
        </w:tc>
      </w:tr>
    </w:tbl>
    <w:p w14:paraId="2CD66870" w14:textId="77777777" w:rsidR="00E579F2" w:rsidRDefault="00E579F2">
      <w:pPr>
        <w:spacing w:after="20"/>
        <w:rPr>
          <w:rFonts w:hint="eastAsia"/>
        </w:rPr>
      </w:pPr>
    </w:p>
    <w:p w14:paraId="3871540C" w14:textId="77777777" w:rsidR="00E579F2" w:rsidRDefault="00FC5553">
      <w:pPr>
        <w:pStyle w:val="Heading2"/>
      </w:pPr>
      <w:r>
        <w:t>7.1 Local source</w:t>
      </w:r>
    </w:p>
    <w:p w14:paraId="6EB23583" w14:textId="77777777" w:rsidR="00E579F2" w:rsidRDefault="00FC5553">
      <w:pPr>
        <w:spacing w:line="274" w:lineRule="auto"/>
        <w:rPr>
          <w:rFonts w:hint="eastAsia"/>
        </w:rPr>
      </w:pPr>
      <w:r>
        <w:rPr>
          <w:sz w:val="21"/>
        </w:rPr>
        <w:t>The source MAY be another bit range inside the same SK. For example, a local scalar field can cross a threshold stored in the suffix and cause an exclusive state flag in the prefix to change. This is the tightest form of self-contained dynamics.</w:t>
      </w:r>
    </w:p>
    <w:p w14:paraId="45BBC4AC" w14:textId="77777777" w:rsidR="00E579F2" w:rsidRDefault="00FC5553">
      <w:pPr>
        <w:pStyle w:val="Heading2"/>
      </w:pPr>
      <w:r>
        <w:t>7.2 Same-object, cross-Kernel source</w:t>
      </w:r>
    </w:p>
    <w:p w14:paraId="4F74CB7B" w14:textId="77777777" w:rsidR="00E579F2" w:rsidRDefault="00FC5553">
      <w:pPr>
        <w:spacing w:line="274" w:lineRule="auto"/>
        <w:rPr>
          <w:rFonts w:hint="eastAsia"/>
        </w:rPr>
      </w:pPr>
      <w:r>
        <w:rPr>
          <w:sz w:val="21"/>
        </w:rPr>
        <w:t>The source MAY be another SK attached to the same object. A food object may carry COOKING-256 and SAFETY-128; COOKING state changes can become semantic inputs to SAFETY Rules without merging the two Kernels.</w:t>
      </w:r>
    </w:p>
    <w:p w14:paraId="4EAF1516" w14:textId="77777777" w:rsidR="00E579F2" w:rsidRDefault="00FC5553">
      <w:pPr>
        <w:pStyle w:val="Heading2"/>
      </w:pPr>
      <w:r>
        <w:t>7.3 Cross-object source</w:t>
      </w:r>
    </w:p>
    <w:p w14:paraId="2DC8B9F2" w14:textId="77777777" w:rsidR="00E579F2" w:rsidRDefault="00FC5553">
      <w:pPr>
        <w:spacing w:line="274" w:lineRule="auto"/>
        <w:rPr>
          <w:rFonts w:hint="eastAsia"/>
        </w:rPr>
      </w:pPr>
      <w:r>
        <w:rPr>
          <w:sz w:val="21"/>
        </w:rPr>
        <w:t>The source MAY belong to another object. An Oven THERMAL-128 instance can parameterize many food objects simultaneously. A barbell load state can parameterize an athlete workout object. A furnace can parameterize a workpiece. A weather object can parameterize plants. The target Kernel stores its own thresholds; the source object owns the changing source state.</w:t>
      </w:r>
    </w:p>
    <w:p w14:paraId="0892414C" w14:textId="77777777" w:rsidR="00E579F2" w:rsidRDefault="00FC5553">
      <w:pPr>
        <w:pStyle w:val="Heading2"/>
      </w:pPr>
      <w:r>
        <w:t>7.4 Translated source</w:t>
      </w:r>
    </w:p>
    <w:p w14:paraId="6DDFC5EA" w14:textId="77777777" w:rsidR="00E579F2" w:rsidRDefault="00FC5553">
      <w:pPr>
        <w:spacing w:line="274" w:lineRule="auto"/>
        <w:rPr>
          <w:rFonts w:hint="eastAsia"/>
        </w:rPr>
      </w:pPr>
      <w:r>
        <w:rPr>
          <w:sz w:val="21"/>
        </w:rPr>
        <w:t>The source MAY require an explicit Kernel-to-Kernel translation before evaluation. The binding MUST name the translation version and whether the mapping is lossless, lossy, partial, or conditional. A target Rule MUST NOT silently interpret bits from an unknown Kernel layout.</w:t>
      </w:r>
    </w:p>
    <w:p w14:paraId="3CB8A2E3" w14:textId="77777777" w:rsidR="00E579F2" w:rsidRDefault="00FC5553">
      <w:pPr>
        <w:pStyle w:val="Heading1"/>
      </w:pPr>
      <w:bookmarkStart w:id="10" w:name="sec8"/>
      <w:r>
        <w:t>8. Operator Semantics</w:t>
      </w:r>
      <w:bookmarkEnd w:id="10"/>
    </w:p>
    <w:p w14:paraId="124DA221" w14:textId="77777777" w:rsidR="00E579F2" w:rsidRDefault="00FC5553">
      <w:pPr>
        <w:spacing w:line="274" w:lineRule="auto"/>
        <w:rPr>
          <w:rFonts w:hint="eastAsia"/>
        </w:rPr>
      </w:pPr>
      <w:r>
        <w:rPr>
          <w:sz w:val="21"/>
        </w:rPr>
        <w:t>Operators are the only components that SHOULD directly mutate an instantiated Kernel word. An Operator is intentionally small: it declares the target Kernel and version, exact readable and writable bit ranges, parameter inputs, preconditions, mutation semantics, postconditions, and any linked Rules. This keeps programming deterministic and auditable.</w:t>
      </w:r>
    </w:p>
    <w:p w14:paraId="4751804A" w14:textId="77777777" w:rsidR="00E579F2" w:rsidRDefault="00FC5553">
      <w:pPr>
        <w:pStyle w:val="Heading2"/>
      </w:pPr>
      <w:r>
        <w:t>8.1 Operator mutation classes</w:t>
      </w:r>
    </w:p>
    <w:tbl>
      <w:tblPr>
        <w:tblW w:w="0" w:type="auto"/>
        <w:jc w:val="center"/>
        <w:tblLayout w:type="fixed"/>
        <w:tblLook w:val="04A0" w:firstRow="1" w:lastRow="0" w:firstColumn="1" w:lastColumn="0" w:noHBand="0" w:noVBand="1"/>
      </w:tblPr>
      <w:tblGrid>
        <w:gridCol w:w="2448"/>
        <w:gridCol w:w="7272"/>
      </w:tblGrid>
      <w:tr w:rsidR="00E579F2" w14:paraId="2DB62328" w14:textId="77777777">
        <w:trPr>
          <w:tblHeader/>
          <w:jc w:val="center"/>
        </w:trPr>
        <w:tc>
          <w:tcPr>
            <w:tcW w:w="2448" w:type="dxa"/>
            <w:tcBorders>
              <w:top w:val="single" w:sz="4" w:space="0" w:color="C9D6DF"/>
              <w:left w:val="single" w:sz="4" w:space="0" w:color="C9D6DF"/>
              <w:bottom w:val="single" w:sz="4" w:space="0" w:color="C9D6DF"/>
              <w:right w:val="single" w:sz="4" w:space="0" w:color="C9D6DF"/>
            </w:tcBorders>
            <w:shd w:val="clear" w:color="auto" w:fill="17324D"/>
            <w:tcMar>
              <w:top w:w="105" w:type="dxa"/>
              <w:left w:w="110" w:type="dxa"/>
              <w:bottom w:w="105" w:type="dxa"/>
              <w:right w:w="110" w:type="dxa"/>
            </w:tcMar>
            <w:vAlign w:val="center"/>
          </w:tcPr>
          <w:p w14:paraId="1CB3687B" w14:textId="77777777" w:rsidR="00E579F2" w:rsidRDefault="00FC5553">
            <w:pPr>
              <w:spacing w:after="0"/>
              <w:rPr>
                <w:rFonts w:hint="eastAsia"/>
              </w:rPr>
            </w:pPr>
            <w:r>
              <w:rPr>
                <w:b/>
                <w:color w:val="FFFFFF"/>
                <w:sz w:val="17"/>
              </w:rPr>
              <w:t>Mutation class</w:t>
            </w:r>
          </w:p>
        </w:tc>
        <w:tc>
          <w:tcPr>
            <w:tcW w:w="7272" w:type="dxa"/>
            <w:tcBorders>
              <w:top w:val="single" w:sz="4" w:space="0" w:color="C9D6DF"/>
              <w:left w:val="single" w:sz="4" w:space="0" w:color="C9D6DF"/>
              <w:bottom w:val="single" w:sz="4" w:space="0" w:color="C9D6DF"/>
              <w:right w:val="single" w:sz="4" w:space="0" w:color="C9D6DF"/>
            </w:tcBorders>
            <w:shd w:val="clear" w:color="auto" w:fill="17324D"/>
            <w:tcMar>
              <w:top w:w="105" w:type="dxa"/>
              <w:left w:w="110" w:type="dxa"/>
              <w:bottom w:w="105" w:type="dxa"/>
              <w:right w:w="110" w:type="dxa"/>
            </w:tcMar>
            <w:vAlign w:val="center"/>
          </w:tcPr>
          <w:p w14:paraId="29BC091B" w14:textId="77777777" w:rsidR="00E579F2" w:rsidRDefault="00FC5553">
            <w:pPr>
              <w:spacing w:after="0"/>
              <w:rPr>
                <w:rFonts w:hint="eastAsia"/>
              </w:rPr>
            </w:pPr>
            <w:r>
              <w:rPr>
                <w:b/>
                <w:color w:val="FFFFFF"/>
                <w:sz w:val="17"/>
              </w:rPr>
              <w:t>Canonical behavior</w:t>
            </w:r>
          </w:p>
        </w:tc>
      </w:tr>
      <w:tr w:rsidR="00E579F2" w14:paraId="31106C91" w14:textId="77777777">
        <w:trPr>
          <w:cantSplit/>
          <w:jc w:val="center"/>
        </w:trPr>
        <w:tc>
          <w:tcPr>
            <w:tcW w:w="2448" w:type="dxa"/>
            <w:tcMar>
              <w:top w:w="95" w:type="dxa"/>
              <w:left w:w="110" w:type="dxa"/>
              <w:bottom w:w="95" w:type="dxa"/>
              <w:right w:w="110" w:type="dxa"/>
            </w:tcMar>
            <w:vAlign w:val="center"/>
          </w:tcPr>
          <w:p w14:paraId="3F6F80E9" w14:textId="77777777" w:rsidR="00E579F2" w:rsidRDefault="00FC5553">
            <w:pPr>
              <w:spacing w:after="0" w:line="252" w:lineRule="auto"/>
              <w:rPr>
                <w:rFonts w:hint="eastAsia"/>
              </w:rPr>
            </w:pPr>
            <w:r>
              <w:rPr>
                <w:sz w:val="17"/>
              </w:rPr>
              <w:t>SET BIT</w:t>
            </w:r>
          </w:p>
        </w:tc>
        <w:tc>
          <w:tcPr>
            <w:tcW w:w="7272" w:type="dxa"/>
            <w:tcMar>
              <w:top w:w="95" w:type="dxa"/>
              <w:left w:w="110" w:type="dxa"/>
              <w:bottom w:w="95" w:type="dxa"/>
              <w:right w:w="110" w:type="dxa"/>
            </w:tcMar>
            <w:vAlign w:val="center"/>
          </w:tcPr>
          <w:p w14:paraId="33B13A25" w14:textId="77777777" w:rsidR="00E579F2" w:rsidRDefault="00FC5553">
            <w:pPr>
              <w:spacing w:after="0" w:line="252" w:lineRule="auto"/>
              <w:rPr>
                <w:rFonts w:hint="eastAsia"/>
              </w:rPr>
            </w:pPr>
            <w:r>
              <w:rPr>
                <w:sz w:val="17"/>
              </w:rPr>
              <w:t>Force a declared bit to 1.</w:t>
            </w:r>
          </w:p>
        </w:tc>
      </w:tr>
      <w:tr w:rsidR="00E579F2" w14:paraId="01670304" w14:textId="77777777">
        <w:trPr>
          <w:cantSplit/>
          <w:jc w:val="center"/>
        </w:trPr>
        <w:tc>
          <w:tcPr>
            <w:tcW w:w="2448" w:type="dxa"/>
            <w:tcMar>
              <w:top w:w="95" w:type="dxa"/>
              <w:left w:w="110" w:type="dxa"/>
              <w:bottom w:w="95" w:type="dxa"/>
              <w:right w:w="110" w:type="dxa"/>
            </w:tcMar>
            <w:vAlign w:val="center"/>
          </w:tcPr>
          <w:p w14:paraId="5E21C952" w14:textId="77777777" w:rsidR="00E579F2" w:rsidRDefault="00FC5553">
            <w:pPr>
              <w:spacing w:after="0" w:line="252" w:lineRule="auto"/>
              <w:rPr>
                <w:rFonts w:hint="eastAsia"/>
              </w:rPr>
            </w:pPr>
            <w:r>
              <w:rPr>
                <w:sz w:val="17"/>
              </w:rPr>
              <w:t>CLEAR BIT</w:t>
            </w:r>
          </w:p>
        </w:tc>
        <w:tc>
          <w:tcPr>
            <w:tcW w:w="7272" w:type="dxa"/>
            <w:tcMar>
              <w:top w:w="95" w:type="dxa"/>
              <w:left w:w="110" w:type="dxa"/>
              <w:bottom w:w="95" w:type="dxa"/>
              <w:right w:w="110" w:type="dxa"/>
            </w:tcMar>
            <w:vAlign w:val="center"/>
          </w:tcPr>
          <w:p w14:paraId="5135360A" w14:textId="77777777" w:rsidR="00E579F2" w:rsidRDefault="00FC5553">
            <w:pPr>
              <w:spacing w:after="0" w:line="252" w:lineRule="auto"/>
              <w:rPr>
                <w:rFonts w:hint="eastAsia"/>
              </w:rPr>
            </w:pPr>
            <w:r>
              <w:rPr>
                <w:sz w:val="17"/>
              </w:rPr>
              <w:t>Force a declared bit to 0.</w:t>
            </w:r>
          </w:p>
        </w:tc>
      </w:tr>
      <w:tr w:rsidR="00E579F2" w14:paraId="6F29E3A7" w14:textId="77777777">
        <w:trPr>
          <w:cantSplit/>
          <w:jc w:val="center"/>
        </w:trPr>
        <w:tc>
          <w:tcPr>
            <w:tcW w:w="2448" w:type="dxa"/>
            <w:tcMar>
              <w:top w:w="95" w:type="dxa"/>
              <w:left w:w="110" w:type="dxa"/>
              <w:bottom w:w="95" w:type="dxa"/>
              <w:right w:w="110" w:type="dxa"/>
            </w:tcMar>
            <w:vAlign w:val="center"/>
          </w:tcPr>
          <w:p w14:paraId="67EB5AB6" w14:textId="77777777" w:rsidR="00E579F2" w:rsidRDefault="00FC5553">
            <w:pPr>
              <w:spacing w:after="0" w:line="252" w:lineRule="auto"/>
              <w:rPr>
                <w:rFonts w:hint="eastAsia"/>
              </w:rPr>
            </w:pPr>
            <w:r>
              <w:rPr>
                <w:sz w:val="17"/>
              </w:rPr>
              <w:t>EXCLUSIVE TRANSITION</w:t>
            </w:r>
          </w:p>
        </w:tc>
        <w:tc>
          <w:tcPr>
            <w:tcW w:w="7272" w:type="dxa"/>
            <w:tcMar>
              <w:top w:w="95" w:type="dxa"/>
              <w:left w:w="110" w:type="dxa"/>
              <w:bottom w:w="95" w:type="dxa"/>
              <w:right w:w="110" w:type="dxa"/>
            </w:tcMar>
            <w:vAlign w:val="center"/>
          </w:tcPr>
          <w:p w14:paraId="4B03E30A" w14:textId="77777777" w:rsidR="00E579F2" w:rsidRDefault="00FC5553">
            <w:pPr>
              <w:spacing w:after="0" w:line="252" w:lineRule="auto"/>
              <w:rPr>
                <w:rFonts w:hint="eastAsia"/>
              </w:rPr>
            </w:pPr>
            <w:r>
              <w:rPr>
                <w:sz w:val="17"/>
              </w:rPr>
              <w:t>Clear the active state in a group and set exactly one target state.</w:t>
            </w:r>
          </w:p>
        </w:tc>
      </w:tr>
      <w:tr w:rsidR="00E579F2" w14:paraId="78E809DE" w14:textId="77777777">
        <w:trPr>
          <w:cantSplit/>
          <w:jc w:val="center"/>
        </w:trPr>
        <w:tc>
          <w:tcPr>
            <w:tcW w:w="2448" w:type="dxa"/>
            <w:tcMar>
              <w:top w:w="95" w:type="dxa"/>
              <w:left w:w="110" w:type="dxa"/>
              <w:bottom w:w="95" w:type="dxa"/>
              <w:right w:w="110" w:type="dxa"/>
            </w:tcMar>
            <w:vAlign w:val="center"/>
          </w:tcPr>
          <w:p w14:paraId="350F6286" w14:textId="77777777" w:rsidR="00E579F2" w:rsidRDefault="00FC5553">
            <w:pPr>
              <w:spacing w:after="0" w:line="252" w:lineRule="auto"/>
              <w:rPr>
                <w:rFonts w:hint="eastAsia"/>
              </w:rPr>
            </w:pPr>
            <w:r>
              <w:rPr>
                <w:sz w:val="17"/>
              </w:rPr>
              <w:t>MASK ADD / REMOVE</w:t>
            </w:r>
          </w:p>
        </w:tc>
        <w:tc>
          <w:tcPr>
            <w:tcW w:w="7272" w:type="dxa"/>
            <w:tcMar>
              <w:top w:w="95" w:type="dxa"/>
              <w:left w:w="110" w:type="dxa"/>
              <w:bottom w:w="95" w:type="dxa"/>
              <w:right w:w="110" w:type="dxa"/>
            </w:tcMar>
            <w:vAlign w:val="center"/>
          </w:tcPr>
          <w:p w14:paraId="2A4374E4" w14:textId="77777777" w:rsidR="00E579F2" w:rsidRDefault="00FC5553">
            <w:pPr>
              <w:spacing w:after="0" w:line="252" w:lineRule="auto"/>
              <w:rPr>
                <w:rFonts w:hint="eastAsia"/>
              </w:rPr>
            </w:pPr>
            <w:r>
              <w:rPr>
                <w:sz w:val="17"/>
              </w:rPr>
              <w:t>Add or remove membership bits without touching unrelated bits.</w:t>
            </w:r>
          </w:p>
        </w:tc>
      </w:tr>
      <w:tr w:rsidR="00E579F2" w14:paraId="4FEABB8C" w14:textId="77777777">
        <w:trPr>
          <w:cantSplit/>
          <w:jc w:val="center"/>
        </w:trPr>
        <w:tc>
          <w:tcPr>
            <w:tcW w:w="2448" w:type="dxa"/>
            <w:tcMar>
              <w:top w:w="95" w:type="dxa"/>
              <w:left w:w="110" w:type="dxa"/>
              <w:bottom w:w="95" w:type="dxa"/>
              <w:right w:w="110" w:type="dxa"/>
            </w:tcMar>
            <w:vAlign w:val="center"/>
          </w:tcPr>
          <w:p w14:paraId="78CF8EF1" w14:textId="77777777" w:rsidR="00E579F2" w:rsidRDefault="00FC5553">
            <w:pPr>
              <w:spacing w:after="0" w:line="252" w:lineRule="auto"/>
              <w:rPr>
                <w:rFonts w:hint="eastAsia"/>
              </w:rPr>
            </w:pPr>
            <w:r>
              <w:rPr>
                <w:sz w:val="17"/>
              </w:rPr>
              <w:t>SCALAR REPLACE</w:t>
            </w:r>
          </w:p>
        </w:tc>
        <w:tc>
          <w:tcPr>
            <w:tcW w:w="7272" w:type="dxa"/>
            <w:tcMar>
              <w:top w:w="95" w:type="dxa"/>
              <w:left w:w="110" w:type="dxa"/>
              <w:bottom w:w="95" w:type="dxa"/>
              <w:right w:w="110" w:type="dxa"/>
            </w:tcMar>
            <w:vAlign w:val="center"/>
          </w:tcPr>
          <w:p w14:paraId="4DABB926" w14:textId="77777777" w:rsidR="00E579F2" w:rsidRDefault="00FC5553">
            <w:pPr>
              <w:spacing w:after="0" w:line="252" w:lineRule="auto"/>
              <w:rPr>
                <w:rFonts w:hint="eastAsia"/>
              </w:rPr>
            </w:pPr>
            <w:r>
              <w:rPr>
                <w:sz w:val="17"/>
              </w:rPr>
              <w:t>Decode, validate, and replace a declared scalar range.</w:t>
            </w:r>
          </w:p>
        </w:tc>
      </w:tr>
      <w:tr w:rsidR="00E579F2" w14:paraId="6FFD991B" w14:textId="77777777">
        <w:trPr>
          <w:cantSplit/>
          <w:jc w:val="center"/>
        </w:trPr>
        <w:tc>
          <w:tcPr>
            <w:tcW w:w="2448" w:type="dxa"/>
            <w:tcMar>
              <w:top w:w="95" w:type="dxa"/>
              <w:left w:w="110" w:type="dxa"/>
              <w:bottom w:w="95" w:type="dxa"/>
              <w:right w:w="110" w:type="dxa"/>
            </w:tcMar>
            <w:vAlign w:val="center"/>
          </w:tcPr>
          <w:p w14:paraId="7B29D467" w14:textId="77777777" w:rsidR="00E579F2" w:rsidRDefault="00FC5553">
            <w:pPr>
              <w:spacing w:after="0" w:line="252" w:lineRule="auto"/>
              <w:rPr>
                <w:rFonts w:hint="eastAsia"/>
              </w:rPr>
            </w:pPr>
            <w:r>
              <w:rPr>
                <w:sz w:val="17"/>
              </w:rPr>
              <w:t>SCALAR DELTA</w:t>
            </w:r>
          </w:p>
        </w:tc>
        <w:tc>
          <w:tcPr>
            <w:tcW w:w="7272" w:type="dxa"/>
            <w:tcMar>
              <w:top w:w="95" w:type="dxa"/>
              <w:left w:w="110" w:type="dxa"/>
              <w:bottom w:w="95" w:type="dxa"/>
              <w:right w:w="110" w:type="dxa"/>
            </w:tcMar>
            <w:vAlign w:val="center"/>
          </w:tcPr>
          <w:p w14:paraId="0EC67EDD" w14:textId="77777777" w:rsidR="00E579F2" w:rsidRDefault="00FC5553">
            <w:pPr>
              <w:spacing w:after="0" w:line="252" w:lineRule="auto"/>
              <w:rPr>
                <w:rFonts w:hint="eastAsia"/>
              </w:rPr>
            </w:pPr>
            <w:r>
              <w:rPr>
                <w:sz w:val="17"/>
              </w:rPr>
              <w:t>Decode, add or subtract a typed delta, validate, and re-encode.</w:t>
            </w:r>
          </w:p>
        </w:tc>
      </w:tr>
      <w:tr w:rsidR="00E579F2" w14:paraId="19C82E23" w14:textId="77777777">
        <w:trPr>
          <w:cantSplit/>
          <w:jc w:val="center"/>
        </w:trPr>
        <w:tc>
          <w:tcPr>
            <w:tcW w:w="2448" w:type="dxa"/>
            <w:tcMar>
              <w:top w:w="95" w:type="dxa"/>
              <w:left w:w="110" w:type="dxa"/>
              <w:bottom w:w="95" w:type="dxa"/>
              <w:right w:w="110" w:type="dxa"/>
            </w:tcMar>
            <w:vAlign w:val="center"/>
          </w:tcPr>
          <w:p w14:paraId="6EE7A32E" w14:textId="77777777" w:rsidR="00E579F2" w:rsidRDefault="00FC5553">
            <w:pPr>
              <w:spacing w:after="0" w:line="252" w:lineRule="auto"/>
              <w:rPr>
                <w:rFonts w:hint="eastAsia"/>
              </w:rPr>
            </w:pPr>
            <w:r>
              <w:rPr>
                <w:sz w:val="17"/>
              </w:rPr>
              <w:t>MULTI-GROUP ATOMIC</w:t>
            </w:r>
          </w:p>
        </w:tc>
        <w:tc>
          <w:tcPr>
            <w:tcW w:w="7272" w:type="dxa"/>
            <w:tcMar>
              <w:top w:w="95" w:type="dxa"/>
              <w:left w:w="110" w:type="dxa"/>
              <w:bottom w:w="95" w:type="dxa"/>
              <w:right w:w="110" w:type="dxa"/>
            </w:tcMar>
            <w:vAlign w:val="center"/>
          </w:tcPr>
          <w:p w14:paraId="476C1E03" w14:textId="77777777" w:rsidR="00E579F2" w:rsidRDefault="00FC5553">
            <w:pPr>
              <w:spacing w:after="0" w:line="252" w:lineRule="auto"/>
              <w:rPr>
                <w:rFonts w:hint="eastAsia"/>
              </w:rPr>
            </w:pPr>
            <w:r>
              <w:rPr>
                <w:sz w:val="17"/>
              </w:rPr>
              <w:t>Mutate several declared groups in one transaction when the domain requires an inseparable transition.</w:t>
            </w:r>
          </w:p>
        </w:tc>
      </w:tr>
      <w:tr w:rsidR="00E579F2" w14:paraId="0DF61D46" w14:textId="77777777">
        <w:trPr>
          <w:cantSplit/>
          <w:jc w:val="center"/>
        </w:trPr>
        <w:tc>
          <w:tcPr>
            <w:tcW w:w="2448" w:type="dxa"/>
            <w:tcMar>
              <w:top w:w="95" w:type="dxa"/>
              <w:left w:w="110" w:type="dxa"/>
              <w:bottom w:w="95" w:type="dxa"/>
              <w:right w:w="110" w:type="dxa"/>
            </w:tcMar>
            <w:vAlign w:val="center"/>
          </w:tcPr>
          <w:p w14:paraId="2F9EAE69" w14:textId="77777777" w:rsidR="00E579F2" w:rsidRDefault="00FC5553">
            <w:pPr>
              <w:spacing w:after="0" w:line="252" w:lineRule="auto"/>
              <w:rPr>
                <w:rFonts w:hint="eastAsia"/>
              </w:rPr>
            </w:pPr>
            <w:r>
              <w:rPr>
                <w:sz w:val="17"/>
              </w:rPr>
              <w:t>COPY / CLONE</w:t>
            </w:r>
          </w:p>
        </w:tc>
        <w:tc>
          <w:tcPr>
            <w:tcW w:w="7272" w:type="dxa"/>
            <w:tcMar>
              <w:top w:w="95" w:type="dxa"/>
              <w:left w:w="110" w:type="dxa"/>
              <w:bottom w:w="95" w:type="dxa"/>
              <w:right w:w="110" w:type="dxa"/>
            </w:tcMar>
            <w:vAlign w:val="center"/>
          </w:tcPr>
          <w:p w14:paraId="7595C6BC" w14:textId="77777777" w:rsidR="00E579F2" w:rsidRDefault="00FC5553">
            <w:pPr>
              <w:spacing w:after="0" w:line="252" w:lineRule="auto"/>
              <w:rPr>
                <w:rFonts w:hint="eastAsia"/>
              </w:rPr>
            </w:pPr>
            <w:r>
              <w:rPr>
                <w:sz w:val="17"/>
              </w:rPr>
              <w:t>Duplicate a valid word and lineage reference before applying a delta.</w:t>
            </w:r>
          </w:p>
        </w:tc>
      </w:tr>
    </w:tbl>
    <w:p w14:paraId="35CDCD63" w14:textId="77777777" w:rsidR="00E579F2" w:rsidRDefault="00E579F2">
      <w:pPr>
        <w:spacing w:after="20"/>
        <w:rPr>
          <w:rFonts w:hint="eastAsia"/>
        </w:rPr>
      </w:pPr>
    </w:p>
    <w:p w14:paraId="334D2954" w14:textId="77777777" w:rsidR="00E579F2" w:rsidRDefault="00FC5553">
      <w:pPr>
        <w:pStyle w:val="Heading2"/>
      </w:pPr>
      <w:r>
        <w:t>8.2 Bitwise form</w:t>
      </w:r>
    </w:p>
    <w:p w14:paraId="3237579B" w14:textId="77777777" w:rsidR="00E579F2" w:rsidRDefault="00FC5553">
      <w:pPr>
        <w:spacing w:line="274" w:lineRule="auto"/>
        <w:rPr>
          <w:rFonts w:hint="eastAsia"/>
        </w:rPr>
      </w:pPr>
      <w:r>
        <w:rPr>
          <w:sz w:val="21"/>
        </w:rPr>
        <w:t>For mask-based transitions, the canonical transformation can be represented as a clear mask followed by a set mask. Unaddressed bits remain unchanged.</w:t>
      </w:r>
    </w:p>
    <w:p w14:paraId="102891DB" w14:textId="77777777" w:rsidR="00E579F2" w:rsidRDefault="00FC5553">
      <w:pPr>
        <w:pStyle w:val="CodeBlock"/>
        <w:pBdr>
          <w:left w:val="single" w:sz="18" w:space="8" w:color="2A7F8E"/>
        </w:pBdr>
        <w:shd w:val="clear" w:color="auto" w:fill="F4F7F9"/>
        <w:spacing w:before="40" w:after="160" w:line="240" w:lineRule="auto"/>
        <w:ind w:left="259" w:right="259"/>
        <w:rPr>
          <w:rFonts w:hint="eastAsia"/>
        </w:rPr>
      </w:pPr>
      <w:r>
        <w:t>new_word = (current_word AND NOT clear_mask) OR set_mask</w:t>
      </w:r>
    </w:p>
    <w:p w14:paraId="7F70290A" w14:textId="77777777" w:rsidR="00E579F2" w:rsidRDefault="00FC5553">
      <w:pPr>
        <w:spacing w:line="274" w:lineRule="auto"/>
        <w:rPr>
          <w:rFonts w:hint="eastAsia"/>
        </w:rPr>
      </w:pPr>
      <w:r>
        <w:rPr>
          <w:sz w:val="21"/>
        </w:rPr>
        <w:t>Scalar fields use typed decode-transform-encode logic rather than treating the field as independent booleans. The Operator MUST validate bounds, basis, sign, and reserved values before commit.</w:t>
      </w:r>
    </w:p>
    <w:p w14:paraId="0CE36477" w14:textId="77777777" w:rsidR="00E579F2" w:rsidRDefault="00FC5553">
      <w:pPr>
        <w:pStyle w:val="Heading2"/>
      </w:pPr>
      <w:r>
        <w:t>8.3 Scoped determinism</w:t>
      </w:r>
    </w:p>
    <w:p w14:paraId="0A91D810" w14:textId="77777777" w:rsidR="00E579F2" w:rsidRDefault="00FC5553">
      <w:pPr>
        <w:spacing w:line="274" w:lineRule="auto"/>
        <w:rPr>
          <w:rFonts w:hint="eastAsia"/>
        </w:rPr>
      </w:pPr>
      <w:r>
        <w:rPr>
          <w:sz w:val="21"/>
        </w:rPr>
        <w:t>An Operator MUST NOT write outside its declared mutation boundary. If a transition requires downstream changes in another Kernel, those changes SHOULD occur through an explicit Bitlink, translation, or separate Operator so the dependency remains inspectable.</w:t>
      </w:r>
    </w:p>
    <w:p w14:paraId="181AA572" w14:textId="77777777" w:rsidR="00E579F2" w:rsidRDefault="00FC5553">
      <w:pPr>
        <w:pStyle w:val="Heading2"/>
      </w:pPr>
      <w:r>
        <w:t>8.4 Operator and Rule separation</w:t>
      </w:r>
    </w:p>
    <w:p w14:paraId="5149D2C4" w14:textId="77777777" w:rsidR="00E579F2" w:rsidRDefault="00FC5553">
      <w:pPr>
        <w:spacing w:line="274" w:lineRule="auto"/>
        <w:rPr>
          <w:rFonts w:hint="eastAsia"/>
        </w:rPr>
      </w:pPr>
      <w:r>
        <w:rPr>
          <w:sz w:val="21"/>
        </w:rPr>
        <w:t>The Operator defines how a state is changed. The Rule defines whether that change is currently allowed. Separating these responsibilities allows the same Operator to operate under professional, simulation, educational, or fantasy Rulesets without rewriting the mutation code.</w:t>
      </w:r>
    </w:p>
    <w:p w14:paraId="18278691" w14:textId="77777777" w:rsidR="00E579F2" w:rsidRDefault="00FC5553">
      <w:pPr>
        <w:pStyle w:val="Heading1"/>
      </w:pPr>
      <w:bookmarkStart w:id="11" w:name="sec9"/>
      <w:r>
        <w:t>9. Rules and Threshold Evaluation</w:t>
      </w:r>
      <w:bookmarkEnd w:id="11"/>
    </w:p>
    <w:p w14:paraId="3F622897" w14:textId="77777777" w:rsidR="00E579F2" w:rsidRDefault="00FC5553">
      <w:pPr>
        <w:spacing w:line="274" w:lineRule="auto"/>
        <w:rPr>
          <w:rFonts w:hint="eastAsia"/>
        </w:rPr>
      </w:pPr>
      <w:r>
        <w:rPr>
          <w:sz w:val="21"/>
        </w:rPr>
        <w:t>Rules interpret source values and ModelKey parameters in context. A threshold crossing is a candidate transition, not automatically a committed transition. Rules may include source direction, minimum duration, current target state, object classification, other Kernel states, provenance, world Ruleset, safety constraints, and transaction conditions.</w:t>
      </w:r>
    </w:p>
    <w:p w14:paraId="33BC005F" w14:textId="77777777" w:rsidR="00E579F2" w:rsidRDefault="00FC5553">
      <w:pPr>
        <w:pStyle w:val="Heading2"/>
      </w:pPr>
      <w:r>
        <w:t>9.1 Threshold predicate</w:t>
      </w:r>
    </w:p>
    <w:p w14:paraId="4E671C58" w14:textId="77777777" w:rsidR="00E579F2" w:rsidRDefault="00FC5553">
      <w:pPr>
        <w:pStyle w:val="CodeBlock"/>
        <w:pBdr>
          <w:left w:val="single" w:sz="18" w:space="8" w:color="2A7F8E"/>
        </w:pBdr>
        <w:shd w:val="clear" w:color="auto" w:fill="F4F7F9"/>
        <w:spacing w:before="40" w:after="160" w:line="240" w:lineRule="auto"/>
        <w:ind w:left="259" w:right="259"/>
        <w:rPr>
          <w:rFonts w:hint="eastAsia"/>
        </w:rPr>
      </w:pPr>
      <w:r>
        <w:t>candidate = comparator(source_value, modelkey_parameter)</w:t>
      </w:r>
      <w:r>
        <w:br/>
      </w:r>
      <w:r>
        <w:t>valid = candidate AND rule_context_passes</w:t>
      </w:r>
      <w:r>
        <w:br/>
      </w:r>
      <w:r>
        <w:t>if valid:</w:t>
      </w:r>
      <w:r>
        <w:br/>
      </w:r>
      <w:r>
        <w:t xml:space="preserve">    invoke(target_operator)</w:t>
      </w:r>
    </w:p>
    <w:p w14:paraId="64B74205" w14:textId="77777777" w:rsidR="00E579F2" w:rsidRDefault="00FC5553">
      <w:pPr>
        <w:pStyle w:val="Heading2"/>
      </w:pPr>
      <w:r>
        <w:t>9.2 Directionality</w:t>
      </w:r>
    </w:p>
    <w:p w14:paraId="656CA2CA" w14:textId="77777777" w:rsidR="00E579F2" w:rsidRDefault="00FC5553">
      <w:pPr>
        <w:spacing w:line="274" w:lineRule="auto"/>
        <w:rPr>
          <w:rFonts w:hint="eastAsia"/>
        </w:rPr>
      </w:pPr>
      <w:r>
        <w:rPr>
          <w:sz w:val="21"/>
        </w:rPr>
        <w:t>The same numeric threshold can have different semantics depending on crossing direction. A Rule SHOULD distinguish ENTER, EXIT, RISING_CROSS, FALLING_CROSS, WITHIN_RANGE, and OUTSIDE_RANGE where the distinction matters.</w:t>
      </w:r>
    </w:p>
    <w:p w14:paraId="13AE0B95" w14:textId="77777777" w:rsidR="00E579F2" w:rsidRDefault="00FC5553">
      <w:pPr>
        <w:pStyle w:val="Heading2"/>
      </w:pPr>
      <w:r>
        <w:t>9.3 Multi-parameter Rules</w:t>
      </w:r>
    </w:p>
    <w:p w14:paraId="16FF11B2" w14:textId="77777777" w:rsidR="00E579F2" w:rsidRDefault="00FC5553">
      <w:pPr>
        <w:spacing w:line="274" w:lineRule="auto"/>
        <w:rPr>
          <w:rFonts w:hint="eastAsia"/>
        </w:rPr>
      </w:pPr>
      <w:r>
        <w:rPr>
          <w:sz w:val="21"/>
        </w:rPr>
        <w:t>A transition MAY depend on more than one parameter source. For example, a state change may require temperature above one ModelKey threshold and elapsed time above another. Complex conditions SHOULD be expressed as Rules over stable semantic addresses rather than hidden inside bespoke runtime code.</w:t>
      </w:r>
    </w:p>
    <w:p w14:paraId="5256A6D7" w14:textId="77777777" w:rsidR="00E579F2" w:rsidRDefault="00FC5553">
      <w:pPr>
        <w:pStyle w:val="Heading2"/>
      </w:pPr>
      <w:r>
        <w:t>9.4 World-specific Rulesets</w:t>
      </w:r>
    </w:p>
    <w:p w14:paraId="614B6364" w14:textId="77777777" w:rsidR="00E579F2" w:rsidRDefault="00FC5553">
      <w:pPr>
        <w:spacing w:line="274" w:lineRule="auto"/>
        <w:rPr>
          <w:rFonts w:hint="eastAsia"/>
        </w:rPr>
      </w:pPr>
      <w:r>
        <w:rPr>
          <w:sz w:val="21"/>
        </w:rPr>
        <w:t>The same Kernel and ModelKey can operate under different Rulesets. A realistic Ruleset may require professionally validated transition logic; a fantasy Ruleset may permit additional transitions or companion Kernel effects. The active Ruleset MUST be explicit in provenance so that a simulated or fictional result is not mistaken for canonical real-world behavior.</w:t>
      </w:r>
    </w:p>
    <w:p w14:paraId="2430D2A4" w14:textId="77777777" w:rsidR="00E579F2" w:rsidRDefault="00FC5553">
      <w:pPr>
        <w:pStyle w:val="Heading1"/>
      </w:pPr>
      <w:bookmarkStart w:id="12" w:name="sec10"/>
      <w:r>
        <w:t>10. State Transition Algorithm</w:t>
      </w:r>
      <w:bookmarkEnd w:id="12"/>
    </w:p>
    <w:p w14:paraId="000D92DB" w14:textId="77777777" w:rsidR="00E579F2" w:rsidRDefault="00FC5553">
      <w:pPr>
        <w:spacing w:line="274" w:lineRule="auto"/>
        <w:rPr>
          <w:rFonts w:hint="eastAsia"/>
        </w:rPr>
      </w:pPr>
      <w:r>
        <w:rPr>
          <w:sz w:val="21"/>
        </w:rPr>
        <w:t>The following algorithm is normative at the conceptual level. Implementations MAY optimize storage and event routing as long as the observable semantics remain equivalent.</w:t>
      </w:r>
    </w:p>
    <w:p w14:paraId="23C794A8" w14:textId="77777777" w:rsidR="00E579F2" w:rsidRDefault="00FC5553">
      <w:pPr>
        <w:pStyle w:val="ListNumber"/>
        <w:spacing w:after="60"/>
        <w:rPr>
          <w:rFonts w:hint="eastAsia"/>
        </w:rPr>
      </w:pPr>
      <w:r>
        <w:rPr>
          <w:sz w:val="21"/>
        </w:rPr>
        <w:t>Resolve the source event or source state address.</w:t>
      </w:r>
    </w:p>
    <w:p w14:paraId="3A9EB43E" w14:textId="77777777" w:rsidR="00E579F2" w:rsidRDefault="00FC5553">
      <w:pPr>
        <w:pStyle w:val="ListNumber"/>
        <w:spacing w:after="60"/>
        <w:rPr>
          <w:rFonts w:hint="eastAsia"/>
        </w:rPr>
      </w:pPr>
      <w:r>
        <w:rPr>
          <w:sz w:val="21"/>
        </w:rPr>
        <w:t>Resolve all Parameter Bindings subscribed to that semantic address.</w:t>
      </w:r>
    </w:p>
    <w:p w14:paraId="75759360" w14:textId="77777777" w:rsidR="00E579F2" w:rsidRDefault="00FC5553">
      <w:pPr>
        <w:pStyle w:val="ListNumber"/>
        <w:spacing w:after="60"/>
        <w:rPr>
          <w:rFonts w:hint="eastAsia"/>
        </w:rPr>
      </w:pPr>
      <w:r>
        <w:rPr>
          <w:sz w:val="21"/>
        </w:rPr>
        <w:t>For each binding, resolve the target object, target Kernel version, and local ModelKey parameter slot.</w:t>
      </w:r>
    </w:p>
    <w:p w14:paraId="3AA3B672" w14:textId="77777777" w:rsidR="00E579F2" w:rsidRDefault="00FC5553">
      <w:pPr>
        <w:pStyle w:val="ListNumber"/>
        <w:spacing w:after="60"/>
        <w:rPr>
          <w:rFonts w:hint="eastAsia"/>
        </w:rPr>
      </w:pPr>
      <w:r>
        <w:rPr>
          <w:sz w:val="21"/>
        </w:rPr>
        <w:t>Decode the source value according to the source Kernel contract.</w:t>
      </w:r>
    </w:p>
    <w:p w14:paraId="359B14E6" w14:textId="77777777" w:rsidR="00E579F2" w:rsidRDefault="00FC5553">
      <w:pPr>
        <w:pStyle w:val="ListNumber"/>
        <w:spacing w:after="60"/>
        <w:rPr>
          <w:rFonts w:hint="eastAsia"/>
        </w:rPr>
      </w:pPr>
      <w:r>
        <w:rPr>
          <w:sz w:val="21"/>
        </w:rPr>
        <w:t>Decode the local threshold, bound, gain, or other Bitstate Parameter according to the target Model and Kernel contract.</w:t>
      </w:r>
    </w:p>
    <w:p w14:paraId="197D7B19" w14:textId="77777777" w:rsidR="00E579F2" w:rsidRDefault="00FC5553">
      <w:pPr>
        <w:pStyle w:val="ListNumber"/>
        <w:spacing w:after="60"/>
        <w:rPr>
          <w:rFonts w:hint="eastAsia"/>
        </w:rPr>
      </w:pPr>
      <w:r>
        <w:rPr>
          <w:sz w:val="21"/>
        </w:rPr>
        <w:t>Evaluate the comparator and applicable Rules using the current target state and context.</w:t>
      </w:r>
    </w:p>
    <w:p w14:paraId="7DE822C1" w14:textId="77777777" w:rsidR="00E579F2" w:rsidRDefault="00FC5553">
      <w:pPr>
        <w:pStyle w:val="ListNumber"/>
        <w:spacing w:after="60"/>
        <w:rPr>
          <w:rFonts w:hint="eastAsia"/>
        </w:rPr>
      </w:pPr>
      <w:r>
        <w:rPr>
          <w:sz w:val="21"/>
        </w:rPr>
        <w:t>If the Rule fails, record or ignore the candidate according to policy and perform no target mutation.</w:t>
      </w:r>
    </w:p>
    <w:p w14:paraId="4D8A3A8D" w14:textId="77777777" w:rsidR="00E579F2" w:rsidRDefault="00FC5553">
      <w:pPr>
        <w:pStyle w:val="ListNumber"/>
        <w:spacing w:after="60"/>
        <w:rPr>
          <w:rFonts w:hint="eastAsia"/>
        </w:rPr>
      </w:pPr>
      <w:r>
        <w:rPr>
          <w:sz w:val="21"/>
        </w:rPr>
        <w:t>If the Rule passes, invoke the target Operator with its declared parameters.</w:t>
      </w:r>
    </w:p>
    <w:p w14:paraId="4AF51767" w14:textId="77777777" w:rsidR="00E579F2" w:rsidRDefault="00FC5553">
      <w:pPr>
        <w:pStyle w:val="ListNumber"/>
        <w:spacing w:after="60"/>
        <w:rPr>
          <w:rFonts w:hint="eastAsia"/>
        </w:rPr>
      </w:pPr>
      <w:r>
        <w:rPr>
          <w:sz w:val="21"/>
        </w:rPr>
        <w:t>Validate the resulting word against Kernel invariants and Operator postconditions.</w:t>
      </w:r>
    </w:p>
    <w:p w14:paraId="378F9EA3" w14:textId="77777777" w:rsidR="00E579F2" w:rsidRDefault="00FC5553">
      <w:pPr>
        <w:pStyle w:val="ListNumber"/>
        <w:spacing w:after="60"/>
        <w:rPr>
          <w:rFonts w:hint="eastAsia"/>
        </w:rPr>
      </w:pPr>
      <w:r>
        <w:rPr>
          <w:sz w:val="21"/>
        </w:rPr>
        <w:t>Commit atomically, compute a typed semantic delta, and emit a Transition Event.</w:t>
      </w:r>
    </w:p>
    <w:p w14:paraId="1BC5B35A" w14:textId="77777777" w:rsidR="00E579F2" w:rsidRDefault="00FC5553">
      <w:pPr>
        <w:pStyle w:val="ListNumber"/>
        <w:spacing w:after="60"/>
        <w:rPr>
          <w:rFonts w:hint="eastAsia"/>
        </w:rPr>
      </w:pPr>
      <w:r>
        <w:rPr>
          <w:sz w:val="21"/>
        </w:rPr>
        <w:t>Resolve downstream Bitlinks, translations, multimodal triggers, and additional Parameter Bindings.</w:t>
      </w:r>
    </w:p>
    <w:p w14:paraId="0A7E38E6" w14:textId="77777777" w:rsidR="00E579F2" w:rsidRDefault="00FC5553">
      <w:pPr>
        <w:pStyle w:val="ListNumber"/>
        <w:spacing w:after="60"/>
        <w:rPr>
          <w:rFonts w:hint="eastAsia"/>
        </w:rPr>
      </w:pPr>
      <w:r>
        <w:rPr>
          <w:sz w:val="21"/>
        </w:rPr>
        <w:t>Apply cycle guards, propagation limits, and transaction ordering before continuing the chain.</w:t>
      </w:r>
    </w:p>
    <w:p w14:paraId="275981AF" w14:textId="77777777" w:rsidR="00E579F2" w:rsidRDefault="00FC5553">
      <w:pPr>
        <w:pStyle w:val="FigureCaption"/>
        <w:keepLines/>
        <w:spacing w:before="80" w:after="60"/>
        <w:rPr>
          <w:rFonts w:hint="eastAsia"/>
        </w:rPr>
      </w:pPr>
      <w:r>
        <w:t>Figure 2. Generic self-parameterized transition loop</w:t>
      </w:r>
    </w:p>
    <w:p w14:paraId="2FD0DDE8" w14:textId="77777777" w:rsidR="00E579F2" w:rsidRDefault="00FC5553">
      <w:pPr>
        <w:pStyle w:val="CodeBlock"/>
        <w:pBdr>
          <w:left w:val="single" w:sz="18" w:space="8" w:color="2A7F8E"/>
        </w:pBdr>
        <w:shd w:val="clear" w:color="auto" w:fill="F4F7F9"/>
        <w:spacing w:before="40" w:after="160" w:line="240" w:lineRule="auto"/>
        <w:ind w:left="259" w:right="259"/>
        <w:rPr>
          <w:rFonts w:hint="eastAsia"/>
        </w:rPr>
      </w:pPr>
      <w:r>
        <w:t>SOURCE SK DELTA</w:t>
      </w:r>
      <w:r>
        <w:br/>
      </w:r>
      <w:r>
        <w:t xml:space="preserve">      |</w:t>
      </w:r>
      <w:r>
        <w:br/>
      </w:r>
      <w:r>
        <w:t xml:space="preserve">      v</w:t>
      </w:r>
      <w:r>
        <w:br/>
      </w:r>
      <w:r>
        <w:t>Parameter Binding</w:t>
      </w:r>
      <w:r>
        <w:br/>
      </w:r>
      <w:r>
        <w:t xml:space="preserve">      |</w:t>
      </w:r>
      <w:r>
        <w:br/>
      </w:r>
      <w:r>
        <w:t xml:space="preserve">      +--&gt; decode target ModelKey threshold</w:t>
      </w:r>
      <w:r>
        <w:br/>
      </w:r>
      <w:r>
        <w:t xml:space="preserve">      |</w:t>
      </w:r>
      <w:r>
        <w:br/>
      </w:r>
      <w:r>
        <w:t xml:space="preserve">      v</w:t>
      </w:r>
      <w:r>
        <w:br/>
      </w:r>
      <w:r>
        <w:t>Rule / comparator</w:t>
      </w:r>
      <w:r>
        <w:br/>
      </w:r>
      <w:r>
        <w:t xml:space="preserve">      | PASS</w:t>
      </w:r>
      <w:r>
        <w:br/>
      </w:r>
      <w:r>
        <w:t xml:space="preserve">      v</w:t>
      </w:r>
      <w:r>
        <w:br/>
      </w:r>
      <w:r>
        <w:t>Scoped Operator</w:t>
      </w:r>
      <w:r>
        <w:br/>
      </w:r>
      <w:r>
        <w:t xml:space="preserve">      |</w:t>
      </w:r>
      <w:r>
        <w:br/>
      </w:r>
      <w:r>
        <w:t xml:space="preserve">      v</w:t>
      </w:r>
      <w:r>
        <w:br/>
      </w:r>
      <w:r>
        <w:t>TARGET SK BIT MUTATION</w:t>
      </w:r>
      <w:r>
        <w:br/>
      </w:r>
      <w:r>
        <w:t xml:space="preserve">      |</w:t>
      </w:r>
      <w:r>
        <w:br/>
      </w:r>
      <w:r>
        <w:t xml:space="preserve">      v</w:t>
      </w:r>
      <w:r>
        <w:br/>
      </w:r>
      <w:r>
        <w:t>Typed Semantic Delta</w:t>
      </w:r>
      <w:r>
        <w:br/>
      </w:r>
      <w:r>
        <w:t xml:space="preserve">      |</w:t>
      </w:r>
      <w:r>
        <w:br/>
      </w:r>
      <w:r>
        <w:t xml:space="preserve">      +--&gt; next Parameter Binding / Bitlink / modality</w:t>
      </w:r>
    </w:p>
    <w:p w14:paraId="7ADDE41F" w14:textId="77777777" w:rsidR="00E579F2" w:rsidRDefault="00FC5553">
      <w:pPr>
        <w:pStyle w:val="Heading2"/>
      </w:pPr>
      <w:r>
        <w:t>10.1 Typed deltas</w:t>
      </w:r>
    </w:p>
    <w:p w14:paraId="2D85671C" w14:textId="77777777" w:rsidR="00E579F2" w:rsidRDefault="00FC5553">
      <w:pPr>
        <w:spacing w:line="274" w:lineRule="auto"/>
        <w:rPr>
          <w:rFonts w:hint="eastAsia"/>
        </w:rPr>
      </w:pPr>
      <w:r>
        <w:rPr>
          <w:sz w:val="21"/>
        </w:rPr>
        <w:t>For boolean state bits, changed positions can be found with XOR. Entered bits are changed bits that are 1 in the new word; exited bits are changed bits that were 1 in the prior word. Scalar ranges SHOULD emit decoded before, after, and delta values rather than only bit-level XOR noise.</w:t>
      </w:r>
    </w:p>
    <w:p w14:paraId="71D15B96" w14:textId="77777777" w:rsidR="00E579F2" w:rsidRDefault="00FC5553">
      <w:pPr>
        <w:pStyle w:val="CodeBlock"/>
        <w:pBdr>
          <w:left w:val="single" w:sz="18" w:space="8" w:color="2A7F8E"/>
        </w:pBdr>
        <w:shd w:val="clear" w:color="auto" w:fill="F4F7F9"/>
        <w:spacing w:before="40" w:after="160" w:line="240" w:lineRule="auto"/>
        <w:ind w:left="259" w:right="259"/>
        <w:rPr>
          <w:rFonts w:hint="eastAsia"/>
        </w:rPr>
      </w:pPr>
      <w:r>
        <w:t>changed_bits = before XOR after</w:t>
      </w:r>
      <w:r>
        <w:br/>
      </w:r>
      <w:r>
        <w:t>entered_bits = changed_bits AND after</w:t>
      </w:r>
      <w:r>
        <w:br/>
      </w:r>
      <w:r>
        <w:t>exited_bits  = changed_bits AND before</w:t>
      </w:r>
    </w:p>
    <w:p w14:paraId="07B36F19" w14:textId="77777777" w:rsidR="00E579F2" w:rsidRDefault="00FC5553">
      <w:pPr>
        <w:pStyle w:val="Heading1"/>
      </w:pPr>
      <w:bookmarkStart w:id="13" w:name="sec11"/>
      <w:r>
        <w:t>11. Multi-Kernel Objects</w:t>
      </w:r>
      <w:bookmarkEnd w:id="13"/>
    </w:p>
    <w:p w14:paraId="09B9D140" w14:textId="77777777" w:rsidR="00E579F2" w:rsidRDefault="00FC5553">
      <w:pPr>
        <w:spacing w:line="274" w:lineRule="auto"/>
        <w:rPr>
          <w:rFonts w:hint="eastAsia"/>
        </w:rPr>
      </w:pPr>
      <w:r>
        <w:rPr>
          <w:sz w:val="21"/>
        </w:rPr>
        <w:t>A single object MAY carry many SKs simultaneously. The Kernels remain independently versioned and independently mutable, but share the same identity. This produces semantic dimensionality without requiring one universal object table.</w:t>
      </w:r>
    </w:p>
    <w:p w14:paraId="389D3C72" w14:textId="77777777" w:rsidR="00E579F2" w:rsidRDefault="00FC5553">
      <w:pPr>
        <w:pStyle w:val="CodeBlock"/>
        <w:pBdr>
          <w:left w:val="single" w:sz="18" w:space="8" w:color="2A7F8E"/>
        </w:pBdr>
        <w:shd w:val="clear" w:color="auto" w:fill="F4F7F9"/>
        <w:spacing w:before="40" w:after="160" w:line="240" w:lineRule="auto"/>
        <w:ind w:left="259" w:right="259"/>
        <w:rPr>
          <w:rFonts w:hint="eastAsia"/>
        </w:rPr>
      </w:pPr>
      <w:r>
        <w:t>STEAK NodeKey</w:t>
      </w:r>
      <w:r>
        <w:br/>
      </w:r>
      <w:r>
        <w:t>|</w:t>
      </w:r>
      <w:r>
        <w:br/>
      </w:r>
      <w:r>
        <w:t>+-- FOOD-128       -&gt; composition / flavor / classification</w:t>
      </w:r>
      <w:r>
        <w:br/>
      </w:r>
      <w:r>
        <w:t>+-- COOKING-256    -&gt; preparation state + object-specific transition parameters</w:t>
      </w:r>
      <w:r>
        <w:br/>
      </w:r>
      <w:r>
        <w:t>+-- SAFETY-128     -&gt; risk and handling state</w:t>
      </w:r>
      <w:r>
        <w:br/>
      </w:r>
      <w:r>
        <w:t>+-- ECONOMICS-128  -&gt; price / scarcity state</w:t>
      </w:r>
      <w:r>
        <w:br/>
      </w:r>
      <w:r>
        <w:t>+-- PROVENANCE     -&gt; origin / lineage</w:t>
      </w:r>
      <w:r>
        <w:br/>
      </w:r>
      <w:r>
        <w:t>`-- FANTASY-128    -&gt; optional fictional state</w:t>
      </w:r>
    </w:p>
    <w:p w14:paraId="0324C419" w14:textId="77777777" w:rsidR="00E579F2" w:rsidRDefault="00FC5553">
      <w:pPr>
        <w:pStyle w:val="Heading2"/>
      </w:pPr>
      <w:r>
        <w:t>11.1 Kernel independence</w:t>
      </w:r>
    </w:p>
    <w:p w14:paraId="3483AF07" w14:textId="77777777" w:rsidR="00E579F2" w:rsidRDefault="00FC5553">
      <w:pPr>
        <w:spacing w:line="274" w:lineRule="auto"/>
        <w:rPr>
          <w:rFonts w:hint="eastAsia"/>
        </w:rPr>
      </w:pPr>
      <w:r>
        <w:rPr>
          <w:sz w:val="21"/>
        </w:rPr>
        <w:t>A Kernel SHOULD own only the semantic dimensions appropriate to its domain contract. Temperature, for example, does not need to contain every consequence of temperature. Other Kernels subscribe to the temperature state and independently evaluate their own thresholds and Rules.</w:t>
      </w:r>
    </w:p>
    <w:p w14:paraId="3ADE5F03" w14:textId="77777777" w:rsidR="00E579F2" w:rsidRDefault="00FC5553">
      <w:pPr>
        <w:pStyle w:val="Heading2"/>
      </w:pPr>
      <w:r>
        <w:t>11.2 Same source, multiple reactions</w:t>
      </w:r>
    </w:p>
    <w:p w14:paraId="7FEFBACC" w14:textId="77777777" w:rsidR="00E579F2" w:rsidRDefault="00FC5553">
      <w:pPr>
        <w:pStyle w:val="CodeBlock"/>
        <w:pBdr>
          <w:left w:val="single" w:sz="18" w:space="8" w:color="2A7F8E"/>
        </w:pBdr>
        <w:shd w:val="clear" w:color="auto" w:fill="F4F7F9"/>
        <w:spacing w:before="40" w:after="160" w:line="240" w:lineRule="auto"/>
        <w:ind w:left="259" w:right="259"/>
        <w:rPr>
          <w:rFonts w:hint="eastAsia"/>
        </w:rPr>
      </w:pPr>
      <w:r>
        <w:t>THERMAL SOURCE</w:t>
      </w:r>
      <w:r>
        <w:br/>
      </w:r>
      <w:r>
        <w:t xml:space="preserve">      |</w:t>
      </w:r>
      <w:r>
        <w:br/>
      </w:r>
      <w:r>
        <w:t xml:space="preserve">      +--&gt; COOKING-256 thresholds -&gt; cooking state changes</w:t>
      </w:r>
      <w:r>
        <w:br/>
      </w:r>
      <w:r>
        <w:t xml:space="preserve">      +--&gt; SAFETY-128 thresholds  -&gt; safety state changes</w:t>
      </w:r>
      <w:r>
        <w:br/>
      </w:r>
      <w:r>
        <w:t xml:space="preserve">      +--&gt; MATERIAL-256 thresholds -&gt; material state changes</w:t>
      </w:r>
      <w:r>
        <w:br/>
      </w:r>
      <w:r>
        <w:t xml:space="preserve">      `--&gt; VISUAL projection      -&gt; rendering changes</w:t>
      </w:r>
    </w:p>
    <w:p w14:paraId="2ADE139B" w14:textId="77777777" w:rsidR="00E579F2" w:rsidRDefault="00FC5553">
      <w:pPr>
        <w:spacing w:line="274" w:lineRule="auto"/>
        <w:rPr>
          <w:rFonts w:hint="eastAsia"/>
        </w:rPr>
      </w:pPr>
      <w:r>
        <w:rPr>
          <w:sz w:val="21"/>
        </w:rPr>
        <w:t>This pattern allows one source to produce many domain-specific reactions without merging their Models or state words.</w:t>
      </w:r>
    </w:p>
    <w:p w14:paraId="24A2DF93" w14:textId="77777777" w:rsidR="00E579F2" w:rsidRDefault="00FC5553">
      <w:pPr>
        <w:pStyle w:val="Heading2"/>
      </w:pPr>
      <w:r>
        <w:t>11.3 No final object schema</w:t>
      </w:r>
    </w:p>
    <w:p w14:paraId="1767E212" w14:textId="77777777" w:rsidR="00E579F2" w:rsidRDefault="00FC5553">
      <w:pPr>
        <w:spacing w:line="274" w:lineRule="auto"/>
        <w:rPr>
          <w:rFonts w:hint="eastAsia"/>
        </w:rPr>
      </w:pPr>
      <w:r>
        <w:rPr>
          <w:sz w:val="21"/>
        </w:rPr>
        <w:t>An object does not require a final list of all possible fields. New semantic dimensions are added by attaching additional SKs. The NodeKey remains stable while the set of semantic modalities grows or changes according to context.</w:t>
      </w:r>
    </w:p>
    <w:p w14:paraId="075893F3" w14:textId="77777777" w:rsidR="00E579F2" w:rsidRDefault="00FC5553">
      <w:pPr>
        <w:pStyle w:val="Heading1"/>
      </w:pPr>
      <w:bookmarkStart w:id="14" w:name="sec12"/>
      <w:r>
        <w:t>12. Cross-Object Semantic Chaining</w:t>
      </w:r>
      <w:bookmarkEnd w:id="14"/>
    </w:p>
    <w:p w14:paraId="6C3088B9" w14:textId="77777777" w:rsidR="00E579F2" w:rsidRDefault="00FC5553">
      <w:pPr>
        <w:spacing w:line="274" w:lineRule="auto"/>
        <w:rPr>
          <w:rFonts w:hint="eastAsia"/>
        </w:rPr>
      </w:pPr>
      <w:r>
        <w:rPr>
          <w:sz w:val="21"/>
        </w:rPr>
        <w:t>Semantic chaining occurs when a state or delta in one Kernel becomes a parameter source for another Kernel, whose resulting state can then become a source for another. Chaining is the primary mechanism by which complex world behavior emerges from small local operations.</w:t>
      </w:r>
    </w:p>
    <w:p w14:paraId="1CFA0AEF" w14:textId="77777777" w:rsidR="00E579F2" w:rsidRDefault="00FC5553">
      <w:pPr>
        <w:pStyle w:val="CodeBlock"/>
        <w:pBdr>
          <w:left w:val="single" w:sz="18" w:space="8" w:color="2A7F8E"/>
        </w:pBdr>
        <w:shd w:val="clear" w:color="auto" w:fill="F4F7F9"/>
        <w:spacing w:before="40" w:after="160" w:line="240" w:lineRule="auto"/>
        <w:ind w:left="259" w:right="259"/>
        <w:rPr>
          <w:rFonts w:hint="eastAsia"/>
        </w:rPr>
      </w:pPr>
      <w:r>
        <w:t>Object A / SK_A</w:t>
      </w:r>
      <w:r>
        <w:br/>
      </w:r>
      <w:r>
        <w:t xml:space="preserve">  state delta</w:t>
      </w:r>
      <w:r>
        <w:br/>
      </w:r>
      <w:r>
        <w:t xml:space="preserve">      |</w:t>
      </w:r>
      <w:r>
        <w:br/>
      </w:r>
      <w:r>
        <w:t xml:space="preserve">      v</w:t>
      </w:r>
      <w:r>
        <w:br/>
      </w:r>
      <w:r>
        <w:t>Object B / SK_B</w:t>
      </w:r>
      <w:r>
        <w:br/>
      </w:r>
      <w:r>
        <w:t xml:space="preserve">  local ModelKey threshold</w:t>
      </w:r>
      <w:r>
        <w:br/>
      </w:r>
      <w:r>
        <w:t xml:space="preserve">  Rule -&gt; Operator -&gt; new bitstate</w:t>
      </w:r>
      <w:r>
        <w:br/>
      </w:r>
      <w:r>
        <w:t xml:space="preserve">      |</w:t>
      </w:r>
      <w:r>
        <w:br/>
      </w:r>
      <w:r>
        <w:t xml:space="preserve">      v</w:t>
      </w:r>
      <w:r>
        <w:br/>
      </w:r>
      <w:r>
        <w:t>Object C / SK_C</w:t>
      </w:r>
      <w:r>
        <w:br/>
      </w:r>
      <w:r>
        <w:t xml:space="preserve">  local ModelKey threshold</w:t>
      </w:r>
      <w:r>
        <w:br/>
      </w:r>
      <w:r>
        <w:t xml:space="preserve">  Rule -&gt; Operator -&gt; new bitstate</w:t>
      </w:r>
      <w:r>
        <w:br/>
      </w:r>
      <w:r>
        <w:t xml:space="preserve">      |</w:t>
      </w:r>
      <w:r>
        <w:br/>
      </w:r>
      <w:r>
        <w:t xml:space="preserve">      v</w:t>
      </w:r>
      <w:r>
        <w:br/>
      </w:r>
      <w:r>
        <w:t>Object D / SK_D</w:t>
      </w:r>
      <w:r>
        <w:br/>
      </w:r>
      <w:r>
        <w:t xml:space="preserve">  projection / behavior / further state</w:t>
      </w:r>
    </w:p>
    <w:p w14:paraId="3F8231B0" w14:textId="77777777" w:rsidR="00E579F2" w:rsidRDefault="00FC5553">
      <w:pPr>
        <w:pStyle w:val="Heading2"/>
      </w:pPr>
      <w:r>
        <w:t>12.1 Chaining contract</w:t>
      </w:r>
    </w:p>
    <w:p w14:paraId="00B915FE" w14:textId="77777777" w:rsidR="00E579F2" w:rsidRDefault="00FC5553">
      <w:pPr>
        <w:spacing w:line="274" w:lineRule="auto"/>
        <w:rPr>
          <w:rFonts w:hint="eastAsia"/>
        </w:rPr>
      </w:pPr>
      <w:r>
        <w:rPr>
          <w:sz w:val="21"/>
        </w:rPr>
        <w:t>Each link in a chain MUST name the source semantic address, target semantic address, interpretation or translation, local parameter slot, Rule, Operator, and propagation policy. This allows CERBERUS to explain not only what changed, but why the change propagated.</w:t>
      </w:r>
    </w:p>
    <w:p w14:paraId="578D57B6" w14:textId="77777777" w:rsidR="00E579F2" w:rsidRDefault="00FC5553">
      <w:pPr>
        <w:pStyle w:val="Heading2"/>
      </w:pPr>
      <w:r>
        <w:t>12.2 Local simplicity, global complexity</w:t>
      </w:r>
    </w:p>
    <w:p w14:paraId="646AC1EC" w14:textId="77777777" w:rsidR="00E579F2" w:rsidRDefault="00FC5553">
      <w:pPr>
        <w:spacing w:line="274" w:lineRule="auto"/>
        <w:rPr>
          <w:rFonts w:hint="eastAsia"/>
        </w:rPr>
      </w:pPr>
      <w:r>
        <w:rPr>
          <w:sz w:val="21"/>
        </w:rPr>
        <w:t>No individual link needs to understand the entire chain. Each target reacts only to the semantic input it is subscribed to. The global behavior is therefore graph complexity rather than monolithic code complexity.</w:t>
      </w:r>
    </w:p>
    <w:p w14:paraId="6E9E7A1C" w14:textId="77777777" w:rsidR="00E579F2" w:rsidRDefault="00FC5553">
      <w:pPr>
        <w:pStyle w:val="Heading2"/>
      </w:pPr>
      <w:r>
        <w:t>12.3 Inspectable causality</w:t>
      </w:r>
    </w:p>
    <w:p w14:paraId="50BF7C48" w14:textId="77777777" w:rsidR="00E579F2" w:rsidRDefault="00FC5553">
      <w:pPr>
        <w:spacing w:line="274" w:lineRule="auto"/>
        <w:rPr>
          <w:rFonts w:hint="eastAsia"/>
        </w:rPr>
      </w:pPr>
      <w:r>
        <w:rPr>
          <w:sz w:val="21"/>
        </w:rPr>
        <w:t>A compliant runtime SHOULD be able to answer a causal query by walking Transition Events backward: target state changed because Operator X fired; Operator X fired because Rule Y passed; Rule Y passed because source semantic value S crossed local ModelKey threshold P; source S changed because of a prior event on another object.</w:t>
      </w:r>
    </w:p>
    <w:p w14:paraId="5D0FB696" w14:textId="77777777" w:rsidR="00E579F2" w:rsidRDefault="00FC5553">
      <w:pPr>
        <w:pStyle w:val="Heading1"/>
      </w:pPr>
      <w:bookmarkStart w:id="15" w:name="sec13"/>
      <w:r>
        <w:t>13. Worked Example: Culinary Thermal Chain</w:t>
      </w:r>
      <w:bookmarkEnd w:id="15"/>
    </w:p>
    <w:p w14:paraId="3EDC8FEE" w14:textId="77777777" w:rsidR="00E579F2" w:rsidRDefault="00FC5553">
      <w:pPr>
        <w:spacing w:line="274" w:lineRule="auto"/>
        <w:rPr>
          <w:rFonts w:hint="eastAsia"/>
        </w:rPr>
      </w:pPr>
      <w:r>
        <w:rPr>
          <w:sz w:val="21"/>
        </w:rPr>
        <w:t>This example is illustrative and intentionally avoids asserting universal culinary temperature values. A professional culinary Model would supply validated parameters. The purpose is to demonstrate how object-specific thresholds embedded in an extended Kernel can react to another object's semantic state.</w:t>
      </w:r>
    </w:p>
    <w:p w14:paraId="2E8A6578" w14:textId="77777777" w:rsidR="00E579F2" w:rsidRDefault="00FC5553">
      <w:pPr>
        <w:pStyle w:val="Heading2"/>
      </w:pPr>
      <w:r>
        <w:t>13.1 Objects and Kernels</w:t>
      </w:r>
    </w:p>
    <w:tbl>
      <w:tblPr>
        <w:tblW w:w="0" w:type="auto"/>
        <w:jc w:val="center"/>
        <w:tblLayout w:type="fixed"/>
        <w:tblLook w:val="04A0" w:firstRow="1" w:lastRow="0" w:firstColumn="1" w:lastColumn="0" w:noHBand="0" w:noVBand="1"/>
      </w:tblPr>
      <w:tblGrid>
        <w:gridCol w:w="1728"/>
        <w:gridCol w:w="2448"/>
        <w:gridCol w:w="5544"/>
      </w:tblGrid>
      <w:tr w:rsidR="00E579F2" w14:paraId="73F775BD" w14:textId="77777777">
        <w:trPr>
          <w:tblHeader/>
          <w:jc w:val="center"/>
        </w:trPr>
        <w:tc>
          <w:tcPr>
            <w:tcW w:w="1728" w:type="dxa"/>
            <w:tcBorders>
              <w:top w:val="single" w:sz="4" w:space="0" w:color="C9D6DF"/>
              <w:left w:val="single" w:sz="4" w:space="0" w:color="C9D6DF"/>
              <w:bottom w:val="single" w:sz="4" w:space="0" w:color="C9D6DF"/>
              <w:right w:val="single" w:sz="4" w:space="0" w:color="C9D6DF"/>
            </w:tcBorders>
            <w:shd w:val="clear" w:color="auto" w:fill="17324D"/>
            <w:tcMar>
              <w:top w:w="105" w:type="dxa"/>
              <w:left w:w="110" w:type="dxa"/>
              <w:bottom w:w="105" w:type="dxa"/>
              <w:right w:w="110" w:type="dxa"/>
            </w:tcMar>
            <w:vAlign w:val="center"/>
          </w:tcPr>
          <w:p w14:paraId="0E63756D" w14:textId="77777777" w:rsidR="00E579F2" w:rsidRDefault="00FC5553">
            <w:pPr>
              <w:spacing w:after="0"/>
              <w:rPr>
                <w:rFonts w:hint="eastAsia"/>
              </w:rPr>
            </w:pPr>
            <w:r>
              <w:rPr>
                <w:b/>
                <w:color w:val="FFFFFF"/>
                <w:sz w:val="17"/>
              </w:rPr>
              <w:t>Object</w:t>
            </w:r>
          </w:p>
        </w:tc>
        <w:tc>
          <w:tcPr>
            <w:tcW w:w="2448" w:type="dxa"/>
            <w:tcBorders>
              <w:top w:val="single" w:sz="4" w:space="0" w:color="C9D6DF"/>
              <w:left w:val="single" w:sz="4" w:space="0" w:color="C9D6DF"/>
              <w:bottom w:val="single" w:sz="4" w:space="0" w:color="C9D6DF"/>
              <w:right w:val="single" w:sz="4" w:space="0" w:color="C9D6DF"/>
            </w:tcBorders>
            <w:shd w:val="clear" w:color="auto" w:fill="17324D"/>
            <w:tcMar>
              <w:top w:w="105" w:type="dxa"/>
              <w:left w:w="110" w:type="dxa"/>
              <w:bottom w:w="105" w:type="dxa"/>
              <w:right w:w="110" w:type="dxa"/>
            </w:tcMar>
            <w:vAlign w:val="center"/>
          </w:tcPr>
          <w:p w14:paraId="189C9F5B" w14:textId="77777777" w:rsidR="00E579F2" w:rsidRDefault="00FC5553">
            <w:pPr>
              <w:spacing w:after="0"/>
              <w:rPr>
                <w:rFonts w:hint="eastAsia"/>
              </w:rPr>
            </w:pPr>
            <w:r>
              <w:rPr>
                <w:b/>
                <w:color w:val="FFFFFF"/>
                <w:sz w:val="17"/>
              </w:rPr>
              <w:t>Attached SK</w:t>
            </w:r>
          </w:p>
        </w:tc>
        <w:tc>
          <w:tcPr>
            <w:tcW w:w="5544" w:type="dxa"/>
            <w:tcBorders>
              <w:top w:val="single" w:sz="4" w:space="0" w:color="C9D6DF"/>
              <w:left w:val="single" w:sz="4" w:space="0" w:color="C9D6DF"/>
              <w:bottom w:val="single" w:sz="4" w:space="0" w:color="C9D6DF"/>
              <w:right w:val="single" w:sz="4" w:space="0" w:color="C9D6DF"/>
            </w:tcBorders>
            <w:shd w:val="clear" w:color="auto" w:fill="17324D"/>
            <w:tcMar>
              <w:top w:w="105" w:type="dxa"/>
              <w:left w:w="110" w:type="dxa"/>
              <w:bottom w:w="105" w:type="dxa"/>
              <w:right w:w="110" w:type="dxa"/>
            </w:tcMar>
            <w:vAlign w:val="center"/>
          </w:tcPr>
          <w:p w14:paraId="4B9A27D8" w14:textId="77777777" w:rsidR="00E579F2" w:rsidRDefault="00FC5553">
            <w:pPr>
              <w:spacing w:after="0"/>
              <w:rPr>
                <w:rFonts w:hint="eastAsia"/>
              </w:rPr>
            </w:pPr>
            <w:r>
              <w:rPr>
                <w:b/>
                <w:color w:val="FFFFFF"/>
                <w:sz w:val="17"/>
              </w:rPr>
              <w:t>Responsibility</w:t>
            </w:r>
          </w:p>
        </w:tc>
      </w:tr>
      <w:tr w:rsidR="00E579F2" w14:paraId="2E32FFD7" w14:textId="77777777">
        <w:trPr>
          <w:cantSplit/>
          <w:jc w:val="center"/>
        </w:trPr>
        <w:tc>
          <w:tcPr>
            <w:tcW w:w="1728" w:type="dxa"/>
            <w:tcMar>
              <w:top w:w="95" w:type="dxa"/>
              <w:left w:w="110" w:type="dxa"/>
              <w:bottom w:w="95" w:type="dxa"/>
              <w:right w:w="110" w:type="dxa"/>
            </w:tcMar>
            <w:vAlign w:val="center"/>
          </w:tcPr>
          <w:p w14:paraId="776CBF8E" w14:textId="77777777" w:rsidR="00E579F2" w:rsidRDefault="00FC5553">
            <w:pPr>
              <w:spacing w:after="0" w:line="252" w:lineRule="auto"/>
              <w:rPr>
                <w:rFonts w:hint="eastAsia"/>
              </w:rPr>
            </w:pPr>
            <w:r>
              <w:rPr>
                <w:sz w:val="17"/>
              </w:rPr>
              <w:t>Oven</w:t>
            </w:r>
          </w:p>
        </w:tc>
        <w:tc>
          <w:tcPr>
            <w:tcW w:w="2448" w:type="dxa"/>
            <w:tcMar>
              <w:top w:w="95" w:type="dxa"/>
              <w:left w:w="110" w:type="dxa"/>
              <w:bottom w:w="95" w:type="dxa"/>
              <w:right w:w="110" w:type="dxa"/>
            </w:tcMar>
            <w:vAlign w:val="center"/>
          </w:tcPr>
          <w:p w14:paraId="21FD9A02" w14:textId="77777777" w:rsidR="00E579F2" w:rsidRDefault="00FC5553">
            <w:pPr>
              <w:spacing w:after="0" w:line="252" w:lineRule="auto"/>
              <w:rPr>
                <w:rFonts w:hint="eastAsia"/>
              </w:rPr>
            </w:pPr>
            <w:r>
              <w:rPr>
                <w:sz w:val="17"/>
              </w:rPr>
              <w:t>THERMAL-128</w:t>
            </w:r>
          </w:p>
        </w:tc>
        <w:tc>
          <w:tcPr>
            <w:tcW w:w="5544" w:type="dxa"/>
            <w:tcMar>
              <w:top w:w="95" w:type="dxa"/>
              <w:left w:w="110" w:type="dxa"/>
              <w:bottom w:w="95" w:type="dxa"/>
              <w:right w:w="110" w:type="dxa"/>
            </w:tcMar>
            <w:vAlign w:val="center"/>
          </w:tcPr>
          <w:p w14:paraId="1909F61A" w14:textId="77777777" w:rsidR="00E579F2" w:rsidRDefault="00FC5553">
            <w:pPr>
              <w:spacing w:after="0" w:line="252" w:lineRule="auto"/>
              <w:rPr>
                <w:rFonts w:hint="eastAsia"/>
              </w:rPr>
            </w:pPr>
            <w:r>
              <w:rPr>
                <w:sz w:val="17"/>
              </w:rPr>
              <w:t>Owns current oven thermal state and scalar temperature representation.</w:t>
            </w:r>
          </w:p>
        </w:tc>
      </w:tr>
      <w:tr w:rsidR="00E579F2" w14:paraId="618CF647" w14:textId="77777777">
        <w:trPr>
          <w:cantSplit/>
          <w:jc w:val="center"/>
        </w:trPr>
        <w:tc>
          <w:tcPr>
            <w:tcW w:w="1728" w:type="dxa"/>
            <w:tcMar>
              <w:top w:w="95" w:type="dxa"/>
              <w:left w:w="110" w:type="dxa"/>
              <w:bottom w:w="95" w:type="dxa"/>
              <w:right w:w="110" w:type="dxa"/>
            </w:tcMar>
            <w:vAlign w:val="center"/>
          </w:tcPr>
          <w:p w14:paraId="758D9E03" w14:textId="77777777" w:rsidR="00E579F2" w:rsidRDefault="00FC5553">
            <w:pPr>
              <w:spacing w:after="0" w:line="252" w:lineRule="auto"/>
              <w:rPr>
                <w:rFonts w:hint="eastAsia"/>
              </w:rPr>
            </w:pPr>
            <w:r>
              <w:rPr>
                <w:sz w:val="17"/>
              </w:rPr>
              <w:t>Steak</w:t>
            </w:r>
          </w:p>
        </w:tc>
        <w:tc>
          <w:tcPr>
            <w:tcW w:w="2448" w:type="dxa"/>
            <w:tcMar>
              <w:top w:w="95" w:type="dxa"/>
              <w:left w:w="110" w:type="dxa"/>
              <w:bottom w:w="95" w:type="dxa"/>
              <w:right w:w="110" w:type="dxa"/>
            </w:tcMar>
            <w:vAlign w:val="center"/>
          </w:tcPr>
          <w:p w14:paraId="54F3E129" w14:textId="77777777" w:rsidR="00E579F2" w:rsidRDefault="00FC5553">
            <w:pPr>
              <w:spacing w:after="0" w:line="252" w:lineRule="auto"/>
              <w:rPr>
                <w:rFonts w:hint="eastAsia"/>
              </w:rPr>
            </w:pPr>
            <w:r>
              <w:rPr>
                <w:sz w:val="17"/>
              </w:rPr>
              <w:t>COOKING-256</w:t>
            </w:r>
          </w:p>
        </w:tc>
        <w:tc>
          <w:tcPr>
            <w:tcW w:w="5544" w:type="dxa"/>
            <w:tcMar>
              <w:top w:w="95" w:type="dxa"/>
              <w:left w:w="110" w:type="dxa"/>
              <w:bottom w:w="95" w:type="dxa"/>
              <w:right w:w="110" w:type="dxa"/>
            </w:tcMar>
            <w:vAlign w:val="center"/>
          </w:tcPr>
          <w:p w14:paraId="2B11B657" w14:textId="77777777" w:rsidR="00E579F2" w:rsidRDefault="00FC5553">
            <w:pPr>
              <w:spacing w:after="0" w:line="252" w:lineRule="auto"/>
              <w:rPr>
                <w:rFonts w:hint="eastAsia"/>
              </w:rPr>
            </w:pPr>
            <w:r>
              <w:rPr>
                <w:sz w:val="17"/>
              </w:rPr>
              <w:t>Owns preparation state in its base segment and steak-specific thermal/time transition parameters in its ModelKey extension.</w:t>
            </w:r>
          </w:p>
        </w:tc>
      </w:tr>
      <w:tr w:rsidR="00E579F2" w14:paraId="3BAA00CA" w14:textId="77777777">
        <w:trPr>
          <w:cantSplit/>
          <w:jc w:val="center"/>
        </w:trPr>
        <w:tc>
          <w:tcPr>
            <w:tcW w:w="1728" w:type="dxa"/>
            <w:tcMar>
              <w:top w:w="95" w:type="dxa"/>
              <w:left w:w="110" w:type="dxa"/>
              <w:bottom w:w="95" w:type="dxa"/>
              <w:right w:w="110" w:type="dxa"/>
            </w:tcMar>
            <w:vAlign w:val="center"/>
          </w:tcPr>
          <w:p w14:paraId="77D0F75A" w14:textId="77777777" w:rsidR="00E579F2" w:rsidRDefault="00FC5553">
            <w:pPr>
              <w:spacing w:after="0" w:line="252" w:lineRule="auto"/>
              <w:rPr>
                <w:rFonts w:hint="eastAsia"/>
              </w:rPr>
            </w:pPr>
            <w:r>
              <w:rPr>
                <w:sz w:val="17"/>
              </w:rPr>
              <w:t>Steak</w:t>
            </w:r>
          </w:p>
        </w:tc>
        <w:tc>
          <w:tcPr>
            <w:tcW w:w="2448" w:type="dxa"/>
            <w:tcMar>
              <w:top w:w="95" w:type="dxa"/>
              <w:left w:w="110" w:type="dxa"/>
              <w:bottom w:w="95" w:type="dxa"/>
              <w:right w:w="110" w:type="dxa"/>
            </w:tcMar>
            <w:vAlign w:val="center"/>
          </w:tcPr>
          <w:p w14:paraId="26AE37AD" w14:textId="77777777" w:rsidR="00E579F2" w:rsidRDefault="00FC5553">
            <w:pPr>
              <w:spacing w:after="0" w:line="252" w:lineRule="auto"/>
              <w:rPr>
                <w:rFonts w:hint="eastAsia"/>
              </w:rPr>
            </w:pPr>
            <w:r>
              <w:rPr>
                <w:sz w:val="17"/>
              </w:rPr>
              <w:t>FOOD-128</w:t>
            </w:r>
          </w:p>
        </w:tc>
        <w:tc>
          <w:tcPr>
            <w:tcW w:w="5544" w:type="dxa"/>
            <w:tcMar>
              <w:top w:w="95" w:type="dxa"/>
              <w:left w:w="110" w:type="dxa"/>
              <w:bottom w:w="95" w:type="dxa"/>
              <w:right w:w="110" w:type="dxa"/>
            </w:tcMar>
            <w:vAlign w:val="center"/>
          </w:tcPr>
          <w:p w14:paraId="049AA49E" w14:textId="77777777" w:rsidR="00E579F2" w:rsidRDefault="00FC5553">
            <w:pPr>
              <w:spacing w:after="0" w:line="252" w:lineRule="auto"/>
              <w:rPr>
                <w:rFonts w:hint="eastAsia"/>
              </w:rPr>
            </w:pPr>
            <w:r>
              <w:rPr>
                <w:sz w:val="17"/>
              </w:rPr>
              <w:t>Owns portable food composition, Flavor8, and classification semantics.</w:t>
            </w:r>
          </w:p>
        </w:tc>
      </w:tr>
      <w:tr w:rsidR="00E579F2" w14:paraId="61811D3E" w14:textId="77777777">
        <w:trPr>
          <w:cantSplit/>
          <w:jc w:val="center"/>
        </w:trPr>
        <w:tc>
          <w:tcPr>
            <w:tcW w:w="1728" w:type="dxa"/>
            <w:tcMar>
              <w:top w:w="95" w:type="dxa"/>
              <w:left w:w="110" w:type="dxa"/>
              <w:bottom w:w="95" w:type="dxa"/>
              <w:right w:w="110" w:type="dxa"/>
            </w:tcMar>
            <w:vAlign w:val="center"/>
          </w:tcPr>
          <w:p w14:paraId="03ED127D" w14:textId="77777777" w:rsidR="00E579F2" w:rsidRDefault="00FC5553">
            <w:pPr>
              <w:spacing w:after="0" w:line="252" w:lineRule="auto"/>
              <w:rPr>
                <w:rFonts w:hint="eastAsia"/>
              </w:rPr>
            </w:pPr>
            <w:r>
              <w:rPr>
                <w:sz w:val="17"/>
              </w:rPr>
              <w:t>Steak</w:t>
            </w:r>
          </w:p>
        </w:tc>
        <w:tc>
          <w:tcPr>
            <w:tcW w:w="2448" w:type="dxa"/>
            <w:tcMar>
              <w:top w:w="95" w:type="dxa"/>
              <w:left w:w="110" w:type="dxa"/>
              <w:bottom w:w="95" w:type="dxa"/>
              <w:right w:w="110" w:type="dxa"/>
            </w:tcMar>
            <w:vAlign w:val="center"/>
          </w:tcPr>
          <w:p w14:paraId="38EAF55D" w14:textId="77777777" w:rsidR="00E579F2" w:rsidRDefault="00FC5553">
            <w:pPr>
              <w:spacing w:after="0" w:line="252" w:lineRule="auto"/>
              <w:rPr>
                <w:rFonts w:hint="eastAsia"/>
              </w:rPr>
            </w:pPr>
            <w:r>
              <w:rPr>
                <w:sz w:val="17"/>
              </w:rPr>
              <w:t>SAFETY-128</w:t>
            </w:r>
          </w:p>
        </w:tc>
        <w:tc>
          <w:tcPr>
            <w:tcW w:w="5544" w:type="dxa"/>
            <w:tcMar>
              <w:top w:w="95" w:type="dxa"/>
              <w:left w:w="110" w:type="dxa"/>
              <w:bottom w:w="95" w:type="dxa"/>
              <w:right w:w="110" w:type="dxa"/>
            </w:tcMar>
            <w:vAlign w:val="center"/>
          </w:tcPr>
          <w:p w14:paraId="28D3D437" w14:textId="77777777" w:rsidR="00E579F2" w:rsidRDefault="00FC5553">
            <w:pPr>
              <w:spacing w:after="0" w:line="252" w:lineRule="auto"/>
              <w:rPr>
                <w:rFonts w:hint="eastAsia"/>
              </w:rPr>
            </w:pPr>
            <w:r>
              <w:rPr>
                <w:sz w:val="17"/>
              </w:rPr>
              <w:t>Owns independently modeled food-safety state.</w:t>
            </w:r>
          </w:p>
        </w:tc>
      </w:tr>
      <w:tr w:rsidR="00E579F2" w14:paraId="3E1D7F28" w14:textId="77777777">
        <w:trPr>
          <w:cantSplit/>
          <w:jc w:val="center"/>
        </w:trPr>
        <w:tc>
          <w:tcPr>
            <w:tcW w:w="1728" w:type="dxa"/>
            <w:tcMar>
              <w:top w:w="95" w:type="dxa"/>
              <w:left w:w="110" w:type="dxa"/>
              <w:bottom w:w="95" w:type="dxa"/>
              <w:right w:w="110" w:type="dxa"/>
            </w:tcMar>
            <w:vAlign w:val="center"/>
          </w:tcPr>
          <w:p w14:paraId="314BB681" w14:textId="77777777" w:rsidR="00E579F2" w:rsidRDefault="00FC5553">
            <w:pPr>
              <w:spacing w:after="0" w:line="252" w:lineRule="auto"/>
              <w:rPr>
                <w:rFonts w:hint="eastAsia"/>
              </w:rPr>
            </w:pPr>
            <w:r>
              <w:rPr>
                <w:sz w:val="17"/>
              </w:rPr>
              <w:t>Scene / Skene</w:t>
            </w:r>
          </w:p>
        </w:tc>
        <w:tc>
          <w:tcPr>
            <w:tcW w:w="2448" w:type="dxa"/>
            <w:tcMar>
              <w:top w:w="95" w:type="dxa"/>
              <w:left w:w="110" w:type="dxa"/>
              <w:bottom w:w="95" w:type="dxa"/>
              <w:right w:w="110" w:type="dxa"/>
            </w:tcMar>
            <w:vAlign w:val="center"/>
          </w:tcPr>
          <w:p w14:paraId="40A54AAE" w14:textId="77777777" w:rsidR="00E579F2" w:rsidRDefault="00FC5553">
            <w:pPr>
              <w:spacing w:after="0" w:line="252" w:lineRule="auto"/>
              <w:rPr>
                <w:rFonts w:hint="eastAsia"/>
              </w:rPr>
            </w:pPr>
            <w:r>
              <w:rPr>
                <w:sz w:val="17"/>
              </w:rPr>
              <w:t>MRMM / trigger bindings</w:t>
            </w:r>
          </w:p>
        </w:tc>
        <w:tc>
          <w:tcPr>
            <w:tcW w:w="5544" w:type="dxa"/>
            <w:tcMar>
              <w:top w:w="95" w:type="dxa"/>
              <w:left w:w="110" w:type="dxa"/>
              <w:bottom w:w="95" w:type="dxa"/>
              <w:right w:w="110" w:type="dxa"/>
            </w:tcMar>
            <w:vAlign w:val="center"/>
          </w:tcPr>
          <w:p w14:paraId="202ECA8E" w14:textId="77777777" w:rsidR="00E579F2" w:rsidRDefault="00FC5553">
            <w:pPr>
              <w:spacing w:after="0" w:line="252" w:lineRule="auto"/>
              <w:rPr>
                <w:rFonts w:hint="eastAsia"/>
              </w:rPr>
            </w:pPr>
            <w:r>
              <w:rPr>
                <w:sz w:val="17"/>
              </w:rPr>
              <w:t>Renders visual, sound, haptic, or UI effects from semantic deltas.</w:t>
            </w:r>
          </w:p>
        </w:tc>
      </w:tr>
    </w:tbl>
    <w:p w14:paraId="0CA3E5A5" w14:textId="77777777" w:rsidR="00E579F2" w:rsidRDefault="00E579F2">
      <w:pPr>
        <w:spacing w:after="20"/>
        <w:rPr>
          <w:rFonts w:hint="eastAsia"/>
        </w:rPr>
      </w:pPr>
    </w:p>
    <w:p w14:paraId="06ADA2B1" w14:textId="77777777" w:rsidR="00E579F2" w:rsidRDefault="00FC5553">
      <w:pPr>
        <w:pStyle w:val="Heading2"/>
      </w:pPr>
      <w:r>
        <w:t>13.2 COOKING-256 logical layout</w:t>
      </w:r>
    </w:p>
    <w:p w14:paraId="4E47192C" w14:textId="77777777" w:rsidR="00E579F2" w:rsidRDefault="00FC5553">
      <w:pPr>
        <w:pStyle w:val="CodeBlock"/>
        <w:pBdr>
          <w:left w:val="single" w:sz="18" w:space="8" w:color="2A7F8E"/>
        </w:pBdr>
        <w:shd w:val="clear" w:color="auto" w:fill="F4F7F9"/>
        <w:spacing w:before="40" w:after="160" w:line="240" w:lineRule="auto"/>
        <w:ind w:left="259" w:right="259"/>
        <w:rPr>
          <w:rFonts w:hint="eastAsia"/>
        </w:rPr>
      </w:pPr>
      <w:r>
        <w:t>COOKING-256 (illustrative family)</w:t>
      </w:r>
      <w:r>
        <w:br/>
      </w:r>
      <w:r>
        <w:t>B000-B127   COOKING-128-compatible preparation state</w:t>
      </w:r>
      <w:r>
        <w:br/>
      </w:r>
      <w:r>
        <w:t>B128-B255   ModelKey Extension</w:t>
      </w:r>
      <w:r>
        <w:br/>
      </w:r>
      <w:r>
        <w:t xml:space="preserve">             +-- thermal entry thresholds</w:t>
      </w:r>
      <w:r>
        <w:br/>
      </w:r>
      <w:r>
        <w:t xml:space="preserve">             +-- thermal exit thresholds</w:t>
      </w:r>
      <w:r>
        <w:br/>
      </w:r>
      <w:r>
        <w:t xml:space="preserve">             +-- time requirements</w:t>
      </w:r>
      <w:r>
        <w:br/>
      </w:r>
      <w:r>
        <w:t xml:space="preserve">             +-- hysteresis parameters</w:t>
      </w:r>
      <w:r>
        <w:br/>
      </w:r>
      <w:r>
        <w:t xml:space="preserve">             +-- model-specific bounded coefficients</w:t>
      </w:r>
    </w:p>
    <w:p w14:paraId="189D81A8" w14:textId="77777777" w:rsidR="00E579F2" w:rsidRDefault="00FC5553">
      <w:pPr>
        <w:pStyle w:val="Heading2"/>
      </w:pPr>
      <w:r>
        <w:t>13.3 Binding</w:t>
      </w:r>
    </w:p>
    <w:p w14:paraId="6D83C73F" w14:textId="77777777" w:rsidR="00E579F2" w:rsidRDefault="00FC5553">
      <w:pPr>
        <w:pStyle w:val="CodeBlock"/>
        <w:pBdr>
          <w:left w:val="single" w:sz="18" w:space="8" w:color="2A7F8E"/>
        </w:pBdr>
        <w:shd w:val="clear" w:color="auto" w:fill="F4F7F9"/>
        <w:spacing w:before="40" w:after="160" w:line="240" w:lineRule="auto"/>
        <w:ind w:left="259" w:right="259"/>
        <w:rPr>
          <w:rFonts w:hint="eastAsia"/>
        </w:rPr>
      </w:pPr>
      <w:r>
        <w:t>SOURCE</w:t>
      </w:r>
      <w:r>
        <w:br/>
      </w:r>
      <w:r>
        <w:t>Oven:THERMAL-128:CurrentTemperature</w:t>
      </w:r>
      <w:r>
        <w:br/>
      </w:r>
      <w:r>
        <w:br/>
      </w:r>
      <w:r>
        <w:t>TARGET</w:t>
      </w:r>
      <w:r>
        <w:br/>
      </w:r>
      <w:r>
        <w:t>Steak:COOKING-256</w:t>
      </w:r>
      <w:r>
        <w:br/>
      </w:r>
      <w:r>
        <w:br/>
      </w:r>
      <w:r>
        <w:t>LOCAL PARAMETER</w:t>
      </w:r>
      <w:r>
        <w:br/>
      </w:r>
      <w:r>
        <w:t>Steak ModelKey: BrowningEntryThreshold</w:t>
      </w:r>
      <w:r>
        <w:br/>
      </w:r>
      <w:r>
        <w:br/>
      </w:r>
      <w:r>
        <w:t>RULE</w:t>
      </w:r>
      <w:r>
        <w:br/>
      </w:r>
      <w:r>
        <w:t>source &gt;= local threshold</w:t>
      </w:r>
      <w:r>
        <w:br/>
      </w:r>
      <w:r>
        <w:t>AND required exposure condition satisfied</w:t>
      </w:r>
      <w:r>
        <w:br/>
      </w:r>
      <w:r>
        <w:t>AND current cut/preparation state permits transition</w:t>
      </w:r>
      <w:r>
        <w:br/>
      </w:r>
      <w:r>
        <w:br/>
      </w:r>
      <w:r>
        <w:t>OPERATOR</w:t>
      </w:r>
      <w:r>
        <w:br/>
      </w:r>
      <w:r>
        <w:t>ENTER_BROWNED_STATE()</w:t>
      </w:r>
    </w:p>
    <w:p w14:paraId="737FA515" w14:textId="77777777" w:rsidR="00E579F2" w:rsidRDefault="00FC5553">
      <w:pPr>
        <w:pStyle w:val="Heading2"/>
      </w:pPr>
      <w:r>
        <w:t>13.4 Resulting chain</w:t>
      </w:r>
    </w:p>
    <w:p w14:paraId="02ED17BC" w14:textId="77777777" w:rsidR="00E579F2" w:rsidRDefault="00FC5553">
      <w:pPr>
        <w:pStyle w:val="CodeBlock"/>
        <w:pBdr>
          <w:left w:val="single" w:sz="18" w:space="8" w:color="2A7F8E"/>
        </w:pBdr>
        <w:shd w:val="clear" w:color="auto" w:fill="F4F7F9"/>
        <w:spacing w:before="40" w:after="160" w:line="240" w:lineRule="auto"/>
        <w:ind w:left="259" w:right="259"/>
        <w:rPr>
          <w:rFonts w:hint="eastAsia"/>
        </w:rPr>
      </w:pPr>
      <w:r>
        <w:t>Oven THERMAL value rises</w:t>
      </w:r>
      <w:r>
        <w:br/>
      </w:r>
      <w:r>
        <w:t xml:space="preserve">        |</w:t>
      </w:r>
      <w:r>
        <w:br/>
      </w:r>
      <w:r>
        <w:t xml:space="preserve">        v</w:t>
      </w:r>
      <w:r>
        <w:br/>
      </w:r>
      <w:r>
        <w:t>Steak COOKING-256 threshold crossed</w:t>
      </w:r>
      <w:r>
        <w:br/>
      </w:r>
      <w:r>
        <w:t xml:space="preserve">        |</w:t>
      </w:r>
      <w:r>
        <w:br/>
      </w:r>
      <w:r>
        <w:t xml:space="preserve">        v</w:t>
      </w:r>
      <w:r>
        <w:br/>
      </w:r>
      <w:r>
        <w:t>Rule passes</w:t>
      </w:r>
      <w:r>
        <w:br/>
      </w:r>
      <w:r>
        <w:t xml:space="preserve">        |</w:t>
      </w:r>
      <w:r>
        <w:br/>
      </w:r>
      <w:r>
        <w:t xml:space="preserve">        v</w:t>
      </w:r>
      <w:r>
        <w:br/>
      </w:r>
      <w:r>
        <w:t>ENTER_BROWNED_STATE()</w:t>
      </w:r>
      <w:r>
        <w:br/>
      </w:r>
      <w:r>
        <w:t xml:space="preserve">        |</w:t>
      </w:r>
      <w:r>
        <w:br/>
      </w:r>
      <w:r>
        <w:t xml:space="preserve">        v</w:t>
      </w:r>
      <w:r>
        <w:br/>
      </w:r>
      <w:r>
        <w:t>COOKING bitstate changes</w:t>
      </w:r>
      <w:r>
        <w:br/>
      </w:r>
      <w:r>
        <w:t xml:space="preserve">        |</w:t>
      </w:r>
      <w:r>
        <w:br/>
      </w:r>
      <w:r>
        <w:t xml:space="preserve">        +--&gt; FOOD Model updates predicted flavor interpretation</w:t>
      </w:r>
      <w:r>
        <w:br/>
      </w:r>
      <w:r>
        <w:t xml:space="preserve">        +--&gt; SAFETY Model independently evaluates its own thresholds</w:t>
      </w:r>
      <w:r>
        <w:br/>
      </w:r>
      <w:r>
        <w:t xml:space="preserve">        +--&gt; Skene swaps visual state / sound / effects</w:t>
      </w:r>
      <w:r>
        <w:br/>
      </w:r>
      <w:r>
        <w:t xml:space="preserve">        `--&gt; Transition Event records provenance + TIME-128</w:t>
      </w:r>
    </w:p>
    <w:p w14:paraId="5CB43993" w14:textId="77777777" w:rsidR="00E579F2" w:rsidRDefault="00FC5553">
      <w:pPr>
        <w:spacing w:line="274" w:lineRule="auto"/>
        <w:rPr>
          <w:rFonts w:hint="eastAsia"/>
        </w:rPr>
      </w:pPr>
      <w:r>
        <w:rPr>
          <w:sz w:val="21"/>
        </w:rPr>
        <w:t>The oven does not contain cooking logic. The steak does not duplicate the oven temperature. The steak carries the object-specific transition boundary; the Oven supplies the current semantic source; Rules and Operators connect the two.</w:t>
      </w:r>
    </w:p>
    <w:p w14:paraId="091191AD" w14:textId="77777777" w:rsidR="00E579F2" w:rsidRDefault="00FC5553">
      <w:pPr>
        <w:pStyle w:val="Heading1"/>
      </w:pPr>
      <w:bookmarkStart w:id="16" w:name="sec14"/>
      <w:r>
        <w:t>14. Worked Example: Workout Progression Chain</w:t>
      </w:r>
      <w:bookmarkEnd w:id="16"/>
    </w:p>
    <w:p w14:paraId="020E5917" w14:textId="77777777" w:rsidR="00E579F2" w:rsidRDefault="00FC5553">
      <w:pPr>
        <w:spacing w:line="274" w:lineRule="auto"/>
        <w:rPr>
          <w:rFonts w:hint="eastAsia"/>
        </w:rPr>
      </w:pPr>
      <w:r>
        <w:rPr>
          <w:sz w:val="21"/>
        </w:rPr>
        <w:t>Self-contained parameterization also applies when the source is another person or object rather than a physical environment. Consider a recurring workout plan that is cloned from a prior pattern and adjusted only when athlete state and performance conditions satisfy an explicit progression Model.</w:t>
      </w:r>
    </w:p>
    <w:p w14:paraId="7B7C8684" w14:textId="77777777" w:rsidR="00E579F2" w:rsidRDefault="00FC5553">
      <w:pPr>
        <w:pStyle w:val="Heading2"/>
      </w:pPr>
      <w:r>
        <w:t>14.1 Objects</w:t>
      </w:r>
    </w:p>
    <w:tbl>
      <w:tblPr>
        <w:tblW w:w="0" w:type="auto"/>
        <w:jc w:val="center"/>
        <w:tblLayout w:type="fixed"/>
        <w:tblLook w:val="04A0" w:firstRow="1" w:lastRow="0" w:firstColumn="1" w:lastColumn="0" w:noHBand="0" w:noVBand="1"/>
      </w:tblPr>
      <w:tblGrid>
        <w:gridCol w:w="2088"/>
        <w:gridCol w:w="2232"/>
        <w:gridCol w:w="5400"/>
      </w:tblGrid>
      <w:tr w:rsidR="00E579F2" w14:paraId="1DB0F992" w14:textId="77777777">
        <w:trPr>
          <w:tblHeader/>
          <w:jc w:val="center"/>
        </w:trPr>
        <w:tc>
          <w:tcPr>
            <w:tcW w:w="2088" w:type="dxa"/>
            <w:tcBorders>
              <w:top w:val="single" w:sz="4" w:space="0" w:color="C9D6DF"/>
              <w:left w:val="single" w:sz="4" w:space="0" w:color="C9D6DF"/>
              <w:bottom w:val="single" w:sz="4" w:space="0" w:color="C9D6DF"/>
              <w:right w:val="single" w:sz="4" w:space="0" w:color="C9D6DF"/>
            </w:tcBorders>
            <w:shd w:val="clear" w:color="auto" w:fill="17324D"/>
            <w:tcMar>
              <w:top w:w="105" w:type="dxa"/>
              <w:left w:w="110" w:type="dxa"/>
              <w:bottom w:w="105" w:type="dxa"/>
              <w:right w:w="110" w:type="dxa"/>
            </w:tcMar>
            <w:vAlign w:val="center"/>
          </w:tcPr>
          <w:p w14:paraId="73417AE0" w14:textId="77777777" w:rsidR="00E579F2" w:rsidRDefault="00FC5553">
            <w:pPr>
              <w:spacing w:after="0"/>
              <w:rPr>
                <w:rFonts w:hint="eastAsia"/>
              </w:rPr>
            </w:pPr>
            <w:r>
              <w:rPr>
                <w:b/>
                <w:color w:val="FFFFFF"/>
                <w:sz w:val="17"/>
              </w:rPr>
              <w:t>Object</w:t>
            </w:r>
          </w:p>
        </w:tc>
        <w:tc>
          <w:tcPr>
            <w:tcW w:w="2232" w:type="dxa"/>
            <w:tcBorders>
              <w:top w:val="single" w:sz="4" w:space="0" w:color="C9D6DF"/>
              <w:left w:val="single" w:sz="4" w:space="0" w:color="C9D6DF"/>
              <w:bottom w:val="single" w:sz="4" w:space="0" w:color="C9D6DF"/>
              <w:right w:val="single" w:sz="4" w:space="0" w:color="C9D6DF"/>
            </w:tcBorders>
            <w:shd w:val="clear" w:color="auto" w:fill="17324D"/>
            <w:tcMar>
              <w:top w:w="105" w:type="dxa"/>
              <w:left w:w="110" w:type="dxa"/>
              <w:bottom w:w="105" w:type="dxa"/>
              <w:right w:w="110" w:type="dxa"/>
            </w:tcMar>
            <w:vAlign w:val="center"/>
          </w:tcPr>
          <w:p w14:paraId="3213DCFC" w14:textId="77777777" w:rsidR="00E579F2" w:rsidRDefault="00FC5553">
            <w:pPr>
              <w:spacing w:after="0"/>
              <w:rPr>
                <w:rFonts w:hint="eastAsia"/>
              </w:rPr>
            </w:pPr>
            <w:r>
              <w:rPr>
                <w:b/>
                <w:color w:val="FFFFFF"/>
                <w:sz w:val="17"/>
              </w:rPr>
              <w:t>SK</w:t>
            </w:r>
          </w:p>
        </w:tc>
        <w:tc>
          <w:tcPr>
            <w:tcW w:w="5400" w:type="dxa"/>
            <w:tcBorders>
              <w:top w:val="single" w:sz="4" w:space="0" w:color="C9D6DF"/>
              <w:left w:val="single" w:sz="4" w:space="0" w:color="C9D6DF"/>
              <w:bottom w:val="single" w:sz="4" w:space="0" w:color="C9D6DF"/>
              <w:right w:val="single" w:sz="4" w:space="0" w:color="C9D6DF"/>
            </w:tcBorders>
            <w:shd w:val="clear" w:color="auto" w:fill="17324D"/>
            <w:tcMar>
              <w:top w:w="105" w:type="dxa"/>
              <w:left w:w="110" w:type="dxa"/>
              <w:bottom w:w="105" w:type="dxa"/>
              <w:right w:w="110" w:type="dxa"/>
            </w:tcMar>
            <w:vAlign w:val="center"/>
          </w:tcPr>
          <w:p w14:paraId="3F1181E5" w14:textId="77777777" w:rsidR="00E579F2" w:rsidRDefault="00FC5553">
            <w:pPr>
              <w:spacing w:after="0"/>
              <w:rPr>
                <w:rFonts w:hint="eastAsia"/>
              </w:rPr>
            </w:pPr>
            <w:r>
              <w:rPr>
                <w:b/>
                <w:color w:val="FFFFFF"/>
                <w:sz w:val="17"/>
              </w:rPr>
              <w:t>Role</w:t>
            </w:r>
          </w:p>
        </w:tc>
      </w:tr>
      <w:tr w:rsidR="00E579F2" w14:paraId="5DD4B703" w14:textId="77777777">
        <w:trPr>
          <w:cantSplit/>
          <w:jc w:val="center"/>
        </w:trPr>
        <w:tc>
          <w:tcPr>
            <w:tcW w:w="2088" w:type="dxa"/>
            <w:tcMar>
              <w:top w:w="95" w:type="dxa"/>
              <w:left w:w="110" w:type="dxa"/>
              <w:bottom w:w="95" w:type="dxa"/>
              <w:right w:w="110" w:type="dxa"/>
            </w:tcMar>
            <w:vAlign w:val="center"/>
          </w:tcPr>
          <w:p w14:paraId="2963258A" w14:textId="77777777" w:rsidR="00E579F2" w:rsidRDefault="00FC5553">
            <w:pPr>
              <w:spacing w:after="0" w:line="252" w:lineRule="auto"/>
              <w:rPr>
                <w:rFonts w:hint="eastAsia"/>
              </w:rPr>
            </w:pPr>
            <w:r>
              <w:rPr>
                <w:sz w:val="17"/>
              </w:rPr>
              <w:t>Athlete</w:t>
            </w:r>
          </w:p>
        </w:tc>
        <w:tc>
          <w:tcPr>
            <w:tcW w:w="2232" w:type="dxa"/>
            <w:tcMar>
              <w:top w:w="95" w:type="dxa"/>
              <w:left w:w="110" w:type="dxa"/>
              <w:bottom w:w="95" w:type="dxa"/>
              <w:right w:w="110" w:type="dxa"/>
            </w:tcMar>
            <w:vAlign w:val="center"/>
          </w:tcPr>
          <w:p w14:paraId="5BA3EE41" w14:textId="77777777" w:rsidR="00E579F2" w:rsidRDefault="00FC5553">
            <w:pPr>
              <w:spacing w:after="0" w:line="252" w:lineRule="auto"/>
              <w:rPr>
                <w:rFonts w:hint="eastAsia"/>
              </w:rPr>
            </w:pPr>
            <w:r>
              <w:rPr>
                <w:sz w:val="17"/>
              </w:rPr>
              <w:t>RECOVERY-128</w:t>
            </w:r>
          </w:p>
        </w:tc>
        <w:tc>
          <w:tcPr>
            <w:tcW w:w="5400" w:type="dxa"/>
            <w:tcMar>
              <w:top w:w="95" w:type="dxa"/>
              <w:left w:w="110" w:type="dxa"/>
              <w:bottom w:w="95" w:type="dxa"/>
              <w:right w:w="110" w:type="dxa"/>
            </w:tcMar>
            <w:vAlign w:val="center"/>
          </w:tcPr>
          <w:p w14:paraId="3AF82CA0" w14:textId="77777777" w:rsidR="00E579F2" w:rsidRDefault="00FC5553">
            <w:pPr>
              <w:spacing w:after="0" w:line="252" w:lineRule="auto"/>
              <w:rPr>
                <w:rFonts w:hint="eastAsia"/>
              </w:rPr>
            </w:pPr>
            <w:r>
              <w:rPr>
                <w:sz w:val="17"/>
              </w:rPr>
              <w:t>Current recovery/readiness semantic state.</w:t>
            </w:r>
          </w:p>
        </w:tc>
      </w:tr>
      <w:tr w:rsidR="00E579F2" w14:paraId="5DE65279" w14:textId="77777777">
        <w:trPr>
          <w:cantSplit/>
          <w:jc w:val="center"/>
        </w:trPr>
        <w:tc>
          <w:tcPr>
            <w:tcW w:w="2088" w:type="dxa"/>
            <w:tcMar>
              <w:top w:w="95" w:type="dxa"/>
              <w:left w:w="110" w:type="dxa"/>
              <w:bottom w:w="95" w:type="dxa"/>
              <w:right w:w="110" w:type="dxa"/>
            </w:tcMar>
            <w:vAlign w:val="center"/>
          </w:tcPr>
          <w:p w14:paraId="447DD378" w14:textId="77777777" w:rsidR="00E579F2" w:rsidRDefault="00FC5553">
            <w:pPr>
              <w:spacing w:after="0" w:line="252" w:lineRule="auto"/>
              <w:rPr>
                <w:rFonts w:hint="eastAsia"/>
              </w:rPr>
            </w:pPr>
            <w:r>
              <w:rPr>
                <w:sz w:val="17"/>
              </w:rPr>
              <w:t>Athlete</w:t>
            </w:r>
          </w:p>
        </w:tc>
        <w:tc>
          <w:tcPr>
            <w:tcW w:w="2232" w:type="dxa"/>
            <w:tcMar>
              <w:top w:w="95" w:type="dxa"/>
              <w:left w:w="110" w:type="dxa"/>
              <w:bottom w:w="95" w:type="dxa"/>
              <w:right w:w="110" w:type="dxa"/>
            </w:tcMar>
            <w:vAlign w:val="center"/>
          </w:tcPr>
          <w:p w14:paraId="2A267338" w14:textId="77777777" w:rsidR="00E579F2" w:rsidRDefault="00FC5553">
            <w:pPr>
              <w:spacing w:after="0" w:line="252" w:lineRule="auto"/>
              <w:rPr>
                <w:rFonts w:hint="eastAsia"/>
              </w:rPr>
            </w:pPr>
            <w:r>
              <w:rPr>
                <w:sz w:val="17"/>
              </w:rPr>
              <w:t>FIT-128</w:t>
            </w:r>
          </w:p>
        </w:tc>
        <w:tc>
          <w:tcPr>
            <w:tcW w:w="5400" w:type="dxa"/>
            <w:tcMar>
              <w:top w:w="95" w:type="dxa"/>
              <w:left w:w="110" w:type="dxa"/>
              <w:bottom w:w="95" w:type="dxa"/>
              <w:right w:w="110" w:type="dxa"/>
            </w:tcMar>
            <w:vAlign w:val="center"/>
          </w:tcPr>
          <w:p w14:paraId="201EEFE8" w14:textId="77777777" w:rsidR="00E579F2" w:rsidRDefault="00FC5553">
            <w:pPr>
              <w:spacing w:after="0" w:line="252" w:lineRule="auto"/>
              <w:rPr>
                <w:rFonts w:hint="eastAsia"/>
              </w:rPr>
            </w:pPr>
            <w:r>
              <w:rPr>
                <w:sz w:val="17"/>
              </w:rPr>
              <w:t>Observed training performance records.</w:t>
            </w:r>
          </w:p>
        </w:tc>
      </w:tr>
      <w:tr w:rsidR="00E579F2" w14:paraId="05620C17" w14:textId="77777777">
        <w:trPr>
          <w:cantSplit/>
          <w:jc w:val="center"/>
        </w:trPr>
        <w:tc>
          <w:tcPr>
            <w:tcW w:w="2088" w:type="dxa"/>
            <w:tcMar>
              <w:top w:w="95" w:type="dxa"/>
              <w:left w:w="110" w:type="dxa"/>
              <w:bottom w:w="95" w:type="dxa"/>
              <w:right w:w="110" w:type="dxa"/>
            </w:tcMar>
            <w:vAlign w:val="center"/>
          </w:tcPr>
          <w:p w14:paraId="67F6D8D3" w14:textId="77777777" w:rsidR="00E579F2" w:rsidRDefault="00FC5553">
            <w:pPr>
              <w:spacing w:after="0" w:line="252" w:lineRule="auto"/>
              <w:rPr>
                <w:rFonts w:hint="eastAsia"/>
              </w:rPr>
            </w:pPr>
            <w:r>
              <w:rPr>
                <w:sz w:val="17"/>
              </w:rPr>
              <w:t>Workout Pattern</w:t>
            </w:r>
          </w:p>
        </w:tc>
        <w:tc>
          <w:tcPr>
            <w:tcW w:w="2232" w:type="dxa"/>
            <w:tcMar>
              <w:top w:w="95" w:type="dxa"/>
              <w:left w:w="110" w:type="dxa"/>
              <w:bottom w:w="95" w:type="dxa"/>
              <w:right w:w="110" w:type="dxa"/>
            </w:tcMar>
            <w:vAlign w:val="center"/>
          </w:tcPr>
          <w:p w14:paraId="03E913F0" w14:textId="77777777" w:rsidR="00E579F2" w:rsidRDefault="00FC5553">
            <w:pPr>
              <w:spacing w:after="0" w:line="252" w:lineRule="auto"/>
              <w:rPr>
                <w:rFonts w:hint="eastAsia"/>
              </w:rPr>
            </w:pPr>
            <w:r>
              <w:rPr>
                <w:sz w:val="17"/>
              </w:rPr>
              <w:t>FIT-256</w:t>
            </w:r>
          </w:p>
        </w:tc>
        <w:tc>
          <w:tcPr>
            <w:tcW w:w="5400" w:type="dxa"/>
            <w:tcMar>
              <w:top w:w="95" w:type="dxa"/>
              <w:left w:w="110" w:type="dxa"/>
              <w:bottom w:w="95" w:type="dxa"/>
              <w:right w:w="110" w:type="dxa"/>
            </w:tcMar>
            <w:vAlign w:val="center"/>
          </w:tcPr>
          <w:p w14:paraId="1FAE8647" w14:textId="77777777" w:rsidR="00E579F2" w:rsidRDefault="00FC5553">
            <w:pPr>
              <w:spacing w:after="0" w:line="252" w:lineRule="auto"/>
              <w:rPr>
                <w:rFonts w:hint="eastAsia"/>
              </w:rPr>
            </w:pPr>
            <w:r>
              <w:rPr>
                <w:sz w:val="17"/>
              </w:rPr>
              <w:t>Base FIT-128 prescription plus ModelKey extension containing progression parameters.</w:t>
            </w:r>
          </w:p>
        </w:tc>
      </w:tr>
      <w:tr w:rsidR="00E579F2" w14:paraId="13C5ED9D" w14:textId="77777777">
        <w:trPr>
          <w:cantSplit/>
          <w:jc w:val="center"/>
        </w:trPr>
        <w:tc>
          <w:tcPr>
            <w:tcW w:w="2088" w:type="dxa"/>
            <w:tcMar>
              <w:top w:w="95" w:type="dxa"/>
              <w:left w:w="110" w:type="dxa"/>
              <w:bottom w:w="95" w:type="dxa"/>
              <w:right w:w="110" w:type="dxa"/>
            </w:tcMar>
            <w:vAlign w:val="center"/>
          </w:tcPr>
          <w:p w14:paraId="1D768DF9" w14:textId="77777777" w:rsidR="00E579F2" w:rsidRDefault="00FC5553">
            <w:pPr>
              <w:spacing w:after="0" w:line="252" w:lineRule="auto"/>
              <w:rPr>
                <w:rFonts w:hint="eastAsia"/>
              </w:rPr>
            </w:pPr>
            <w:r>
              <w:rPr>
                <w:sz w:val="17"/>
              </w:rPr>
              <w:t>Barbell</w:t>
            </w:r>
          </w:p>
        </w:tc>
        <w:tc>
          <w:tcPr>
            <w:tcW w:w="2232" w:type="dxa"/>
            <w:tcMar>
              <w:top w:w="95" w:type="dxa"/>
              <w:left w:w="110" w:type="dxa"/>
              <w:bottom w:w="95" w:type="dxa"/>
              <w:right w:w="110" w:type="dxa"/>
            </w:tcMar>
            <w:vAlign w:val="center"/>
          </w:tcPr>
          <w:p w14:paraId="68314519" w14:textId="77777777" w:rsidR="00E579F2" w:rsidRDefault="00FC5553">
            <w:pPr>
              <w:spacing w:after="0" w:line="252" w:lineRule="auto"/>
              <w:rPr>
                <w:rFonts w:hint="eastAsia"/>
              </w:rPr>
            </w:pPr>
            <w:r>
              <w:rPr>
                <w:sz w:val="17"/>
              </w:rPr>
              <w:t>LOAD-128</w:t>
            </w:r>
          </w:p>
        </w:tc>
        <w:tc>
          <w:tcPr>
            <w:tcW w:w="5400" w:type="dxa"/>
            <w:tcMar>
              <w:top w:w="95" w:type="dxa"/>
              <w:left w:w="110" w:type="dxa"/>
              <w:bottom w:w="95" w:type="dxa"/>
              <w:right w:w="110" w:type="dxa"/>
            </w:tcMar>
            <w:vAlign w:val="center"/>
          </w:tcPr>
          <w:p w14:paraId="4534C066" w14:textId="77777777" w:rsidR="00E579F2" w:rsidRDefault="00FC5553">
            <w:pPr>
              <w:spacing w:after="0" w:line="252" w:lineRule="auto"/>
              <w:rPr>
                <w:rFonts w:hint="eastAsia"/>
              </w:rPr>
            </w:pPr>
            <w:r>
              <w:rPr>
                <w:sz w:val="17"/>
              </w:rPr>
              <w:t>Available load configuration or equipment state.</w:t>
            </w:r>
          </w:p>
        </w:tc>
      </w:tr>
    </w:tbl>
    <w:p w14:paraId="2B394A5F" w14:textId="77777777" w:rsidR="00E579F2" w:rsidRDefault="00E579F2">
      <w:pPr>
        <w:spacing w:after="20"/>
        <w:rPr>
          <w:rFonts w:hint="eastAsia"/>
        </w:rPr>
      </w:pPr>
    </w:p>
    <w:p w14:paraId="4FE6EA0A" w14:textId="77777777" w:rsidR="00E579F2" w:rsidRDefault="00FC5553">
      <w:pPr>
        <w:pStyle w:val="Heading2"/>
      </w:pPr>
      <w:r>
        <w:t>14.2 Progression ModelKey</w:t>
      </w:r>
    </w:p>
    <w:p w14:paraId="68AD5F11" w14:textId="77777777" w:rsidR="00E579F2" w:rsidRDefault="00FC5553">
      <w:pPr>
        <w:spacing w:line="274" w:lineRule="auto"/>
        <w:rPr>
          <w:rFonts w:hint="eastAsia"/>
        </w:rPr>
      </w:pPr>
      <w:r>
        <w:rPr>
          <w:sz w:val="21"/>
        </w:rPr>
        <w:t>The Workout Pattern FIT-256 extension can contain bounded progression parameters such as minimum completion condition, allowed load increment, maximum increment, recovery requirement mode, and other stable values. The exact layout belongs to the FIT-256 specification, not the generic runtime.</w:t>
      </w:r>
    </w:p>
    <w:p w14:paraId="5E24FC6B" w14:textId="77777777" w:rsidR="00E579F2" w:rsidRDefault="00FC5553">
      <w:pPr>
        <w:pStyle w:val="CodeBlock"/>
        <w:pBdr>
          <w:left w:val="single" w:sz="18" w:space="8" w:color="2A7F8E"/>
        </w:pBdr>
        <w:shd w:val="clear" w:color="auto" w:fill="F4F7F9"/>
        <w:spacing w:before="40" w:after="160" w:line="240" w:lineRule="auto"/>
        <w:ind w:left="259" w:right="259"/>
        <w:rPr>
          <w:rFonts w:hint="eastAsia"/>
        </w:rPr>
      </w:pPr>
      <w:r>
        <w:t>Athlete RECOVERY-128: Ready = 1</w:t>
      </w:r>
      <w:r>
        <w:br/>
      </w:r>
      <w:r>
        <w:t xml:space="preserve">        +</w:t>
      </w:r>
      <w:r>
        <w:br/>
      </w:r>
      <w:r>
        <w:t>Previous FIT-128 performance: target condition satisfied</w:t>
      </w:r>
      <w:r>
        <w:br/>
      </w:r>
      <w:r>
        <w:t xml:space="preserve">        +</w:t>
      </w:r>
      <w:r>
        <w:br/>
      </w:r>
      <w:r>
        <w:t>Workout FIT-256 ModelKey: increment = +2.5 kg</w:t>
      </w:r>
      <w:r>
        <w:br/>
      </w:r>
      <w:r>
        <w:t xml:space="preserve">        |</w:t>
      </w:r>
      <w:r>
        <w:br/>
      </w:r>
      <w:r>
        <w:t xml:space="preserve">        v</w:t>
      </w:r>
      <w:r>
        <w:br/>
      </w:r>
      <w:r>
        <w:t>Progression Rule passes</w:t>
      </w:r>
      <w:r>
        <w:br/>
      </w:r>
      <w:r>
        <w:t xml:space="preserve">        |</w:t>
      </w:r>
      <w:r>
        <w:br/>
      </w:r>
      <w:r>
        <w:t xml:space="preserve">        v</w:t>
      </w:r>
      <w:r>
        <w:br/>
      </w:r>
      <w:r>
        <w:t>ADD_LOAD(+2.5 kg)</w:t>
      </w:r>
      <w:r>
        <w:br/>
      </w:r>
      <w:r>
        <w:t xml:space="preserve">        |</w:t>
      </w:r>
      <w:r>
        <w:br/>
      </w:r>
      <w:r>
        <w:t xml:space="preserve">        v</w:t>
      </w:r>
      <w:r>
        <w:br/>
      </w:r>
      <w:r>
        <w:t>Next planned FIT state</w:t>
      </w:r>
    </w:p>
    <w:p w14:paraId="4BF48EA1" w14:textId="77777777" w:rsidR="00E579F2" w:rsidRDefault="00FC5553">
      <w:pPr>
        <w:pStyle w:val="Heading2"/>
      </w:pPr>
      <w:r>
        <w:t>14.3 Clone and actualize</w:t>
      </w:r>
    </w:p>
    <w:p w14:paraId="001096B3" w14:textId="77777777" w:rsidR="00E579F2" w:rsidRDefault="00FC5553">
      <w:pPr>
        <w:spacing w:line="274" w:lineRule="auto"/>
        <w:rPr>
          <w:rFonts w:hint="eastAsia"/>
        </w:rPr>
      </w:pPr>
      <w:r>
        <w:rPr>
          <w:sz w:val="21"/>
        </w:rPr>
        <w:t>The next Workout Instance can be cloned from the prior valid pattern. Operators then modify only the fields that differ. After performance, planned values and observed values remain separate records so CERBERUS can compare intended state, actual state, and the ModelKey conditions that drove the next progression.</w:t>
      </w:r>
    </w:p>
    <w:p w14:paraId="17720D33" w14:textId="77777777" w:rsidR="00E579F2" w:rsidRDefault="00FC5553">
      <w:pPr>
        <w:spacing w:line="274" w:lineRule="auto"/>
        <w:rPr>
          <w:rFonts w:hint="eastAsia"/>
        </w:rPr>
      </w:pPr>
      <w:r>
        <w:rPr>
          <w:sz w:val="21"/>
        </w:rPr>
        <w:t>No AI is required. A button, scheduler, or game controller can invoke the same Operators. The semantic precision resides in the Kernel contracts, ModelKey parameters, Rules, and exact mutation scopes.</w:t>
      </w:r>
    </w:p>
    <w:p w14:paraId="0D710B8A" w14:textId="77777777" w:rsidR="00E579F2" w:rsidRDefault="00FC5553">
      <w:pPr>
        <w:pStyle w:val="Heading1"/>
      </w:pPr>
      <w:bookmarkStart w:id="17" w:name="sec15"/>
      <w:r>
        <w:t>15. Worked Example: Machining-to-Culinary Provenance Chain</w:t>
      </w:r>
      <w:bookmarkEnd w:id="17"/>
    </w:p>
    <w:p w14:paraId="44D45C22" w14:textId="77777777" w:rsidR="00E579F2" w:rsidRDefault="00FC5553">
      <w:pPr>
        <w:spacing w:line="274" w:lineRule="auto"/>
        <w:rPr>
          <w:rFonts w:hint="eastAsia"/>
        </w:rPr>
      </w:pPr>
      <w:r>
        <w:rPr>
          <w:sz w:val="21"/>
        </w:rPr>
        <w:t>Cross-object semantic chaining becomes especially powerful when an object crosses domains. A chef's knife can originate in a machining simulation, retain its material and tool state, and later parameterize cooking Operators in a culinary simulation.</w:t>
      </w:r>
    </w:p>
    <w:p w14:paraId="21DF5213" w14:textId="77777777" w:rsidR="00E579F2" w:rsidRDefault="00FC5553">
      <w:pPr>
        <w:pStyle w:val="CodeBlock"/>
        <w:pBdr>
          <w:left w:val="single" w:sz="18" w:space="8" w:color="2A7F8E"/>
        </w:pBdr>
        <w:shd w:val="clear" w:color="auto" w:fill="F4F7F9"/>
        <w:spacing w:before="40" w:after="160" w:line="240" w:lineRule="auto"/>
        <w:ind w:left="259" w:right="259"/>
        <w:rPr>
          <w:rFonts w:hint="eastAsia"/>
        </w:rPr>
      </w:pPr>
      <w:r>
        <w:t>FURNACE Object / THERMAL-128</w:t>
      </w:r>
      <w:r>
        <w:br/>
      </w:r>
      <w:r>
        <w:t xml:space="preserve">        |</w:t>
      </w:r>
      <w:r>
        <w:br/>
      </w:r>
      <w:r>
        <w:t xml:space="preserve">        v</w:t>
      </w:r>
      <w:r>
        <w:br/>
      </w:r>
      <w:r>
        <w:t>WORKPIECE Object / MATERIAL-256</w:t>
      </w:r>
      <w:r>
        <w:br/>
      </w:r>
      <w:r>
        <w:t>local heat-treatment thresholds</w:t>
      </w:r>
      <w:r>
        <w:br/>
      </w:r>
      <w:r>
        <w:t xml:space="preserve">        | Rule + Operator</w:t>
      </w:r>
      <w:r>
        <w:br/>
      </w:r>
      <w:r>
        <w:t xml:space="preserve">        v</w:t>
      </w:r>
      <w:r>
        <w:br/>
      </w:r>
      <w:r>
        <w:t>material bitstate changes</w:t>
      </w:r>
      <w:r>
        <w:br/>
      </w:r>
      <w:r>
        <w:t xml:space="preserve">        |</w:t>
      </w:r>
      <w:r>
        <w:br/>
      </w:r>
      <w:r>
        <w:t xml:space="preserve">        v</w:t>
      </w:r>
      <w:r>
        <w:br/>
      </w:r>
      <w:r>
        <w:t>KNIFE Object / TOOL-128</w:t>
      </w:r>
      <w:r>
        <w:br/>
      </w:r>
      <w:r>
        <w:t>geometry + sharpness + edge state</w:t>
      </w:r>
      <w:r>
        <w:br/>
      </w:r>
      <w:r>
        <w:t xml:space="preserve">        |</w:t>
      </w:r>
      <w:r>
        <w:br/>
      </w:r>
      <w:r>
        <w:t xml:space="preserve">        v</w:t>
      </w:r>
      <w:r>
        <w:br/>
      </w:r>
      <w:r>
        <w:t>CULINARY WORLD</w:t>
      </w:r>
      <w:r>
        <w:br/>
      </w:r>
      <w:r>
        <w:t>COOKING Operator reads Knife TOOL state</w:t>
      </w:r>
      <w:r>
        <w:br/>
      </w:r>
      <w:r>
        <w:t xml:space="preserve">        |</w:t>
      </w:r>
      <w:r>
        <w:br/>
      </w:r>
      <w:r>
        <w:t xml:space="preserve">        v</w:t>
      </w:r>
      <w:r>
        <w:br/>
      </w:r>
      <w:r>
        <w:t>cut efficiency / allowable technique / timing Model</w:t>
      </w:r>
      <w:r>
        <w:br/>
      </w:r>
      <w:r>
        <w:t xml:space="preserve">        |</w:t>
      </w:r>
      <w:r>
        <w:br/>
      </w:r>
      <w:r>
        <w:t xml:space="preserve">        v</w:t>
      </w:r>
      <w:r>
        <w:br/>
      </w:r>
      <w:r>
        <w:t>Food COOKING bitstate changes</w:t>
      </w:r>
    </w:p>
    <w:p w14:paraId="0F5C5C60" w14:textId="77777777" w:rsidR="00E579F2" w:rsidRDefault="00FC5553">
      <w:pPr>
        <w:pStyle w:val="Heading2"/>
      </w:pPr>
      <w:r>
        <w:t>15.1 Domain handoff</w:t>
      </w:r>
    </w:p>
    <w:p w14:paraId="65508E90" w14:textId="77777777" w:rsidR="00E579F2" w:rsidRDefault="00FC5553">
      <w:pPr>
        <w:spacing w:line="274" w:lineRule="auto"/>
        <w:rPr>
          <w:rFonts w:hint="eastAsia"/>
        </w:rPr>
      </w:pPr>
      <w:r>
        <w:rPr>
          <w:sz w:val="21"/>
        </w:rPr>
        <w:t>The machining world does not need to know how a culinary recipe works. It only needs to emit a valid Knife object carrying recognized semantic facets. The culinary world does not need to simulate steel fabrication. It consumes the Tool and Material semantics relevant to its own Models.</w:t>
      </w:r>
    </w:p>
    <w:p w14:paraId="5E7A1349" w14:textId="77777777" w:rsidR="00E579F2" w:rsidRDefault="00FC5553">
      <w:pPr>
        <w:pStyle w:val="Heading2"/>
      </w:pPr>
      <w:r>
        <w:t>15.2 Provenance as a semantic bridge</w:t>
      </w:r>
    </w:p>
    <w:p w14:paraId="0C42C3B8" w14:textId="77777777" w:rsidR="00E579F2" w:rsidRDefault="00FC5553">
      <w:pPr>
        <w:spacing w:line="274" w:lineRule="auto"/>
        <w:rPr>
          <w:rFonts w:hint="eastAsia"/>
        </w:rPr>
      </w:pPr>
      <w:r>
        <w:rPr>
          <w:sz w:val="21"/>
        </w:rPr>
        <w:t>Because the Knife retains lineage to the workpiece, furnace, Operators, Rules, and ModelKeys that created it, a user can move backward from culinary behavior to manufacturing cause. This is compatible-world interoperability through shared semantic facets rather than application-specific integration.</w:t>
      </w:r>
    </w:p>
    <w:p w14:paraId="785B2868" w14:textId="77777777" w:rsidR="00E579F2" w:rsidRDefault="00FC5553">
      <w:pPr>
        <w:pStyle w:val="Heading1"/>
      </w:pPr>
      <w:bookmarkStart w:id="18" w:name="sec16"/>
      <w:r>
        <w:t>16. Chaining, Bitlinks, and Translation</w:t>
      </w:r>
      <w:bookmarkEnd w:id="18"/>
    </w:p>
    <w:p w14:paraId="5C2A1152" w14:textId="77777777" w:rsidR="00E579F2" w:rsidRDefault="00FC5553">
      <w:pPr>
        <w:spacing w:line="274" w:lineRule="auto"/>
        <w:rPr>
          <w:rFonts w:hint="eastAsia"/>
        </w:rPr>
      </w:pPr>
      <w:r>
        <w:rPr>
          <w:sz w:val="21"/>
        </w:rPr>
        <w:t>Bitlinks are declared dependencies between semantic state changes and downstream interpretations, triggers, or target Kernels. Translation systems extend Bitlinking across Kernel languages by mapping one stable semantic address or value to another. Together they allow chains to cross domains without requiring every Kernel to share a single layout.</w:t>
      </w:r>
    </w:p>
    <w:p w14:paraId="54E75413" w14:textId="77777777" w:rsidR="00E579F2" w:rsidRDefault="00FC5553">
      <w:pPr>
        <w:pStyle w:val="Heading2"/>
      </w:pPr>
      <w:r>
        <w:t>16.1 Direct Bitlink</w:t>
      </w:r>
    </w:p>
    <w:p w14:paraId="49913C36" w14:textId="77777777" w:rsidR="00E579F2" w:rsidRDefault="00FC5553">
      <w:pPr>
        <w:spacing w:line="274" w:lineRule="auto"/>
        <w:rPr>
          <w:rFonts w:hint="eastAsia"/>
        </w:rPr>
      </w:pPr>
      <w:r>
        <w:rPr>
          <w:sz w:val="21"/>
        </w:rPr>
        <w:t>A direct Bitlink is appropriate when the source and target agree on a semantic contract. Example: COOKING-256:Browned entering may trigger a registered visual state or invoke a FOOD Model update.</w:t>
      </w:r>
    </w:p>
    <w:p w14:paraId="63BFBF41" w14:textId="77777777" w:rsidR="00E579F2" w:rsidRDefault="00FC5553">
      <w:pPr>
        <w:pStyle w:val="Heading2"/>
      </w:pPr>
      <w:r>
        <w:t>16.2 Kernel translation</w:t>
      </w:r>
    </w:p>
    <w:p w14:paraId="4E190012" w14:textId="77777777" w:rsidR="00E579F2" w:rsidRDefault="00FC5553">
      <w:pPr>
        <w:spacing w:line="274" w:lineRule="auto"/>
        <w:rPr>
          <w:rFonts w:hint="eastAsia"/>
        </w:rPr>
      </w:pPr>
      <w:r>
        <w:rPr>
          <w:sz w:val="21"/>
        </w:rPr>
        <w:t>A translation is required when the target consumes a different representation. The translation record SHOULD declare source Kernel/version, target Kernel/version, mapped addresses, transform, units, loss class, validity domain, and provenance.</w:t>
      </w:r>
    </w:p>
    <w:tbl>
      <w:tblPr>
        <w:tblW w:w="0" w:type="auto"/>
        <w:jc w:val="center"/>
        <w:tblLayout w:type="fixed"/>
        <w:tblLook w:val="04A0" w:firstRow="1" w:lastRow="0" w:firstColumn="1" w:lastColumn="0" w:noHBand="0" w:noVBand="1"/>
      </w:tblPr>
      <w:tblGrid>
        <w:gridCol w:w="2304"/>
        <w:gridCol w:w="7416"/>
      </w:tblGrid>
      <w:tr w:rsidR="00E579F2" w14:paraId="354C3F13" w14:textId="77777777">
        <w:trPr>
          <w:tblHeader/>
          <w:jc w:val="center"/>
        </w:trPr>
        <w:tc>
          <w:tcPr>
            <w:tcW w:w="2304" w:type="dxa"/>
            <w:tcBorders>
              <w:top w:val="single" w:sz="4" w:space="0" w:color="C9D6DF"/>
              <w:left w:val="single" w:sz="4" w:space="0" w:color="C9D6DF"/>
              <w:bottom w:val="single" w:sz="4" w:space="0" w:color="C9D6DF"/>
              <w:right w:val="single" w:sz="4" w:space="0" w:color="C9D6DF"/>
            </w:tcBorders>
            <w:shd w:val="clear" w:color="auto" w:fill="17324D"/>
            <w:tcMar>
              <w:top w:w="105" w:type="dxa"/>
              <w:left w:w="110" w:type="dxa"/>
              <w:bottom w:w="105" w:type="dxa"/>
              <w:right w:w="110" w:type="dxa"/>
            </w:tcMar>
            <w:vAlign w:val="center"/>
          </w:tcPr>
          <w:p w14:paraId="30249C1D" w14:textId="77777777" w:rsidR="00E579F2" w:rsidRDefault="00FC5553">
            <w:pPr>
              <w:spacing w:after="0"/>
              <w:rPr>
                <w:rFonts w:hint="eastAsia"/>
              </w:rPr>
            </w:pPr>
            <w:r>
              <w:rPr>
                <w:b/>
                <w:color w:val="FFFFFF"/>
                <w:sz w:val="17"/>
              </w:rPr>
              <w:t>Translation class</w:t>
            </w:r>
          </w:p>
        </w:tc>
        <w:tc>
          <w:tcPr>
            <w:tcW w:w="7416" w:type="dxa"/>
            <w:tcBorders>
              <w:top w:val="single" w:sz="4" w:space="0" w:color="C9D6DF"/>
              <w:left w:val="single" w:sz="4" w:space="0" w:color="C9D6DF"/>
              <w:bottom w:val="single" w:sz="4" w:space="0" w:color="C9D6DF"/>
              <w:right w:val="single" w:sz="4" w:space="0" w:color="C9D6DF"/>
            </w:tcBorders>
            <w:shd w:val="clear" w:color="auto" w:fill="17324D"/>
            <w:tcMar>
              <w:top w:w="105" w:type="dxa"/>
              <w:left w:w="110" w:type="dxa"/>
              <w:bottom w:w="105" w:type="dxa"/>
              <w:right w:w="110" w:type="dxa"/>
            </w:tcMar>
            <w:vAlign w:val="center"/>
          </w:tcPr>
          <w:p w14:paraId="0785DBC1" w14:textId="77777777" w:rsidR="00E579F2" w:rsidRDefault="00FC5553">
            <w:pPr>
              <w:spacing w:after="0"/>
              <w:rPr>
                <w:rFonts w:hint="eastAsia"/>
              </w:rPr>
            </w:pPr>
            <w:r>
              <w:rPr>
                <w:b/>
                <w:color w:val="FFFFFF"/>
                <w:sz w:val="17"/>
              </w:rPr>
              <w:t>Meaning</w:t>
            </w:r>
          </w:p>
        </w:tc>
      </w:tr>
      <w:tr w:rsidR="00E579F2" w14:paraId="351A0929" w14:textId="77777777">
        <w:trPr>
          <w:cantSplit/>
          <w:jc w:val="center"/>
        </w:trPr>
        <w:tc>
          <w:tcPr>
            <w:tcW w:w="2304" w:type="dxa"/>
            <w:tcMar>
              <w:top w:w="95" w:type="dxa"/>
              <w:left w:w="110" w:type="dxa"/>
              <w:bottom w:w="95" w:type="dxa"/>
              <w:right w:w="110" w:type="dxa"/>
            </w:tcMar>
            <w:vAlign w:val="center"/>
          </w:tcPr>
          <w:p w14:paraId="491C8C13" w14:textId="77777777" w:rsidR="00E579F2" w:rsidRDefault="00FC5553">
            <w:pPr>
              <w:spacing w:after="0" w:line="252" w:lineRule="auto"/>
              <w:rPr>
                <w:rFonts w:hint="eastAsia"/>
              </w:rPr>
            </w:pPr>
            <w:r>
              <w:rPr>
                <w:sz w:val="17"/>
              </w:rPr>
              <w:t>Lossless</w:t>
            </w:r>
          </w:p>
        </w:tc>
        <w:tc>
          <w:tcPr>
            <w:tcW w:w="7416" w:type="dxa"/>
            <w:tcMar>
              <w:top w:w="95" w:type="dxa"/>
              <w:left w:w="110" w:type="dxa"/>
              <w:bottom w:w="95" w:type="dxa"/>
              <w:right w:w="110" w:type="dxa"/>
            </w:tcMar>
            <w:vAlign w:val="center"/>
          </w:tcPr>
          <w:p w14:paraId="67369C60" w14:textId="77777777" w:rsidR="00E579F2" w:rsidRDefault="00FC5553">
            <w:pPr>
              <w:spacing w:after="0" w:line="252" w:lineRule="auto"/>
              <w:rPr>
                <w:rFonts w:hint="eastAsia"/>
              </w:rPr>
            </w:pPr>
            <w:r>
              <w:rPr>
                <w:sz w:val="17"/>
              </w:rPr>
              <w:t>Target preserves all meaning required by the mapped source semantics.</w:t>
            </w:r>
          </w:p>
        </w:tc>
      </w:tr>
      <w:tr w:rsidR="00E579F2" w14:paraId="146666FA" w14:textId="77777777">
        <w:trPr>
          <w:cantSplit/>
          <w:jc w:val="center"/>
        </w:trPr>
        <w:tc>
          <w:tcPr>
            <w:tcW w:w="2304" w:type="dxa"/>
            <w:tcMar>
              <w:top w:w="95" w:type="dxa"/>
              <w:left w:w="110" w:type="dxa"/>
              <w:bottom w:w="95" w:type="dxa"/>
              <w:right w:w="110" w:type="dxa"/>
            </w:tcMar>
            <w:vAlign w:val="center"/>
          </w:tcPr>
          <w:p w14:paraId="42DE2E28" w14:textId="77777777" w:rsidR="00E579F2" w:rsidRDefault="00FC5553">
            <w:pPr>
              <w:spacing w:after="0" w:line="252" w:lineRule="auto"/>
              <w:rPr>
                <w:rFonts w:hint="eastAsia"/>
              </w:rPr>
            </w:pPr>
            <w:r>
              <w:rPr>
                <w:sz w:val="17"/>
              </w:rPr>
              <w:t>Lossy</w:t>
            </w:r>
          </w:p>
        </w:tc>
        <w:tc>
          <w:tcPr>
            <w:tcW w:w="7416" w:type="dxa"/>
            <w:tcMar>
              <w:top w:w="95" w:type="dxa"/>
              <w:left w:w="110" w:type="dxa"/>
              <w:bottom w:w="95" w:type="dxa"/>
              <w:right w:w="110" w:type="dxa"/>
            </w:tcMar>
            <w:vAlign w:val="center"/>
          </w:tcPr>
          <w:p w14:paraId="609D7A37" w14:textId="77777777" w:rsidR="00E579F2" w:rsidRDefault="00FC5553">
            <w:pPr>
              <w:spacing w:after="0" w:line="252" w:lineRule="auto"/>
              <w:rPr>
                <w:rFonts w:hint="eastAsia"/>
              </w:rPr>
            </w:pPr>
            <w:r>
              <w:rPr>
                <w:sz w:val="17"/>
              </w:rPr>
              <w:t>Some source distinction is intentionally collapsed.</w:t>
            </w:r>
          </w:p>
        </w:tc>
      </w:tr>
      <w:tr w:rsidR="00E579F2" w14:paraId="519B74FF" w14:textId="77777777">
        <w:trPr>
          <w:cantSplit/>
          <w:jc w:val="center"/>
        </w:trPr>
        <w:tc>
          <w:tcPr>
            <w:tcW w:w="2304" w:type="dxa"/>
            <w:tcMar>
              <w:top w:w="95" w:type="dxa"/>
              <w:left w:w="110" w:type="dxa"/>
              <w:bottom w:w="95" w:type="dxa"/>
              <w:right w:w="110" w:type="dxa"/>
            </w:tcMar>
            <w:vAlign w:val="center"/>
          </w:tcPr>
          <w:p w14:paraId="378933E0" w14:textId="77777777" w:rsidR="00E579F2" w:rsidRDefault="00FC5553">
            <w:pPr>
              <w:spacing w:after="0" w:line="252" w:lineRule="auto"/>
              <w:rPr>
                <w:rFonts w:hint="eastAsia"/>
              </w:rPr>
            </w:pPr>
            <w:r>
              <w:rPr>
                <w:sz w:val="17"/>
              </w:rPr>
              <w:t>Partial</w:t>
            </w:r>
          </w:p>
        </w:tc>
        <w:tc>
          <w:tcPr>
            <w:tcW w:w="7416" w:type="dxa"/>
            <w:tcMar>
              <w:top w:w="95" w:type="dxa"/>
              <w:left w:w="110" w:type="dxa"/>
              <w:bottom w:w="95" w:type="dxa"/>
              <w:right w:w="110" w:type="dxa"/>
            </w:tcMar>
            <w:vAlign w:val="center"/>
          </w:tcPr>
          <w:p w14:paraId="2597F4EA" w14:textId="77777777" w:rsidR="00E579F2" w:rsidRDefault="00FC5553">
            <w:pPr>
              <w:spacing w:after="0" w:line="252" w:lineRule="auto"/>
              <w:rPr>
                <w:rFonts w:hint="eastAsia"/>
              </w:rPr>
            </w:pPr>
            <w:r>
              <w:rPr>
                <w:sz w:val="17"/>
              </w:rPr>
              <w:t>Only a declared subset of source states can be represented.</w:t>
            </w:r>
          </w:p>
        </w:tc>
      </w:tr>
      <w:tr w:rsidR="00E579F2" w14:paraId="6CD377E2" w14:textId="77777777">
        <w:trPr>
          <w:cantSplit/>
          <w:jc w:val="center"/>
        </w:trPr>
        <w:tc>
          <w:tcPr>
            <w:tcW w:w="2304" w:type="dxa"/>
            <w:tcMar>
              <w:top w:w="95" w:type="dxa"/>
              <w:left w:w="110" w:type="dxa"/>
              <w:bottom w:w="95" w:type="dxa"/>
              <w:right w:w="110" w:type="dxa"/>
            </w:tcMar>
            <w:vAlign w:val="center"/>
          </w:tcPr>
          <w:p w14:paraId="53E4391F" w14:textId="77777777" w:rsidR="00E579F2" w:rsidRDefault="00FC5553">
            <w:pPr>
              <w:spacing w:after="0" w:line="252" w:lineRule="auto"/>
              <w:rPr>
                <w:rFonts w:hint="eastAsia"/>
              </w:rPr>
            </w:pPr>
            <w:r>
              <w:rPr>
                <w:sz w:val="17"/>
              </w:rPr>
              <w:t>Conditional</w:t>
            </w:r>
          </w:p>
        </w:tc>
        <w:tc>
          <w:tcPr>
            <w:tcW w:w="7416" w:type="dxa"/>
            <w:tcMar>
              <w:top w:w="95" w:type="dxa"/>
              <w:left w:w="110" w:type="dxa"/>
              <w:bottom w:w="95" w:type="dxa"/>
              <w:right w:w="110" w:type="dxa"/>
            </w:tcMar>
            <w:vAlign w:val="center"/>
          </w:tcPr>
          <w:p w14:paraId="757035F9" w14:textId="77777777" w:rsidR="00E579F2" w:rsidRDefault="00FC5553">
            <w:pPr>
              <w:spacing w:after="0" w:line="252" w:lineRule="auto"/>
              <w:rPr>
                <w:rFonts w:hint="eastAsia"/>
              </w:rPr>
            </w:pPr>
            <w:r>
              <w:rPr>
                <w:sz w:val="17"/>
              </w:rPr>
              <w:t>Translation is valid only under specified Model, Rule, or classification conditions.</w:t>
            </w:r>
          </w:p>
        </w:tc>
      </w:tr>
      <w:tr w:rsidR="00E579F2" w14:paraId="3A239FE9" w14:textId="77777777">
        <w:trPr>
          <w:cantSplit/>
          <w:jc w:val="center"/>
        </w:trPr>
        <w:tc>
          <w:tcPr>
            <w:tcW w:w="2304" w:type="dxa"/>
            <w:tcMar>
              <w:top w:w="95" w:type="dxa"/>
              <w:left w:w="110" w:type="dxa"/>
              <w:bottom w:w="95" w:type="dxa"/>
              <w:right w:w="110" w:type="dxa"/>
            </w:tcMar>
            <w:vAlign w:val="center"/>
          </w:tcPr>
          <w:p w14:paraId="07AAFEA2" w14:textId="77777777" w:rsidR="00E579F2" w:rsidRDefault="00FC5553">
            <w:pPr>
              <w:spacing w:after="0" w:line="252" w:lineRule="auto"/>
              <w:rPr>
                <w:rFonts w:hint="eastAsia"/>
              </w:rPr>
            </w:pPr>
            <w:r>
              <w:rPr>
                <w:sz w:val="17"/>
              </w:rPr>
              <w:t>No valid translation</w:t>
            </w:r>
          </w:p>
        </w:tc>
        <w:tc>
          <w:tcPr>
            <w:tcW w:w="7416" w:type="dxa"/>
            <w:tcMar>
              <w:top w:w="95" w:type="dxa"/>
              <w:left w:w="110" w:type="dxa"/>
              <w:bottom w:w="95" w:type="dxa"/>
              <w:right w:w="110" w:type="dxa"/>
            </w:tcMar>
            <w:vAlign w:val="center"/>
          </w:tcPr>
          <w:p w14:paraId="45F7451F" w14:textId="77777777" w:rsidR="00E579F2" w:rsidRDefault="00FC5553">
            <w:pPr>
              <w:spacing w:after="0" w:line="252" w:lineRule="auto"/>
              <w:rPr>
                <w:rFonts w:hint="eastAsia"/>
              </w:rPr>
            </w:pPr>
            <w:r>
              <w:rPr>
                <w:sz w:val="17"/>
              </w:rPr>
              <w:t>Systems MUST NOT invent a mapping where semantics do not correspond.</w:t>
            </w:r>
          </w:p>
        </w:tc>
      </w:tr>
    </w:tbl>
    <w:p w14:paraId="03BA8BD5" w14:textId="77777777" w:rsidR="00E579F2" w:rsidRDefault="00E579F2">
      <w:pPr>
        <w:spacing w:after="20"/>
        <w:rPr>
          <w:rFonts w:hint="eastAsia"/>
        </w:rPr>
      </w:pPr>
    </w:p>
    <w:p w14:paraId="26932A38" w14:textId="77777777" w:rsidR="00E579F2" w:rsidRDefault="00FC5553">
      <w:pPr>
        <w:pStyle w:val="Heading2"/>
      </w:pPr>
      <w:r>
        <w:t>16.3 Dependency graph</w:t>
      </w:r>
    </w:p>
    <w:p w14:paraId="76C776E3" w14:textId="77777777" w:rsidR="00E579F2" w:rsidRDefault="00FC5553">
      <w:pPr>
        <w:spacing w:line="274" w:lineRule="auto"/>
        <w:rPr>
          <w:rFonts w:hint="eastAsia"/>
        </w:rPr>
      </w:pPr>
      <w:r>
        <w:rPr>
          <w:sz w:val="21"/>
        </w:rPr>
        <w:t>A runtime MAY compile Bitlinks and translations into a dependency graph so that a source delta can rapidly locate affected targets. The graph is an execution index, not the source of semantic truth; canonical meanings remain in the Kernel, Model, Rule, and translation registries.</w:t>
      </w:r>
    </w:p>
    <w:p w14:paraId="5D28ECC8" w14:textId="77777777" w:rsidR="00E579F2" w:rsidRDefault="00FC5553">
      <w:pPr>
        <w:pStyle w:val="Heading1"/>
      </w:pPr>
      <w:bookmarkStart w:id="19" w:name="sec17"/>
      <w:r>
        <w:t>17. Provenance, Time, and Replay</w:t>
      </w:r>
      <w:bookmarkEnd w:id="19"/>
    </w:p>
    <w:p w14:paraId="06109A56" w14:textId="77777777" w:rsidR="00E579F2" w:rsidRDefault="00FC5553">
      <w:pPr>
        <w:spacing w:line="274" w:lineRule="auto"/>
        <w:rPr>
          <w:rFonts w:hint="eastAsia"/>
        </w:rPr>
      </w:pPr>
      <w:r>
        <w:rPr>
          <w:sz w:val="21"/>
        </w:rPr>
        <w:t>Every committed state transition SHOULD be reproducible from its inputs. The Transition Event is therefore a first-class record containing target object, Kernel, version, before word, after word, Operator, Ruleset, source event or source state, ModelKey version, parameter values used, translation identity if any, and TIME-128 coordinates.</w:t>
      </w:r>
    </w:p>
    <w:tbl>
      <w:tblPr>
        <w:tblW w:w="0" w:type="auto"/>
        <w:jc w:val="center"/>
        <w:tblLayout w:type="fixed"/>
        <w:tblLook w:val="04A0" w:firstRow="1" w:lastRow="0" w:firstColumn="1" w:lastColumn="0" w:noHBand="0" w:noVBand="1"/>
      </w:tblPr>
      <w:tblGrid>
        <w:gridCol w:w="2592"/>
        <w:gridCol w:w="7128"/>
      </w:tblGrid>
      <w:tr w:rsidR="00E579F2" w14:paraId="5399BC1E" w14:textId="77777777">
        <w:trPr>
          <w:tblHeader/>
          <w:jc w:val="center"/>
        </w:trPr>
        <w:tc>
          <w:tcPr>
            <w:tcW w:w="2592" w:type="dxa"/>
            <w:tcBorders>
              <w:top w:val="single" w:sz="4" w:space="0" w:color="C9D6DF"/>
              <w:left w:val="single" w:sz="4" w:space="0" w:color="C9D6DF"/>
              <w:bottom w:val="single" w:sz="4" w:space="0" w:color="C9D6DF"/>
              <w:right w:val="single" w:sz="4" w:space="0" w:color="C9D6DF"/>
            </w:tcBorders>
            <w:shd w:val="clear" w:color="auto" w:fill="17324D"/>
            <w:tcMar>
              <w:top w:w="105" w:type="dxa"/>
              <w:left w:w="110" w:type="dxa"/>
              <w:bottom w:w="105" w:type="dxa"/>
              <w:right w:w="110" w:type="dxa"/>
            </w:tcMar>
            <w:vAlign w:val="center"/>
          </w:tcPr>
          <w:p w14:paraId="45FD9B60" w14:textId="77777777" w:rsidR="00E579F2" w:rsidRDefault="00FC5553">
            <w:pPr>
              <w:spacing w:after="0"/>
              <w:rPr>
                <w:rFonts w:hint="eastAsia"/>
              </w:rPr>
            </w:pPr>
            <w:r>
              <w:rPr>
                <w:b/>
                <w:color w:val="FFFFFF"/>
                <w:sz w:val="16"/>
              </w:rPr>
              <w:t>Field</w:t>
            </w:r>
          </w:p>
        </w:tc>
        <w:tc>
          <w:tcPr>
            <w:tcW w:w="7128" w:type="dxa"/>
            <w:tcBorders>
              <w:top w:val="single" w:sz="4" w:space="0" w:color="C9D6DF"/>
              <w:left w:val="single" w:sz="4" w:space="0" w:color="C9D6DF"/>
              <w:bottom w:val="single" w:sz="4" w:space="0" w:color="C9D6DF"/>
              <w:right w:val="single" w:sz="4" w:space="0" w:color="C9D6DF"/>
            </w:tcBorders>
            <w:shd w:val="clear" w:color="auto" w:fill="17324D"/>
            <w:tcMar>
              <w:top w:w="105" w:type="dxa"/>
              <w:left w:w="110" w:type="dxa"/>
              <w:bottom w:w="105" w:type="dxa"/>
              <w:right w:w="110" w:type="dxa"/>
            </w:tcMar>
            <w:vAlign w:val="center"/>
          </w:tcPr>
          <w:p w14:paraId="2D3E8C51" w14:textId="77777777" w:rsidR="00E579F2" w:rsidRDefault="00FC5553">
            <w:pPr>
              <w:spacing w:after="0"/>
              <w:rPr>
                <w:rFonts w:hint="eastAsia"/>
              </w:rPr>
            </w:pPr>
            <w:r>
              <w:rPr>
                <w:b/>
                <w:color w:val="FFFFFF"/>
                <w:sz w:val="16"/>
              </w:rPr>
              <w:t>Purpose</w:t>
            </w:r>
          </w:p>
        </w:tc>
      </w:tr>
      <w:tr w:rsidR="00E579F2" w14:paraId="6A01BB0D" w14:textId="77777777">
        <w:trPr>
          <w:cantSplit/>
          <w:jc w:val="center"/>
        </w:trPr>
        <w:tc>
          <w:tcPr>
            <w:tcW w:w="2592" w:type="dxa"/>
            <w:tcMar>
              <w:top w:w="95" w:type="dxa"/>
              <w:left w:w="110" w:type="dxa"/>
              <w:bottom w:w="95" w:type="dxa"/>
              <w:right w:w="110" w:type="dxa"/>
            </w:tcMar>
            <w:vAlign w:val="center"/>
          </w:tcPr>
          <w:p w14:paraId="4BD2A9AF" w14:textId="77777777" w:rsidR="00E579F2" w:rsidRDefault="00FC5553">
            <w:pPr>
              <w:spacing w:after="0" w:line="252" w:lineRule="auto"/>
              <w:rPr>
                <w:rFonts w:hint="eastAsia"/>
              </w:rPr>
            </w:pPr>
            <w:r>
              <w:rPr>
                <w:sz w:val="16"/>
              </w:rPr>
              <w:t>Event ID</w:t>
            </w:r>
          </w:p>
        </w:tc>
        <w:tc>
          <w:tcPr>
            <w:tcW w:w="7128" w:type="dxa"/>
            <w:tcMar>
              <w:top w:w="95" w:type="dxa"/>
              <w:left w:w="110" w:type="dxa"/>
              <w:bottom w:w="95" w:type="dxa"/>
              <w:right w:w="110" w:type="dxa"/>
            </w:tcMar>
            <w:vAlign w:val="center"/>
          </w:tcPr>
          <w:p w14:paraId="6BC46FCB" w14:textId="77777777" w:rsidR="00E579F2" w:rsidRDefault="00FC5553">
            <w:pPr>
              <w:spacing w:after="0" w:line="252" w:lineRule="auto"/>
              <w:rPr>
                <w:rFonts w:hint="eastAsia"/>
              </w:rPr>
            </w:pPr>
            <w:r>
              <w:rPr>
                <w:sz w:val="16"/>
              </w:rPr>
              <w:t>Stable identity for deduplication, lineage, and replay.</w:t>
            </w:r>
          </w:p>
        </w:tc>
      </w:tr>
      <w:tr w:rsidR="00E579F2" w14:paraId="4E72EDB1" w14:textId="77777777">
        <w:trPr>
          <w:cantSplit/>
          <w:jc w:val="center"/>
        </w:trPr>
        <w:tc>
          <w:tcPr>
            <w:tcW w:w="2592" w:type="dxa"/>
            <w:tcMar>
              <w:top w:w="95" w:type="dxa"/>
              <w:left w:w="110" w:type="dxa"/>
              <w:bottom w:w="95" w:type="dxa"/>
              <w:right w:w="110" w:type="dxa"/>
            </w:tcMar>
            <w:vAlign w:val="center"/>
          </w:tcPr>
          <w:p w14:paraId="5F71C8BF" w14:textId="77777777" w:rsidR="00E579F2" w:rsidRDefault="00FC5553">
            <w:pPr>
              <w:spacing w:after="0" w:line="252" w:lineRule="auto"/>
              <w:rPr>
                <w:rFonts w:hint="eastAsia"/>
              </w:rPr>
            </w:pPr>
            <w:r>
              <w:rPr>
                <w:sz w:val="16"/>
              </w:rPr>
              <w:t>Target Object</w:t>
            </w:r>
          </w:p>
        </w:tc>
        <w:tc>
          <w:tcPr>
            <w:tcW w:w="7128" w:type="dxa"/>
            <w:tcMar>
              <w:top w:w="95" w:type="dxa"/>
              <w:left w:w="110" w:type="dxa"/>
              <w:bottom w:w="95" w:type="dxa"/>
              <w:right w:w="110" w:type="dxa"/>
            </w:tcMar>
            <w:vAlign w:val="center"/>
          </w:tcPr>
          <w:p w14:paraId="2B2F3E39" w14:textId="77777777" w:rsidR="00E579F2" w:rsidRDefault="00FC5553">
            <w:pPr>
              <w:spacing w:after="0" w:line="252" w:lineRule="auto"/>
              <w:rPr>
                <w:rFonts w:hint="eastAsia"/>
              </w:rPr>
            </w:pPr>
            <w:r>
              <w:rPr>
                <w:sz w:val="16"/>
              </w:rPr>
              <w:t>Object whose state changed.</w:t>
            </w:r>
          </w:p>
        </w:tc>
      </w:tr>
      <w:tr w:rsidR="00E579F2" w14:paraId="119258DB" w14:textId="77777777">
        <w:trPr>
          <w:cantSplit/>
          <w:jc w:val="center"/>
        </w:trPr>
        <w:tc>
          <w:tcPr>
            <w:tcW w:w="2592" w:type="dxa"/>
            <w:tcMar>
              <w:top w:w="95" w:type="dxa"/>
              <w:left w:w="110" w:type="dxa"/>
              <w:bottom w:w="95" w:type="dxa"/>
              <w:right w:w="110" w:type="dxa"/>
            </w:tcMar>
            <w:vAlign w:val="center"/>
          </w:tcPr>
          <w:p w14:paraId="2A15891A" w14:textId="77777777" w:rsidR="00E579F2" w:rsidRDefault="00FC5553">
            <w:pPr>
              <w:spacing w:after="0" w:line="252" w:lineRule="auto"/>
              <w:rPr>
                <w:rFonts w:hint="eastAsia"/>
              </w:rPr>
            </w:pPr>
            <w:r>
              <w:rPr>
                <w:sz w:val="16"/>
              </w:rPr>
              <w:t>Kernel + Version</w:t>
            </w:r>
          </w:p>
        </w:tc>
        <w:tc>
          <w:tcPr>
            <w:tcW w:w="7128" w:type="dxa"/>
            <w:tcMar>
              <w:top w:w="95" w:type="dxa"/>
              <w:left w:w="110" w:type="dxa"/>
              <w:bottom w:w="95" w:type="dxa"/>
              <w:right w:w="110" w:type="dxa"/>
            </w:tcMar>
            <w:vAlign w:val="center"/>
          </w:tcPr>
          <w:p w14:paraId="17397035" w14:textId="77777777" w:rsidR="00E579F2" w:rsidRDefault="00FC5553">
            <w:pPr>
              <w:spacing w:after="0" w:line="252" w:lineRule="auto"/>
              <w:rPr>
                <w:rFonts w:hint="eastAsia"/>
              </w:rPr>
            </w:pPr>
            <w:r>
              <w:rPr>
                <w:sz w:val="16"/>
              </w:rPr>
              <w:t>Exact semantic contract used for decoding and mutation.</w:t>
            </w:r>
          </w:p>
        </w:tc>
      </w:tr>
      <w:tr w:rsidR="00E579F2" w14:paraId="4FC13667" w14:textId="77777777">
        <w:trPr>
          <w:cantSplit/>
          <w:jc w:val="center"/>
        </w:trPr>
        <w:tc>
          <w:tcPr>
            <w:tcW w:w="2592" w:type="dxa"/>
            <w:tcMar>
              <w:top w:w="95" w:type="dxa"/>
              <w:left w:w="110" w:type="dxa"/>
              <w:bottom w:w="95" w:type="dxa"/>
              <w:right w:w="110" w:type="dxa"/>
            </w:tcMar>
            <w:vAlign w:val="center"/>
          </w:tcPr>
          <w:p w14:paraId="3667747E" w14:textId="77777777" w:rsidR="00E579F2" w:rsidRDefault="00FC5553">
            <w:pPr>
              <w:spacing w:after="0" w:line="252" w:lineRule="auto"/>
              <w:rPr>
                <w:rFonts w:hint="eastAsia"/>
              </w:rPr>
            </w:pPr>
            <w:r>
              <w:rPr>
                <w:sz w:val="16"/>
              </w:rPr>
              <w:t>Before Word</w:t>
            </w:r>
          </w:p>
        </w:tc>
        <w:tc>
          <w:tcPr>
            <w:tcW w:w="7128" w:type="dxa"/>
            <w:tcMar>
              <w:top w:w="95" w:type="dxa"/>
              <w:left w:w="110" w:type="dxa"/>
              <w:bottom w:w="95" w:type="dxa"/>
              <w:right w:w="110" w:type="dxa"/>
            </w:tcMar>
            <w:vAlign w:val="center"/>
          </w:tcPr>
          <w:p w14:paraId="39ECE2AF" w14:textId="77777777" w:rsidR="00E579F2" w:rsidRDefault="00FC5553">
            <w:pPr>
              <w:spacing w:after="0" w:line="252" w:lineRule="auto"/>
              <w:rPr>
                <w:rFonts w:hint="eastAsia"/>
              </w:rPr>
            </w:pPr>
            <w:r>
              <w:rPr>
                <w:sz w:val="16"/>
              </w:rPr>
              <w:t>State prior to Operator.</w:t>
            </w:r>
          </w:p>
        </w:tc>
      </w:tr>
      <w:tr w:rsidR="00E579F2" w14:paraId="42918701" w14:textId="77777777">
        <w:trPr>
          <w:cantSplit/>
          <w:jc w:val="center"/>
        </w:trPr>
        <w:tc>
          <w:tcPr>
            <w:tcW w:w="2592" w:type="dxa"/>
            <w:tcMar>
              <w:top w:w="95" w:type="dxa"/>
              <w:left w:w="110" w:type="dxa"/>
              <w:bottom w:w="95" w:type="dxa"/>
              <w:right w:w="110" w:type="dxa"/>
            </w:tcMar>
            <w:vAlign w:val="center"/>
          </w:tcPr>
          <w:p w14:paraId="4250FDA9" w14:textId="77777777" w:rsidR="00E579F2" w:rsidRDefault="00FC5553">
            <w:pPr>
              <w:spacing w:after="0" w:line="252" w:lineRule="auto"/>
              <w:rPr>
                <w:rFonts w:hint="eastAsia"/>
              </w:rPr>
            </w:pPr>
            <w:r>
              <w:rPr>
                <w:sz w:val="16"/>
              </w:rPr>
              <w:t>After Word</w:t>
            </w:r>
          </w:p>
        </w:tc>
        <w:tc>
          <w:tcPr>
            <w:tcW w:w="7128" w:type="dxa"/>
            <w:tcMar>
              <w:top w:w="95" w:type="dxa"/>
              <w:left w:w="110" w:type="dxa"/>
              <w:bottom w:w="95" w:type="dxa"/>
              <w:right w:w="110" w:type="dxa"/>
            </w:tcMar>
            <w:vAlign w:val="center"/>
          </w:tcPr>
          <w:p w14:paraId="382019FB" w14:textId="77777777" w:rsidR="00E579F2" w:rsidRDefault="00FC5553">
            <w:pPr>
              <w:spacing w:after="0" w:line="252" w:lineRule="auto"/>
              <w:rPr>
                <w:rFonts w:hint="eastAsia"/>
              </w:rPr>
            </w:pPr>
            <w:r>
              <w:rPr>
                <w:sz w:val="16"/>
              </w:rPr>
              <w:t>Committed state after validation.</w:t>
            </w:r>
          </w:p>
        </w:tc>
      </w:tr>
      <w:tr w:rsidR="00E579F2" w14:paraId="2C62AA22" w14:textId="77777777">
        <w:trPr>
          <w:cantSplit/>
          <w:jc w:val="center"/>
        </w:trPr>
        <w:tc>
          <w:tcPr>
            <w:tcW w:w="2592" w:type="dxa"/>
            <w:tcMar>
              <w:top w:w="95" w:type="dxa"/>
              <w:left w:w="110" w:type="dxa"/>
              <w:bottom w:w="95" w:type="dxa"/>
              <w:right w:w="110" w:type="dxa"/>
            </w:tcMar>
            <w:vAlign w:val="center"/>
          </w:tcPr>
          <w:p w14:paraId="63F4FC84" w14:textId="77777777" w:rsidR="00E579F2" w:rsidRDefault="00FC5553">
            <w:pPr>
              <w:spacing w:after="0" w:line="252" w:lineRule="auto"/>
              <w:rPr>
                <w:rFonts w:hint="eastAsia"/>
              </w:rPr>
            </w:pPr>
            <w:r>
              <w:rPr>
                <w:sz w:val="16"/>
              </w:rPr>
              <w:t>Operator ID</w:t>
            </w:r>
          </w:p>
        </w:tc>
        <w:tc>
          <w:tcPr>
            <w:tcW w:w="7128" w:type="dxa"/>
            <w:tcMar>
              <w:top w:w="95" w:type="dxa"/>
              <w:left w:w="110" w:type="dxa"/>
              <w:bottom w:w="95" w:type="dxa"/>
              <w:right w:w="110" w:type="dxa"/>
            </w:tcMar>
            <w:vAlign w:val="center"/>
          </w:tcPr>
          <w:p w14:paraId="488834E9" w14:textId="77777777" w:rsidR="00E579F2" w:rsidRDefault="00FC5553">
            <w:pPr>
              <w:spacing w:after="0" w:line="252" w:lineRule="auto"/>
              <w:rPr>
                <w:rFonts w:hint="eastAsia"/>
              </w:rPr>
            </w:pPr>
            <w:r>
              <w:rPr>
                <w:sz w:val="16"/>
              </w:rPr>
              <w:t>Exact mutation contract executed.</w:t>
            </w:r>
          </w:p>
        </w:tc>
      </w:tr>
      <w:tr w:rsidR="00E579F2" w14:paraId="3E7E4A7C" w14:textId="77777777">
        <w:trPr>
          <w:cantSplit/>
          <w:jc w:val="center"/>
        </w:trPr>
        <w:tc>
          <w:tcPr>
            <w:tcW w:w="2592" w:type="dxa"/>
            <w:tcMar>
              <w:top w:w="95" w:type="dxa"/>
              <w:left w:w="110" w:type="dxa"/>
              <w:bottom w:w="95" w:type="dxa"/>
              <w:right w:w="110" w:type="dxa"/>
            </w:tcMar>
            <w:vAlign w:val="center"/>
          </w:tcPr>
          <w:p w14:paraId="6025ABDF" w14:textId="77777777" w:rsidR="00E579F2" w:rsidRDefault="00FC5553">
            <w:pPr>
              <w:spacing w:after="0" w:line="252" w:lineRule="auto"/>
              <w:rPr>
                <w:rFonts w:hint="eastAsia"/>
              </w:rPr>
            </w:pPr>
            <w:r>
              <w:rPr>
                <w:sz w:val="16"/>
              </w:rPr>
              <w:t>Rule / Ruleset</w:t>
            </w:r>
          </w:p>
        </w:tc>
        <w:tc>
          <w:tcPr>
            <w:tcW w:w="7128" w:type="dxa"/>
            <w:tcMar>
              <w:top w:w="95" w:type="dxa"/>
              <w:left w:w="110" w:type="dxa"/>
              <w:bottom w:w="95" w:type="dxa"/>
              <w:right w:w="110" w:type="dxa"/>
            </w:tcMar>
            <w:vAlign w:val="center"/>
          </w:tcPr>
          <w:p w14:paraId="203F7BD4" w14:textId="77777777" w:rsidR="00E579F2" w:rsidRDefault="00FC5553">
            <w:pPr>
              <w:spacing w:after="0" w:line="252" w:lineRule="auto"/>
              <w:rPr>
                <w:rFonts w:hint="eastAsia"/>
              </w:rPr>
            </w:pPr>
            <w:r>
              <w:rPr>
                <w:sz w:val="16"/>
              </w:rPr>
              <w:t>Authorization and transition logic applied.</w:t>
            </w:r>
          </w:p>
        </w:tc>
      </w:tr>
      <w:tr w:rsidR="00E579F2" w14:paraId="168EBFC1" w14:textId="77777777">
        <w:trPr>
          <w:cantSplit/>
          <w:jc w:val="center"/>
        </w:trPr>
        <w:tc>
          <w:tcPr>
            <w:tcW w:w="2592" w:type="dxa"/>
            <w:tcMar>
              <w:top w:w="95" w:type="dxa"/>
              <w:left w:w="110" w:type="dxa"/>
              <w:bottom w:w="95" w:type="dxa"/>
              <w:right w:w="110" w:type="dxa"/>
            </w:tcMar>
            <w:vAlign w:val="center"/>
          </w:tcPr>
          <w:p w14:paraId="0DFC420E" w14:textId="77777777" w:rsidR="00E579F2" w:rsidRDefault="00FC5553">
            <w:pPr>
              <w:spacing w:after="0" w:line="252" w:lineRule="auto"/>
              <w:rPr>
                <w:rFonts w:hint="eastAsia"/>
              </w:rPr>
            </w:pPr>
            <w:r>
              <w:rPr>
                <w:sz w:val="16"/>
              </w:rPr>
              <w:t>ModelKey Snapshot / Version</w:t>
            </w:r>
          </w:p>
        </w:tc>
        <w:tc>
          <w:tcPr>
            <w:tcW w:w="7128" w:type="dxa"/>
            <w:tcMar>
              <w:top w:w="95" w:type="dxa"/>
              <w:left w:w="110" w:type="dxa"/>
              <w:bottom w:w="95" w:type="dxa"/>
              <w:right w:w="110" w:type="dxa"/>
            </w:tcMar>
            <w:vAlign w:val="center"/>
          </w:tcPr>
          <w:p w14:paraId="217EBFBF" w14:textId="77777777" w:rsidR="00E579F2" w:rsidRDefault="00FC5553">
            <w:pPr>
              <w:spacing w:after="0" w:line="252" w:lineRule="auto"/>
              <w:rPr>
                <w:rFonts w:hint="eastAsia"/>
              </w:rPr>
            </w:pPr>
            <w:r>
              <w:rPr>
                <w:sz w:val="16"/>
              </w:rPr>
              <w:t>Parameters used to make the decision.</w:t>
            </w:r>
          </w:p>
        </w:tc>
      </w:tr>
      <w:tr w:rsidR="00E579F2" w14:paraId="398BCBC2" w14:textId="77777777">
        <w:trPr>
          <w:cantSplit/>
          <w:jc w:val="center"/>
        </w:trPr>
        <w:tc>
          <w:tcPr>
            <w:tcW w:w="2592" w:type="dxa"/>
            <w:tcMar>
              <w:top w:w="95" w:type="dxa"/>
              <w:left w:w="110" w:type="dxa"/>
              <w:bottom w:w="95" w:type="dxa"/>
              <w:right w:w="110" w:type="dxa"/>
            </w:tcMar>
            <w:vAlign w:val="center"/>
          </w:tcPr>
          <w:p w14:paraId="7D5F1FE2" w14:textId="77777777" w:rsidR="00E579F2" w:rsidRDefault="00FC5553">
            <w:pPr>
              <w:spacing w:after="0" w:line="252" w:lineRule="auto"/>
              <w:rPr>
                <w:rFonts w:hint="eastAsia"/>
              </w:rPr>
            </w:pPr>
            <w:r>
              <w:rPr>
                <w:sz w:val="16"/>
              </w:rPr>
              <w:t>Source Event(s)</w:t>
            </w:r>
          </w:p>
        </w:tc>
        <w:tc>
          <w:tcPr>
            <w:tcW w:w="7128" w:type="dxa"/>
            <w:tcMar>
              <w:top w:w="95" w:type="dxa"/>
              <w:left w:w="110" w:type="dxa"/>
              <w:bottom w:w="95" w:type="dxa"/>
              <w:right w:w="110" w:type="dxa"/>
            </w:tcMar>
            <w:vAlign w:val="center"/>
          </w:tcPr>
          <w:p w14:paraId="455719F6" w14:textId="77777777" w:rsidR="00E579F2" w:rsidRDefault="00FC5553">
            <w:pPr>
              <w:spacing w:after="0" w:line="252" w:lineRule="auto"/>
              <w:rPr>
                <w:rFonts w:hint="eastAsia"/>
              </w:rPr>
            </w:pPr>
            <w:r>
              <w:rPr>
                <w:sz w:val="16"/>
              </w:rPr>
              <w:t>Upstream semantic causes.</w:t>
            </w:r>
          </w:p>
        </w:tc>
      </w:tr>
      <w:tr w:rsidR="00E579F2" w14:paraId="6556BF6B" w14:textId="77777777">
        <w:trPr>
          <w:cantSplit/>
          <w:jc w:val="center"/>
        </w:trPr>
        <w:tc>
          <w:tcPr>
            <w:tcW w:w="2592" w:type="dxa"/>
            <w:tcMar>
              <w:top w:w="95" w:type="dxa"/>
              <w:left w:w="110" w:type="dxa"/>
              <w:bottom w:w="95" w:type="dxa"/>
              <w:right w:w="110" w:type="dxa"/>
            </w:tcMar>
            <w:vAlign w:val="center"/>
          </w:tcPr>
          <w:p w14:paraId="43149FB4" w14:textId="77777777" w:rsidR="00E579F2" w:rsidRDefault="00FC5553">
            <w:pPr>
              <w:spacing w:after="0" w:line="252" w:lineRule="auto"/>
              <w:rPr>
                <w:rFonts w:hint="eastAsia"/>
              </w:rPr>
            </w:pPr>
            <w:r>
              <w:rPr>
                <w:sz w:val="16"/>
              </w:rPr>
              <w:t>TIME-128</w:t>
            </w:r>
          </w:p>
        </w:tc>
        <w:tc>
          <w:tcPr>
            <w:tcW w:w="7128" w:type="dxa"/>
            <w:tcMar>
              <w:top w:w="95" w:type="dxa"/>
              <w:left w:w="110" w:type="dxa"/>
              <w:bottom w:w="95" w:type="dxa"/>
              <w:right w:w="110" w:type="dxa"/>
            </w:tcMar>
            <w:vAlign w:val="center"/>
          </w:tcPr>
          <w:p w14:paraId="093F8826" w14:textId="77777777" w:rsidR="00E579F2" w:rsidRDefault="00FC5553">
            <w:pPr>
              <w:spacing w:after="0" w:line="252" w:lineRule="auto"/>
              <w:rPr>
                <w:rFonts w:hint="eastAsia"/>
              </w:rPr>
            </w:pPr>
            <w:r>
              <w:rPr>
                <w:sz w:val="16"/>
              </w:rPr>
              <w:t>Temporal coordinate for ordering and analysis.</w:t>
            </w:r>
          </w:p>
        </w:tc>
      </w:tr>
      <w:tr w:rsidR="00E579F2" w14:paraId="5171887E" w14:textId="77777777">
        <w:trPr>
          <w:cantSplit/>
          <w:jc w:val="center"/>
        </w:trPr>
        <w:tc>
          <w:tcPr>
            <w:tcW w:w="2592" w:type="dxa"/>
            <w:tcMar>
              <w:top w:w="95" w:type="dxa"/>
              <w:left w:w="110" w:type="dxa"/>
              <w:bottom w:w="95" w:type="dxa"/>
              <w:right w:w="110" w:type="dxa"/>
            </w:tcMar>
            <w:vAlign w:val="center"/>
          </w:tcPr>
          <w:p w14:paraId="4BFA4CC1" w14:textId="77777777" w:rsidR="00E579F2" w:rsidRDefault="00FC5553">
            <w:pPr>
              <w:spacing w:after="0" w:line="252" w:lineRule="auto"/>
              <w:rPr>
                <w:rFonts w:hint="eastAsia"/>
              </w:rPr>
            </w:pPr>
            <w:r>
              <w:rPr>
                <w:sz w:val="16"/>
              </w:rPr>
              <w:t>State Type</w:t>
            </w:r>
          </w:p>
        </w:tc>
        <w:tc>
          <w:tcPr>
            <w:tcW w:w="7128" w:type="dxa"/>
            <w:tcMar>
              <w:top w:w="95" w:type="dxa"/>
              <w:left w:w="110" w:type="dxa"/>
              <w:bottom w:w="95" w:type="dxa"/>
              <w:right w:w="110" w:type="dxa"/>
            </w:tcMar>
            <w:vAlign w:val="center"/>
          </w:tcPr>
          <w:p w14:paraId="5C5F5CA2" w14:textId="77777777" w:rsidR="00E579F2" w:rsidRDefault="00FC5553">
            <w:pPr>
              <w:spacing w:after="0" w:line="252" w:lineRule="auto"/>
              <w:rPr>
                <w:rFonts w:hint="eastAsia"/>
              </w:rPr>
            </w:pPr>
            <w:r>
              <w:rPr>
                <w:sz w:val="16"/>
              </w:rPr>
              <w:t>Observed, simulated, predicted, planned, or other declared epistemic category.</w:t>
            </w:r>
          </w:p>
        </w:tc>
      </w:tr>
    </w:tbl>
    <w:p w14:paraId="0B8E3B38" w14:textId="77777777" w:rsidR="00E579F2" w:rsidRDefault="00E579F2">
      <w:pPr>
        <w:spacing w:after="20"/>
        <w:rPr>
          <w:rFonts w:hint="eastAsia"/>
        </w:rPr>
      </w:pPr>
    </w:p>
    <w:p w14:paraId="6A8286F8" w14:textId="77777777" w:rsidR="00E579F2" w:rsidRDefault="00FC5553">
      <w:pPr>
        <w:pStyle w:val="Heading2"/>
      </w:pPr>
      <w:r>
        <w:t>17.1 Replay</w:t>
      </w:r>
    </w:p>
    <w:p w14:paraId="2C80B7B4" w14:textId="77777777" w:rsidR="00E579F2" w:rsidRDefault="00FC5553">
      <w:pPr>
        <w:spacing w:line="274" w:lineRule="auto"/>
        <w:rPr>
          <w:rFonts w:hint="eastAsia"/>
        </w:rPr>
      </w:pPr>
      <w:r>
        <w:rPr>
          <w:sz w:val="21"/>
        </w:rPr>
        <w:t>A deterministic simulation SHOULD be able to replay a chain from a known initial state and event sequence. If Models or Rules have changed since the original event, replay MUST name the historical versions used or explicitly state that the replay is a re-simulation under newer semantics.</w:t>
      </w:r>
    </w:p>
    <w:p w14:paraId="61144589" w14:textId="77777777" w:rsidR="00E579F2" w:rsidRDefault="00FC5553">
      <w:pPr>
        <w:pStyle w:val="Heading2"/>
      </w:pPr>
      <w:r>
        <w:t>17.2 Causal explanation</w:t>
      </w:r>
    </w:p>
    <w:p w14:paraId="61BC8E1B" w14:textId="77777777" w:rsidR="00E579F2" w:rsidRDefault="00FC5553">
      <w:pPr>
        <w:spacing w:line="274" w:lineRule="auto"/>
        <w:rPr>
          <w:rFonts w:hint="eastAsia"/>
        </w:rPr>
      </w:pPr>
      <w:r>
        <w:rPr>
          <w:sz w:val="21"/>
        </w:rPr>
        <w:t>Because each event references its upstream cause, CERBERUS can derive human-readable explanations such as: the visual changed because the COOKING state entered Browned; Browned entered because the steak ModelKey threshold was crossed; the threshold was crossed because the oven THERMAL state changed under a heating Operator.</w:t>
      </w:r>
    </w:p>
    <w:p w14:paraId="19A48CE2" w14:textId="77777777" w:rsidR="00E579F2" w:rsidRDefault="00FC5553">
      <w:pPr>
        <w:pStyle w:val="Heading1"/>
      </w:pPr>
      <w:bookmarkStart w:id="20" w:name="sec18"/>
      <w:r>
        <w:t>18. Cloning, Templates, and Copy-on-Write</w:t>
      </w:r>
      <w:bookmarkEnd w:id="20"/>
    </w:p>
    <w:p w14:paraId="58BD833B" w14:textId="77777777" w:rsidR="00E579F2" w:rsidRDefault="00FC5553">
      <w:pPr>
        <w:spacing w:line="274" w:lineRule="auto"/>
        <w:rPr>
          <w:rFonts w:hint="eastAsia"/>
        </w:rPr>
      </w:pPr>
      <w:r>
        <w:rPr>
          <w:sz w:val="21"/>
        </w:rPr>
        <w:t>A valid Kernel state can be cloned as the starting point for another object, future instance, simulation branch, or game variant. Cloning duplicates current state and selected ModelKey parameters while retaining references to the shared Kernel, Model, Operator, and Rule definitions.</w:t>
      </w:r>
    </w:p>
    <w:p w14:paraId="7960530F" w14:textId="77777777" w:rsidR="00E579F2" w:rsidRDefault="00FC5553">
      <w:pPr>
        <w:pStyle w:val="Heading2"/>
      </w:pPr>
      <w:r>
        <w:t>18.1 Copy the state, not the language</w:t>
      </w:r>
    </w:p>
    <w:p w14:paraId="7F5F647A" w14:textId="77777777" w:rsidR="00E579F2" w:rsidRDefault="00FC5553">
      <w:pPr>
        <w:spacing w:line="274" w:lineRule="auto"/>
        <w:rPr>
          <w:rFonts w:hint="eastAsia"/>
        </w:rPr>
      </w:pPr>
      <w:r>
        <w:rPr>
          <w:sz w:val="21"/>
        </w:rPr>
        <w:t>The semantic contract SHOULD remain shared. A clone does not need to duplicate the definition of every bit, Operator, or Rule. It copies the compact state and local parameterization required for the new instance, then applies scoped deltas as it diverges.</w:t>
      </w:r>
    </w:p>
    <w:p w14:paraId="099E8A18" w14:textId="77777777" w:rsidR="00E579F2" w:rsidRDefault="00FC5553">
      <w:pPr>
        <w:pStyle w:val="Heading2"/>
      </w:pPr>
      <w:r>
        <w:t>18.2 Workout example</w:t>
      </w:r>
    </w:p>
    <w:p w14:paraId="2224723E" w14:textId="77777777" w:rsidR="00E579F2" w:rsidRDefault="00FC5553">
      <w:pPr>
        <w:pStyle w:val="CodeBlock"/>
        <w:pBdr>
          <w:left w:val="single" w:sz="18" w:space="8" w:color="2A7F8E"/>
        </w:pBdr>
        <w:shd w:val="clear" w:color="auto" w:fill="F4F7F9"/>
        <w:spacing w:before="40" w:after="160" w:line="240" w:lineRule="auto"/>
        <w:ind w:left="259" w:right="259"/>
        <w:rPr>
          <w:rFonts w:hint="eastAsia"/>
        </w:rPr>
      </w:pPr>
      <w:r>
        <w:t>Prior Workout Pattern</w:t>
      </w:r>
      <w:r>
        <w:br/>
      </w:r>
      <w:r>
        <w:t xml:space="preserve">        | clone</w:t>
      </w:r>
      <w:r>
        <w:br/>
      </w:r>
      <w:r>
        <w:t xml:space="preserve">        v</w:t>
      </w:r>
      <w:r>
        <w:br/>
      </w:r>
      <w:r>
        <w:t>Planned Workout Instance</w:t>
      </w:r>
      <w:r>
        <w:br/>
      </w:r>
      <w:r>
        <w:t xml:space="preserve">        | exact Operators edit load/reps/time</w:t>
      </w:r>
      <w:r>
        <w:br/>
      </w:r>
      <w:r>
        <w:t xml:space="preserve">        v</w:t>
      </w:r>
      <w:r>
        <w:br/>
      </w:r>
      <w:r>
        <w:t>Observed Workout Instance</w:t>
      </w:r>
      <w:r>
        <w:br/>
      </w:r>
      <w:r>
        <w:t xml:space="preserve">        | lineage retained</w:t>
      </w:r>
      <w:r>
        <w:br/>
      </w:r>
      <w:r>
        <w:t xml:space="preserve">        v</w:t>
      </w:r>
      <w:r>
        <w:br/>
      </w:r>
      <w:r>
        <w:t>Next Pattern / branch / comparison</w:t>
      </w:r>
    </w:p>
    <w:p w14:paraId="6B3F7EDA" w14:textId="77777777" w:rsidR="00E579F2" w:rsidRDefault="00FC5553">
      <w:pPr>
        <w:pStyle w:val="Heading2"/>
      </w:pPr>
      <w:r>
        <w:t>18.3 Simulation branching</w:t>
      </w:r>
    </w:p>
    <w:p w14:paraId="7DF25239" w14:textId="77777777" w:rsidR="00E579F2" w:rsidRDefault="00FC5553">
      <w:pPr>
        <w:spacing w:line="274" w:lineRule="auto"/>
        <w:rPr>
          <w:rFonts w:hint="eastAsia"/>
        </w:rPr>
      </w:pPr>
      <w:r>
        <w:rPr>
          <w:sz w:val="21"/>
        </w:rPr>
        <w:t>A world simulator MAY clone an object or entire object graph into a simulation branch, apply Operators under alternate Rulesets, and compare outcomes without overwriting observed canonical state. Promotion from simulated to planned or observed state MUST be an explicit provenance transition, not an implicit merge.</w:t>
      </w:r>
    </w:p>
    <w:p w14:paraId="54495D9A" w14:textId="77777777" w:rsidR="00E579F2" w:rsidRDefault="00FC5553">
      <w:pPr>
        <w:pStyle w:val="Heading1"/>
      </w:pPr>
      <w:bookmarkStart w:id="21" w:name="sec19"/>
      <w:r>
        <w:t>19. Runtime and Storage Model</w:t>
      </w:r>
      <w:bookmarkEnd w:id="21"/>
    </w:p>
    <w:p w14:paraId="1D98B164" w14:textId="77777777" w:rsidR="00E579F2" w:rsidRDefault="00FC5553">
      <w:pPr>
        <w:spacing w:line="274" w:lineRule="auto"/>
        <w:rPr>
          <w:rFonts w:hint="eastAsia"/>
        </w:rPr>
      </w:pPr>
      <w:r>
        <w:rPr>
          <w:sz w:val="21"/>
        </w:rPr>
        <w:t>The runtime can remain small because domain knowledge is declared in structured content. A generic execution engine needs only to resolve semantic addresses, decode words, retrieve ModelKey parameters, evaluate Rules, apply scoped Operators, compute deltas, traverse Bitlinks, and log provenance.</w:t>
      </w:r>
    </w:p>
    <w:p w14:paraId="05DA1802" w14:textId="77777777" w:rsidR="00E579F2" w:rsidRDefault="00FC5553">
      <w:pPr>
        <w:pStyle w:val="CodeBlock"/>
        <w:pBdr>
          <w:left w:val="single" w:sz="18" w:space="8" w:color="2A7F8E"/>
        </w:pBdr>
        <w:shd w:val="clear" w:color="auto" w:fill="F4F7F9"/>
        <w:spacing w:before="40" w:after="160" w:line="240" w:lineRule="auto"/>
        <w:ind w:left="259" w:right="259"/>
        <w:rPr>
          <w:rFonts w:hint="eastAsia"/>
        </w:rPr>
      </w:pPr>
      <w:r>
        <w:t>GENERIC CERBERUS KERNEL RUNTIME</w:t>
      </w:r>
      <w:r>
        <w:br/>
      </w:r>
      <w:r>
        <w:br/>
      </w:r>
      <w:r>
        <w:t>resolve(object, kernel, version)</w:t>
      </w:r>
      <w:r>
        <w:br/>
      </w:r>
      <w:r>
        <w:t>decode(word, spec)</w:t>
      </w:r>
      <w:r>
        <w:br/>
      </w:r>
      <w:r>
        <w:t>read_modelkey(extension, model)</w:t>
      </w:r>
      <w:r>
        <w:br/>
      </w:r>
      <w:r>
        <w:t>evaluate(rule, source, parameters, context)</w:t>
      </w:r>
      <w:r>
        <w:br/>
      </w:r>
      <w:r>
        <w:t>mutate(operator, word, parameters)</w:t>
      </w:r>
      <w:r>
        <w:br/>
      </w:r>
      <w:r>
        <w:t>validate(new_word, spec)</w:t>
      </w:r>
      <w:r>
        <w:br/>
      </w:r>
      <w:r>
        <w:t>commit(before, after)</w:t>
      </w:r>
      <w:r>
        <w:br/>
      </w:r>
      <w:r>
        <w:t>emit(delta)</w:t>
      </w:r>
      <w:r>
        <w:br/>
      </w:r>
      <w:r>
        <w:t>propagate(bitlinks / translations)</w:t>
      </w:r>
      <w:r>
        <w:br/>
      </w:r>
      <w:r>
        <w:t>log(provenance, TIME-128)</w:t>
      </w:r>
    </w:p>
    <w:p w14:paraId="1AD7AD91" w14:textId="77777777" w:rsidR="00E579F2" w:rsidRDefault="00FC5553">
      <w:pPr>
        <w:pStyle w:val="Heading2"/>
      </w:pPr>
      <w:r>
        <w:t>19.1 Packed runtime vs transparent prototype</w:t>
      </w:r>
    </w:p>
    <w:p w14:paraId="5F2A46ED" w14:textId="77777777" w:rsidR="00E579F2" w:rsidRDefault="00FC5553">
      <w:pPr>
        <w:spacing w:line="274" w:lineRule="auto"/>
        <w:rPr>
          <w:rFonts w:hint="eastAsia"/>
        </w:rPr>
      </w:pPr>
      <w:r>
        <w:rPr>
          <w:sz w:val="21"/>
        </w:rPr>
        <w:t>Airtable may represent a word as visible checkbox and numeric fields for transparency. A custom runtime may pack the same contract into 16, 32, or 64 bytes. The semantic address and bit meaning MUST remain identical across representations if they claim conformance to the same Kernel version.</w:t>
      </w:r>
    </w:p>
    <w:p w14:paraId="73EFD53A" w14:textId="77777777" w:rsidR="00E579F2" w:rsidRDefault="00FC5553">
      <w:pPr>
        <w:pStyle w:val="Heading2"/>
      </w:pPr>
      <w:r>
        <w:t>19.2 Evaluation strategy</w:t>
      </w:r>
    </w:p>
    <w:p w14:paraId="52D3F7D2" w14:textId="77777777" w:rsidR="00E579F2" w:rsidRDefault="00FC5553">
      <w:pPr>
        <w:spacing w:line="274" w:lineRule="auto"/>
        <w:rPr>
          <w:rFonts w:hint="eastAsia"/>
        </w:rPr>
      </w:pPr>
      <w:r>
        <w:rPr>
          <w:sz w:val="21"/>
        </w:rPr>
        <w:t>Implementations MAY evaluate bindings event-driven, periodically, or on demand. Event-driven evaluation is efficient when source changes are sparse. Batch evaluation can be useful for large simulations. The choice MUST NOT change Rule semantics or event ordering without an explicit scheduling policy.</w:t>
      </w:r>
    </w:p>
    <w:p w14:paraId="28D726C1" w14:textId="77777777" w:rsidR="00E579F2" w:rsidRDefault="00FC5553">
      <w:pPr>
        <w:pStyle w:val="Heading2"/>
      </w:pPr>
      <w:r>
        <w:t>19.3 Atomicity</w:t>
      </w:r>
    </w:p>
    <w:p w14:paraId="60F6906E" w14:textId="77777777" w:rsidR="00E579F2" w:rsidRDefault="00FC5553">
      <w:pPr>
        <w:spacing w:line="274" w:lineRule="auto"/>
        <w:rPr>
          <w:rFonts w:hint="eastAsia"/>
        </w:rPr>
      </w:pPr>
      <w:r>
        <w:rPr>
          <w:sz w:val="21"/>
        </w:rPr>
        <w:t>A multi-bit Operator MUST commit atomically so observers never see an invalid intermediate state. A multi-Kernel transaction MAY require a higher-level transaction record when several state changes must either all succeed or all fail.</w:t>
      </w:r>
    </w:p>
    <w:p w14:paraId="6E0FAF63" w14:textId="77777777" w:rsidR="00E579F2" w:rsidRDefault="00FC5553">
      <w:pPr>
        <w:pStyle w:val="Heading1"/>
      </w:pPr>
      <w:bookmarkStart w:id="22" w:name="sec20"/>
      <w:r>
        <w:t>20. Airtable Prototype Mapping</w:t>
      </w:r>
      <w:bookmarkEnd w:id="22"/>
    </w:p>
    <w:p w14:paraId="6AC86A97" w14:textId="77777777" w:rsidR="00E579F2" w:rsidRDefault="00FC5553">
      <w:pPr>
        <w:spacing w:line="274" w:lineRule="auto"/>
        <w:rPr>
          <w:rFonts w:hint="eastAsia"/>
        </w:rPr>
      </w:pPr>
      <w:r>
        <w:rPr>
          <w:sz w:val="21"/>
        </w:rPr>
        <w:t>The Airtable prototype can implement Self-Contained Bitstate Parameterization without packed binary storage. The goal is semantic transparency: every bit, parameter, Model, Rule, Operator, and binding can be inspected directly while preserving the same logical contract intended for the custom runtime.</w:t>
      </w:r>
    </w:p>
    <w:tbl>
      <w:tblPr>
        <w:tblW w:w="0" w:type="auto"/>
        <w:jc w:val="center"/>
        <w:tblLayout w:type="fixed"/>
        <w:tblLook w:val="04A0" w:firstRow="1" w:lastRow="0" w:firstColumn="1" w:lastColumn="0" w:noHBand="0" w:noVBand="1"/>
      </w:tblPr>
      <w:tblGrid>
        <w:gridCol w:w="3240"/>
        <w:gridCol w:w="6480"/>
      </w:tblGrid>
      <w:tr w:rsidR="00E579F2" w14:paraId="6F5EB529" w14:textId="77777777">
        <w:trPr>
          <w:tblHeader/>
          <w:jc w:val="center"/>
        </w:trPr>
        <w:tc>
          <w:tcPr>
            <w:tcW w:w="3240" w:type="dxa"/>
            <w:tcBorders>
              <w:top w:val="single" w:sz="4" w:space="0" w:color="C9D6DF"/>
              <w:left w:val="single" w:sz="4" w:space="0" w:color="C9D6DF"/>
              <w:bottom w:val="single" w:sz="4" w:space="0" w:color="C9D6DF"/>
              <w:right w:val="single" w:sz="4" w:space="0" w:color="C9D6DF"/>
            </w:tcBorders>
            <w:shd w:val="clear" w:color="auto" w:fill="17324D"/>
            <w:tcMar>
              <w:top w:w="105" w:type="dxa"/>
              <w:left w:w="110" w:type="dxa"/>
              <w:bottom w:w="105" w:type="dxa"/>
              <w:right w:w="110" w:type="dxa"/>
            </w:tcMar>
            <w:vAlign w:val="center"/>
          </w:tcPr>
          <w:p w14:paraId="25AE05D6" w14:textId="77777777" w:rsidR="00E579F2" w:rsidRDefault="00FC5553">
            <w:pPr>
              <w:spacing w:after="0"/>
              <w:rPr>
                <w:rFonts w:hint="eastAsia"/>
              </w:rPr>
            </w:pPr>
            <w:r>
              <w:rPr>
                <w:b/>
                <w:color w:val="FFFFFF"/>
                <w:sz w:val="16"/>
              </w:rPr>
              <w:t>Prototype table / record</w:t>
            </w:r>
          </w:p>
        </w:tc>
        <w:tc>
          <w:tcPr>
            <w:tcW w:w="6480" w:type="dxa"/>
            <w:tcBorders>
              <w:top w:val="single" w:sz="4" w:space="0" w:color="C9D6DF"/>
              <w:left w:val="single" w:sz="4" w:space="0" w:color="C9D6DF"/>
              <w:bottom w:val="single" w:sz="4" w:space="0" w:color="C9D6DF"/>
              <w:right w:val="single" w:sz="4" w:space="0" w:color="C9D6DF"/>
            </w:tcBorders>
            <w:shd w:val="clear" w:color="auto" w:fill="17324D"/>
            <w:tcMar>
              <w:top w:w="105" w:type="dxa"/>
              <w:left w:w="110" w:type="dxa"/>
              <w:bottom w:w="105" w:type="dxa"/>
              <w:right w:w="110" w:type="dxa"/>
            </w:tcMar>
            <w:vAlign w:val="center"/>
          </w:tcPr>
          <w:p w14:paraId="2022BAA3" w14:textId="77777777" w:rsidR="00E579F2" w:rsidRDefault="00FC5553">
            <w:pPr>
              <w:spacing w:after="0"/>
              <w:rPr>
                <w:rFonts w:hint="eastAsia"/>
              </w:rPr>
            </w:pPr>
            <w:r>
              <w:rPr>
                <w:b/>
                <w:color w:val="FFFFFF"/>
                <w:sz w:val="16"/>
              </w:rPr>
              <w:t>Suggested responsibility</w:t>
            </w:r>
          </w:p>
        </w:tc>
      </w:tr>
      <w:tr w:rsidR="00E579F2" w14:paraId="7F5D379E" w14:textId="77777777">
        <w:trPr>
          <w:cantSplit/>
          <w:jc w:val="center"/>
        </w:trPr>
        <w:tc>
          <w:tcPr>
            <w:tcW w:w="3240" w:type="dxa"/>
            <w:tcMar>
              <w:top w:w="95" w:type="dxa"/>
              <w:left w:w="110" w:type="dxa"/>
              <w:bottom w:w="95" w:type="dxa"/>
              <w:right w:w="110" w:type="dxa"/>
            </w:tcMar>
            <w:vAlign w:val="center"/>
          </w:tcPr>
          <w:p w14:paraId="1F58DDB5" w14:textId="77777777" w:rsidR="00E579F2" w:rsidRDefault="00FC5553">
            <w:pPr>
              <w:spacing w:after="0" w:line="252" w:lineRule="auto"/>
              <w:rPr>
                <w:rFonts w:hint="eastAsia"/>
              </w:rPr>
            </w:pPr>
            <w:r>
              <w:rPr>
                <w:sz w:val="16"/>
              </w:rPr>
              <w:t>Kernel Registry</w:t>
            </w:r>
          </w:p>
        </w:tc>
        <w:tc>
          <w:tcPr>
            <w:tcW w:w="6480" w:type="dxa"/>
            <w:tcMar>
              <w:top w:w="95" w:type="dxa"/>
              <w:left w:w="110" w:type="dxa"/>
              <w:bottom w:w="95" w:type="dxa"/>
              <w:right w:w="110" w:type="dxa"/>
            </w:tcMar>
            <w:vAlign w:val="center"/>
          </w:tcPr>
          <w:p w14:paraId="2F3E2D51" w14:textId="77777777" w:rsidR="00E579F2" w:rsidRDefault="00FC5553">
            <w:pPr>
              <w:spacing w:after="0" w:line="252" w:lineRule="auto"/>
              <w:rPr>
                <w:rFonts w:hint="eastAsia"/>
              </w:rPr>
            </w:pPr>
            <w:r>
              <w:rPr>
                <w:sz w:val="16"/>
              </w:rPr>
              <w:t>Kernel ID, word size, version, prefix lineage, serialization contract, status.</w:t>
            </w:r>
          </w:p>
        </w:tc>
      </w:tr>
      <w:tr w:rsidR="00E579F2" w14:paraId="4387C7DE" w14:textId="77777777">
        <w:trPr>
          <w:cantSplit/>
          <w:jc w:val="center"/>
        </w:trPr>
        <w:tc>
          <w:tcPr>
            <w:tcW w:w="3240" w:type="dxa"/>
            <w:tcMar>
              <w:top w:w="95" w:type="dxa"/>
              <w:left w:w="110" w:type="dxa"/>
              <w:bottom w:w="95" w:type="dxa"/>
              <w:right w:w="110" w:type="dxa"/>
            </w:tcMar>
            <w:vAlign w:val="center"/>
          </w:tcPr>
          <w:p w14:paraId="362B9545" w14:textId="77777777" w:rsidR="00E579F2" w:rsidRDefault="00FC5553">
            <w:pPr>
              <w:spacing w:after="0" w:line="252" w:lineRule="auto"/>
              <w:rPr>
                <w:rFonts w:hint="eastAsia"/>
              </w:rPr>
            </w:pPr>
            <w:r>
              <w:rPr>
                <w:sz w:val="16"/>
              </w:rPr>
              <w:t>Bit Registry</w:t>
            </w:r>
          </w:p>
        </w:tc>
        <w:tc>
          <w:tcPr>
            <w:tcW w:w="6480" w:type="dxa"/>
            <w:tcMar>
              <w:top w:w="95" w:type="dxa"/>
              <w:left w:w="110" w:type="dxa"/>
              <w:bottom w:w="95" w:type="dxa"/>
              <w:right w:w="110" w:type="dxa"/>
            </w:tcMar>
            <w:vAlign w:val="center"/>
          </w:tcPr>
          <w:p w14:paraId="410A4F0F" w14:textId="77777777" w:rsidR="00E579F2" w:rsidRDefault="00FC5553">
            <w:pPr>
              <w:spacing w:after="0" w:line="252" w:lineRule="auto"/>
              <w:rPr>
                <w:rFonts w:hint="eastAsia"/>
              </w:rPr>
            </w:pPr>
            <w:r>
              <w:rPr>
                <w:sz w:val="16"/>
              </w:rPr>
              <w:t>Bit index/range, semantic name, group, type, meaning, basis, reserved status.</w:t>
            </w:r>
          </w:p>
        </w:tc>
      </w:tr>
      <w:tr w:rsidR="00E579F2" w14:paraId="55D58D15" w14:textId="77777777">
        <w:trPr>
          <w:cantSplit/>
          <w:jc w:val="center"/>
        </w:trPr>
        <w:tc>
          <w:tcPr>
            <w:tcW w:w="3240" w:type="dxa"/>
            <w:tcMar>
              <w:top w:w="95" w:type="dxa"/>
              <w:left w:w="110" w:type="dxa"/>
              <w:bottom w:w="95" w:type="dxa"/>
              <w:right w:w="110" w:type="dxa"/>
            </w:tcMar>
            <w:vAlign w:val="center"/>
          </w:tcPr>
          <w:p w14:paraId="4B0B6C2F" w14:textId="77777777" w:rsidR="00E579F2" w:rsidRDefault="00FC5553">
            <w:pPr>
              <w:spacing w:after="0" w:line="252" w:lineRule="auto"/>
              <w:rPr>
                <w:rFonts w:hint="eastAsia"/>
              </w:rPr>
            </w:pPr>
            <w:r>
              <w:rPr>
                <w:sz w:val="16"/>
              </w:rPr>
              <w:t>Model Registry</w:t>
            </w:r>
          </w:p>
        </w:tc>
        <w:tc>
          <w:tcPr>
            <w:tcW w:w="6480" w:type="dxa"/>
            <w:tcMar>
              <w:top w:w="95" w:type="dxa"/>
              <w:left w:w="110" w:type="dxa"/>
              <w:bottom w:w="95" w:type="dxa"/>
              <w:right w:w="110" w:type="dxa"/>
            </w:tcMar>
            <w:vAlign w:val="center"/>
          </w:tcPr>
          <w:p w14:paraId="10422D6E" w14:textId="77777777" w:rsidR="00E579F2" w:rsidRDefault="00FC5553">
            <w:pPr>
              <w:spacing w:after="0" w:line="252" w:lineRule="auto"/>
              <w:rPr>
                <w:rFonts w:hint="eastAsia"/>
              </w:rPr>
            </w:pPr>
            <w:r>
              <w:rPr>
                <w:sz w:val="16"/>
              </w:rPr>
              <w:t>Model identity, formulas, parameter meanings, valid source types, version.</w:t>
            </w:r>
          </w:p>
        </w:tc>
      </w:tr>
      <w:tr w:rsidR="00E579F2" w14:paraId="56BBD26F" w14:textId="77777777">
        <w:trPr>
          <w:cantSplit/>
          <w:jc w:val="center"/>
        </w:trPr>
        <w:tc>
          <w:tcPr>
            <w:tcW w:w="3240" w:type="dxa"/>
            <w:tcMar>
              <w:top w:w="95" w:type="dxa"/>
              <w:left w:w="110" w:type="dxa"/>
              <w:bottom w:w="95" w:type="dxa"/>
              <w:right w:w="110" w:type="dxa"/>
            </w:tcMar>
            <w:vAlign w:val="center"/>
          </w:tcPr>
          <w:p w14:paraId="7C923A56" w14:textId="77777777" w:rsidR="00E579F2" w:rsidRDefault="00FC5553">
            <w:pPr>
              <w:spacing w:after="0" w:line="252" w:lineRule="auto"/>
              <w:rPr>
                <w:rFonts w:hint="eastAsia"/>
              </w:rPr>
            </w:pPr>
            <w:r>
              <w:rPr>
                <w:sz w:val="16"/>
              </w:rPr>
              <w:t>ModelKey / Extended Word Instance</w:t>
            </w:r>
          </w:p>
        </w:tc>
        <w:tc>
          <w:tcPr>
            <w:tcW w:w="6480" w:type="dxa"/>
            <w:tcMar>
              <w:top w:w="95" w:type="dxa"/>
              <w:left w:w="110" w:type="dxa"/>
              <w:bottom w:w="95" w:type="dxa"/>
              <w:right w:w="110" w:type="dxa"/>
            </w:tcMar>
            <w:vAlign w:val="center"/>
          </w:tcPr>
          <w:p w14:paraId="10D50209" w14:textId="77777777" w:rsidR="00E579F2" w:rsidRDefault="00FC5553">
            <w:pPr>
              <w:spacing w:after="0" w:line="252" w:lineRule="auto"/>
              <w:rPr>
                <w:rFonts w:hint="eastAsia"/>
              </w:rPr>
            </w:pPr>
            <w:r>
              <w:rPr>
                <w:sz w:val="16"/>
              </w:rPr>
              <w:t>Object-specific state and parameter values; may expose B000-B255 as transparent fields.</w:t>
            </w:r>
          </w:p>
        </w:tc>
      </w:tr>
      <w:tr w:rsidR="00E579F2" w14:paraId="010B350B" w14:textId="77777777">
        <w:trPr>
          <w:cantSplit/>
          <w:jc w:val="center"/>
        </w:trPr>
        <w:tc>
          <w:tcPr>
            <w:tcW w:w="3240" w:type="dxa"/>
            <w:tcMar>
              <w:top w:w="95" w:type="dxa"/>
              <w:left w:w="110" w:type="dxa"/>
              <w:bottom w:w="95" w:type="dxa"/>
              <w:right w:w="110" w:type="dxa"/>
            </w:tcMar>
            <w:vAlign w:val="center"/>
          </w:tcPr>
          <w:p w14:paraId="7E84CAE1" w14:textId="77777777" w:rsidR="00E579F2" w:rsidRDefault="00FC5553">
            <w:pPr>
              <w:spacing w:after="0" w:line="252" w:lineRule="auto"/>
              <w:rPr>
                <w:rFonts w:hint="eastAsia"/>
              </w:rPr>
            </w:pPr>
            <w:r>
              <w:rPr>
                <w:sz w:val="16"/>
              </w:rPr>
              <w:t>Operator Registry</w:t>
            </w:r>
          </w:p>
        </w:tc>
        <w:tc>
          <w:tcPr>
            <w:tcW w:w="6480" w:type="dxa"/>
            <w:tcMar>
              <w:top w:w="95" w:type="dxa"/>
              <w:left w:w="110" w:type="dxa"/>
              <w:bottom w:w="95" w:type="dxa"/>
              <w:right w:w="110" w:type="dxa"/>
            </w:tcMar>
            <w:vAlign w:val="center"/>
          </w:tcPr>
          <w:p w14:paraId="476822C8" w14:textId="77777777" w:rsidR="00E579F2" w:rsidRDefault="00FC5553">
            <w:pPr>
              <w:spacing w:after="0" w:line="252" w:lineRule="auto"/>
              <w:rPr>
                <w:rFonts w:hint="eastAsia"/>
              </w:rPr>
            </w:pPr>
            <w:r>
              <w:rPr>
                <w:sz w:val="16"/>
              </w:rPr>
              <w:t>Target Kernel, read/write scope, masks or scalar transform, inputs, postconditions.</w:t>
            </w:r>
          </w:p>
        </w:tc>
      </w:tr>
      <w:tr w:rsidR="00E579F2" w14:paraId="2ED114B3" w14:textId="77777777">
        <w:trPr>
          <w:cantSplit/>
          <w:jc w:val="center"/>
        </w:trPr>
        <w:tc>
          <w:tcPr>
            <w:tcW w:w="3240" w:type="dxa"/>
            <w:tcMar>
              <w:top w:w="95" w:type="dxa"/>
              <w:left w:w="110" w:type="dxa"/>
              <w:bottom w:w="95" w:type="dxa"/>
              <w:right w:w="110" w:type="dxa"/>
            </w:tcMar>
            <w:vAlign w:val="center"/>
          </w:tcPr>
          <w:p w14:paraId="25FE8711" w14:textId="77777777" w:rsidR="00E579F2" w:rsidRDefault="00FC5553">
            <w:pPr>
              <w:spacing w:after="0" w:line="252" w:lineRule="auto"/>
              <w:rPr>
                <w:rFonts w:hint="eastAsia"/>
              </w:rPr>
            </w:pPr>
            <w:r>
              <w:rPr>
                <w:sz w:val="16"/>
              </w:rPr>
              <w:t>Rule Registry</w:t>
            </w:r>
          </w:p>
        </w:tc>
        <w:tc>
          <w:tcPr>
            <w:tcW w:w="6480" w:type="dxa"/>
            <w:tcMar>
              <w:top w:w="95" w:type="dxa"/>
              <w:left w:w="110" w:type="dxa"/>
              <w:bottom w:w="95" w:type="dxa"/>
              <w:right w:w="110" w:type="dxa"/>
            </w:tcMar>
            <w:vAlign w:val="center"/>
          </w:tcPr>
          <w:p w14:paraId="30906720" w14:textId="77777777" w:rsidR="00E579F2" w:rsidRDefault="00FC5553">
            <w:pPr>
              <w:spacing w:after="0" w:line="252" w:lineRule="auto"/>
              <w:rPr>
                <w:rFonts w:hint="eastAsia"/>
              </w:rPr>
            </w:pPr>
            <w:r>
              <w:rPr>
                <w:sz w:val="16"/>
              </w:rPr>
              <w:t>Predicates, allowed transitions, classifications, Ruleset membership.</w:t>
            </w:r>
          </w:p>
        </w:tc>
      </w:tr>
      <w:tr w:rsidR="00E579F2" w14:paraId="358C3962" w14:textId="77777777">
        <w:trPr>
          <w:cantSplit/>
          <w:jc w:val="center"/>
        </w:trPr>
        <w:tc>
          <w:tcPr>
            <w:tcW w:w="3240" w:type="dxa"/>
            <w:tcMar>
              <w:top w:w="95" w:type="dxa"/>
              <w:left w:w="110" w:type="dxa"/>
              <w:bottom w:w="95" w:type="dxa"/>
              <w:right w:w="110" w:type="dxa"/>
            </w:tcMar>
            <w:vAlign w:val="center"/>
          </w:tcPr>
          <w:p w14:paraId="2613DF99" w14:textId="77777777" w:rsidR="00E579F2" w:rsidRDefault="00FC5553">
            <w:pPr>
              <w:spacing w:after="0" w:line="252" w:lineRule="auto"/>
              <w:rPr>
                <w:rFonts w:hint="eastAsia"/>
              </w:rPr>
            </w:pPr>
            <w:r>
              <w:rPr>
                <w:sz w:val="16"/>
              </w:rPr>
              <w:t>Parameter Binding Registry</w:t>
            </w:r>
          </w:p>
        </w:tc>
        <w:tc>
          <w:tcPr>
            <w:tcW w:w="6480" w:type="dxa"/>
            <w:tcMar>
              <w:top w:w="95" w:type="dxa"/>
              <w:left w:w="110" w:type="dxa"/>
              <w:bottom w:w="95" w:type="dxa"/>
              <w:right w:w="110" w:type="dxa"/>
            </w:tcMar>
            <w:vAlign w:val="center"/>
          </w:tcPr>
          <w:p w14:paraId="6375B421" w14:textId="77777777" w:rsidR="00E579F2" w:rsidRDefault="00FC5553">
            <w:pPr>
              <w:spacing w:after="0" w:line="252" w:lineRule="auto"/>
              <w:rPr>
                <w:rFonts w:hint="eastAsia"/>
              </w:rPr>
            </w:pPr>
            <w:r>
              <w:rPr>
                <w:sz w:val="16"/>
              </w:rPr>
              <w:t>Source object/Kernel/address, local ModelKey slot, comparator, Rule, Operator.</w:t>
            </w:r>
          </w:p>
        </w:tc>
      </w:tr>
      <w:tr w:rsidR="00E579F2" w14:paraId="5EA8F18A" w14:textId="77777777">
        <w:trPr>
          <w:cantSplit/>
          <w:jc w:val="center"/>
        </w:trPr>
        <w:tc>
          <w:tcPr>
            <w:tcW w:w="3240" w:type="dxa"/>
            <w:tcMar>
              <w:top w:w="95" w:type="dxa"/>
              <w:left w:w="110" w:type="dxa"/>
              <w:bottom w:w="95" w:type="dxa"/>
              <w:right w:w="110" w:type="dxa"/>
            </w:tcMar>
            <w:vAlign w:val="center"/>
          </w:tcPr>
          <w:p w14:paraId="5F82293C" w14:textId="77777777" w:rsidR="00E579F2" w:rsidRDefault="00FC5553">
            <w:pPr>
              <w:spacing w:after="0" w:line="252" w:lineRule="auto"/>
              <w:rPr>
                <w:rFonts w:hint="eastAsia"/>
              </w:rPr>
            </w:pPr>
            <w:r>
              <w:rPr>
                <w:sz w:val="16"/>
              </w:rPr>
              <w:t>Bitlink / Translation Registry</w:t>
            </w:r>
          </w:p>
        </w:tc>
        <w:tc>
          <w:tcPr>
            <w:tcW w:w="6480" w:type="dxa"/>
            <w:tcMar>
              <w:top w:w="95" w:type="dxa"/>
              <w:left w:w="110" w:type="dxa"/>
              <w:bottom w:w="95" w:type="dxa"/>
              <w:right w:w="110" w:type="dxa"/>
            </w:tcMar>
            <w:vAlign w:val="center"/>
          </w:tcPr>
          <w:p w14:paraId="1F74CB53" w14:textId="77777777" w:rsidR="00E579F2" w:rsidRDefault="00FC5553">
            <w:pPr>
              <w:spacing w:after="0" w:line="252" w:lineRule="auto"/>
              <w:rPr>
                <w:rFonts w:hint="eastAsia"/>
              </w:rPr>
            </w:pPr>
            <w:r>
              <w:rPr>
                <w:sz w:val="16"/>
              </w:rPr>
              <w:t>Downstream semantic dependencies and cross-Kernel mappings.</w:t>
            </w:r>
          </w:p>
        </w:tc>
      </w:tr>
      <w:tr w:rsidR="00E579F2" w14:paraId="078CC919" w14:textId="77777777">
        <w:trPr>
          <w:cantSplit/>
          <w:jc w:val="center"/>
        </w:trPr>
        <w:tc>
          <w:tcPr>
            <w:tcW w:w="3240" w:type="dxa"/>
            <w:tcMar>
              <w:top w:w="95" w:type="dxa"/>
              <w:left w:w="110" w:type="dxa"/>
              <w:bottom w:w="95" w:type="dxa"/>
              <w:right w:w="110" w:type="dxa"/>
            </w:tcMar>
            <w:vAlign w:val="center"/>
          </w:tcPr>
          <w:p w14:paraId="1247126D" w14:textId="77777777" w:rsidR="00E579F2" w:rsidRDefault="00FC5553">
            <w:pPr>
              <w:spacing w:after="0" w:line="252" w:lineRule="auto"/>
              <w:rPr>
                <w:rFonts w:hint="eastAsia"/>
              </w:rPr>
            </w:pPr>
            <w:r>
              <w:rPr>
                <w:sz w:val="16"/>
              </w:rPr>
              <w:t>Transition Event Registry</w:t>
            </w:r>
          </w:p>
        </w:tc>
        <w:tc>
          <w:tcPr>
            <w:tcW w:w="6480" w:type="dxa"/>
            <w:tcMar>
              <w:top w:w="95" w:type="dxa"/>
              <w:left w:w="110" w:type="dxa"/>
              <w:bottom w:w="95" w:type="dxa"/>
              <w:right w:w="110" w:type="dxa"/>
            </w:tcMar>
            <w:vAlign w:val="center"/>
          </w:tcPr>
          <w:p w14:paraId="4B9AAA87" w14:textId="77777777" w:rsidR="00E579F2" w:rsidRDefault="00FC5553">
            <w:pPr>
              <w:spacing w:after="0" w:line="252" w:lineRule="auto"/>
              <w:rPr>
                <w:rFonts w:hint="eastAsia"/>
              </w:rPr>
            </w:pPr>
            <w:r>
              <w:rPr>
                <w:sz w:val="16"/>
              </w:rPr>
              <w:t>Before/after state, source cause, Operator, Rule, ModelKey version, TIME-128, provenance.</w:t>
            </w:r>
          </w:p>
        </w:tc>
      </w:tr>
    </w:tbl>
    <w:p w14:paraId="3F0B8592" w14:textId="77777777" w:rsidR="00E579F2" w:rsidRDefault="00E579F2">
      <w:pPr>
        <w:spacing w:after="20"/>
        <w:rPr>
          <w:rFonts w:hint="eastAsia"/>
        </w:rPr>
      </w:pPr>
    </w:p>
    <w:p w14:paraId="38100270" w14:textId="77777777" w:rsidR="00E579F2" w:rsidRDefault="00FC5553">
      <w:pPr>
        <w:pStyle w:val="Heading2"/>
      </w:pPr>
      <w:r>
        <w:t>20.1 Field descriptions as executable documentation</w:t>
      </w:r>
    </w:p>
    <w:p w14:paraId="593A58B4" w14:textId="77777777" w:rsidR="00E579F2" w:rsidRDefault="00FC5553">
      <w:pPr>
        <w:spacing w:line="274" w:lineRule="auto"/>
        <w:rPr>
          <w:rFonts w:hint="eastAsia"/>
        </w:rPr>
      </w:pPr>
      <w:r>
        <w:rPr>
          <w:sz w:val="21"/>
        </w:rPr>
        <w:t>Each transparent field SHOULD carry an exact description and type through the Semantic Provenance Derivation (SPD) system. This lets documentation, AI query interfaces, validators, and future migration tooling derive meaning from the actual prototype structure instead of reconstructing it from prose.</w:t>
      </w:r>
    </w:p>
    <w:p w14:paraId="2E69DF50" w14:textId="77777777" w:rsidR="00E579F2" w:rsidRDefault="00FC5553">
      <w:pPr>
        <w:pStyle w:val="Heading2"/>
      </w:pPr>
      <w:r>
        <w:t>20.2 Prototype fidelity</w:t>
      </w:r>
    </w:p>
    <w:p w14:paraId="2EA8C573" w14:textId="77777777" w:rsidR="00E579F2" w:rsidRDefault="00FC5553">
      <w:pPr>
        <w:spacing w:line="274" w:lineRule="auto"/>
        <w:rPr>
          <w:rFonts w:hint="eastAsia"/>
        </w:rPr>
      </w:pPr>
      <w:r>
        <w:rPr>
          <w:sz w:val="21"/>
        </w:rPr>
        <w:t>The prototype is allowed to be inefficient in storage as long as it is semantically faithful. A checkbox field for B001 and a packed production bit at B001 are equivalent only when their Kernel/version contracts are the same.</w:t>
      </w:r>
    </w:p>
    <w:p w14:paraId="1BAB87E6" w14:textId="77777777" w:rsidR="00E579F2" w:rsidRDefault="00FC5553">
      <w:pPr>
        <w:pStyle w:val="Heading1"/>
      </w:pPr>
      <w:bookmarkStart w:id="23" w:name="sec21"/>
      <w:r>
        <w:t>21. Conformance and Validation</w:t>
      </w:r>
      <w:bookmarkEnd w:id="23"/>
    </w:p>
    <w:p w14:paraId="1E894219" w14:textId="77777777" w:rsidR="00E579F2" w:rsidRDefault="00FC5553">
      <w:pPr>
        <w:spacing w:line="274" w:lineRule="auto"/>
        <w:rPr>
          <w:rFonts w:hint="eastAsia"/>
        </w:rPr>
      </w:pPr>
      <w:r>
        <w:rPr>
          <w:sz w:val="21"/>
        </w:rPr>
        <w:t>A conforming implementation MUST validate both the Kernel word and every transition. Bit-level compactness is useful only if semantic invariants remain exact.</w:t>
      </w:r>
    </w:p>
    <w:p w14:paraId="12B96DC2" w14:textId="77777777" w:rsidR="00E579F2" w:rsidRDefault="00FC5553">
      <w:pPr>
        <w:pStyle w:val="Heading2"/>
      </w:pPr>
      <w:r>
        <w:t>21.1 Kernel conformance</w:t>
      </w:r>
    </w:p>
    <w:p w14:paraId="6EB4798D" w14:textId="77777777" w:rsidR="00E579F2" w:rsidRDefault="00FC5553">
      <w:pPr>
        <w:pStyle w:val="ListBullet"/>
        <w:spacing w:after="50" w:line="259" w:lineRule="auto"/>
        <w:rPr>
          <w:rFonts w:hint="eastAsia"/>
        </w:rPr>
      </w:pPr>
      <w:r>
        <w:rPr>
          <w:sz w:val="21"/>
        </w:rPr>
        <w:t>Kernel ID, version, word size, and bit numbering are explicit.</w:t>
      </w:r>
    </w:p>
    <w:p w14:paraId="1CA7FA67" w14:textId="77777777" w:rsidR="00E579F2" w:rsidRDefault="00FC5553">
      <w:pPr>
        <w:pStyle w:val="ListBullet"/>
        <w:spacing w:after="50" w:line="259" w:lineRule="auto"/>
        <w:rPr>
          <w:rFonts w:hint="eastAsia"/>
        </w:rPr>
      </w:pPr>
      <w:r>
        <w:rPr>
          <w:sz w:val="21"/>
        </w:rPr>
        <w:t>Serialized byte order and bit order are explicit.</w:t>
      </w:r>
    </w:p>
    <w:p w14:paraId="733E15B6" w14:textId="77777777" w:rsidR="00E579F2" w:rsidRDefault="00FC5553">
      <w:pPr>
        <w:pStyle w:val="ListBullet"/>
        <w:spacing w:after="50" w:line="259" w:lineRule="auto"/>
        <w:rPr>
          <w:rFonts w:hint="eastAsia"/>
        </w:rPr>
      </w:pPr>
      <w:r>
        <w:rPr>
          <w:sz w:val="21"/>
        </w:rPr>
        <w:t>Reserved bits have defined write/read behavior.</w:t>
      </w:r>
    </w:p>
    <w:p w14:paraId="2FD3CE38" w14:textId="77777777" w:rsidR="00E579F2" w:rsidRDefault="00FC5553">
      <w:pPr>
        <w:pStyle w:val="ListBullet"/>
        <w:spacing w:after="50" w:line="259" w:lineRule="auto"/>
        <w:rPr>
          <w:rFonts w:hint="eastAsia"/>
        </w:rPr>
      </w:pPr>
      <w:r>
        <w:rPr>
          <w:sz w:val="21"/>
        </w:rPr>
        <w:t>Every active bit or range has a declared semantic type and decoding rule.</w:t>
      </w:r>
    </w:p>
    <w:p w14:paraId="6B9B11C8" w14:textId="77777777" w:rsidR="00E579F2" w:rsidRDefault="00FC5553">
      <w:pPr>
        <w:pStyle w:val="ListBullet"/>
        <w:spacing w:after="50" w:line="259" w:lineRule="auto"/>
        <w:rPr>
          <w:rFonts w:hint="eastAsia"/>
        </w:rPr>
      </w:pPr>
      <w:r>
        <w:rPr>
          <w:sz w:val="21"/>
        </w:rPr>
        <w:t>Prefix compatibility claims are testable and versioned.</w:t>
      </w:r>
    </w:p>
    <w:p w14:paraId="370624E3" w14:textId="77777777" w:rsidR="00E579F2" w:rsidRDefault="00FC5553">
      <w:pPr>
        <w:pStyle w:val="ListBullet"/>
        <w:spacing w:after="50" w:line="259" w:lineRule="auto"/>
        <w:rPr>
          <w:rFonts w:hint="eastAsia"/>
        </w:rPr>
      </w:pPr>
      <w:r>
        <w:rPr>
          <w:sz w:val="21"/>
        </w:rPr>
        <w:t>ModelKey extension ranges have declared basis, resolution, units, and valid values.</w:t>
      </w:r>
    </w:p>
    <w:p w14:paraId="01C1DC47" w14:textId="77777777" w:rsidR="00E579F2" w:rsidRDefault="00FC5553">
      <w:pPr>
        <w:pStyle w:val="Heading2"/>
      </w:pPr>
      <w:r>
        <w:t>21.2 Operator conformance</w:t>
      </w:r>
    </w:p>
    <w:p w14:paraId="052C5209" w14:textId="77777777" w:rsidR="00E579F2" w:rsidRDefault="00FC5553">
      <w:pPr>
        <w:pStyle w:val="ListBullet"/>
        <w:spacing w:after="50" w:line="259" w:lineRule="auto"/>
        <w:rPr>
          <w:rFonts w:hint="eastAsia"/>
        </w:rPr>
      </w:pPr>
      <w:r>
        <w:rPr>
          <w:sz w:val="21"/>
        </w:rPr>
        <w:t>Read and write scopes are declared.</w:t>
      </w:r>
    </w:p>
    <w:p w14:paraId="1053C644" w14:textId="77777777" w:rsidR="00E579F2" w:rsidRDefault="00FC5553">
      <w:pPr>
        <w:pStyle w:val="ListBullet"/>
        <w:spacing w:after="50" w:line="259" w:lineRule="auto"/>
        <w:rPr>
          <w:rFonts w:hint="eastAsia"/>
        </w:rPr>
      </w:pPr>
      <w:r>
        <w:rPr>
          <w:sz w:val="21"/>
        </w:rPr>
        <w:t>An Operator cannot mutate undeclared bits.</w:t>
      </w:r>
    </w:p>
    <w:p w14:paraId="78E9E281" w14:textId="77777777" w:rsidR="00E579F2" w:rsidRDefault="00FC5553">
      <w:pPr>
        <w:pStyle w:val="ListBullet"/>
        <w:spacing w:after="50" w:line="259" w:lineRule="auto"/>
        <w:rPr>
          <w:rFonts w:hint="eastAsia"/>
        </w:rPr>
      </w:pPr>
      <w:r>
        <w:rPr>
          <w:sz w:val="21"/>
        </w:rPr>
        <w:t>Preconditions and postconditions are testable.</w:t>
      </w:r>
    </w:p>
    <w:p w14:paraId="3FA37634" w14:textId="77777777" w:rsidR="00E579F2" w:rsidRDefault="00FC5553">
      <w:pPr>
        <w:pStyle w:val="ListBullet"/>
        <w:spacing w:after="50" w:line="259" w:lineRule="auto"/>
        <w:rPr>
          <w:rFonts w:hint="eastAsia"/>
        </w:rPr>
      </w:pPr>
      <w:r>
        <w:rPr>
          <w:sz w:val="21"/>
        </w:rPr>
        <w:t>Numeric transforms handle overflow and reserved encodings deterministically.</w:t>
      </w:r>
    </w:p>
    <w:p w14:paraId="7CFA7C95" w14:textId="77777777" w:rsidR="00E579F2" w:rsidRDefault="00FC5553">
      <w:pPr>
        <w:pStyle w:val="ListBullet"/>
        <w:spacing w:after="50" w:line="259" w:lineRule="auto"/>
        <w:rPr>
          <w:rFonts w:hint="eastAsia"/>
        </w:rPr>
      </w:pPr>
      <w:r>
        <w:rPr>
          <w:sz w:val="21"/>
        </w:rPr>
        <w:t>Multi-bit transitions are atomic.</w:t>
      </w:r>
    </w:p>
    <w:p w14:paraId="308A5C36" w14:textId="77777777" w:rsidR="00E579F2" w:rsidRDefault="00FC5553">
      <w:pPr>
        <w:pStyle w:val="ListBullet"/>
        <w:spacing w:after="50" w:line="259" w:lineRule="auto"/>
        <w:rPr>
          <w:rFonts w:hint="eastAsia"/>
        </w:rPr>
      </w:pPr>
      <w:r>
        <w:rPr>
          <w:sz w:val="21"/>
        </w:rPr>
        <w:t>Failure returns the original word unless an explicit failure-state Operator is defined.</w:t>
      </w:r>
    </w:p>
    <w:p w14:paraId="470055AA" w14:textId="77777777" w:rsidR="00E579F2" w:rsidRDefault="00FC5553">
      <w:pPr>
        <w:pStyle w:val="Heading2"/>
      </w:pPr>
      <w:r>
        <w:t>21.3 Rule and binding conformance</w:t>
      </w:r>
    </w:p>
    <w:p w14:paraId="72E3309F" w14:textId="77777777" w:rsidR="00E579F2" w:rsidRDefault="00FC5553">
      <w:pPr>
        <w:pStyle w:val="ListBullet"/>
        <w:spacing w:after="50" w:line="259" w:lineRule="auto"/>
        <w:rPr>
          <w:rFonts w:hint="eastAsia"/>
        </w:rPr>
      </w:pPr>
      <w:r>
        <w:rPr>
          <w:sz w:val="21"/>
        </w:rPr>
        <w:t>Source Kernel/version is known and decodable.</w:t>
      </w:r>
    </w:p>
    <w:p w14:paraId="10CD4A1D" w14:textId="77777777" w:rsidR="00E579F2" w:rsidRDefault="00FC5553">
      <w:pPr>
        <w:pStyle w:val="ListBullet"/>
        <w:spacing w:after="50" w:line="259" w:lineRule="auto"/>
        <w:rPr>
          <w:rFonts w:hint="eastAsia"/>
        </w:rPr>
      </w:pPr>
      <w:r>
        <w:rPr>
          <w:sz w:val="21"/>
        </w:rPr>
        <w:t>Parameter slot and comparator are unambiguous.</w:t>
      </w:r>
    </w:p>
    <w:p w14:paraId="2EA0E1E0" w14:textId="77777777" w:rsidR="00E579F2" w:rsidRDefault="00FC5553">
      <w:pPr>
        <w:pStyle w:val="ListBullet"/>
        <w:spacing w:after="50" w:line="259" w:lineRule="auto"/>
        <w:rPr>
          <w:rFonts w:hint="eastAsia"/>
        </w:rPr>
      </w:pPr>
      <w:r>
        <w:rPr>
          <w:sz w:val="21"/>
        </w:rPr>
        <w:t>Units and bases are compatible or translated.</w:t>
      </w:r>
    </w:p>
    <w:p w14:paraId="6D060FB6" w14:textId="77777777" w:rsidR="00E579F2" w:rsidRDefault="00FC5553">
      <w:pPr>
        <w:pStyle w:val="ListBullet"/>
        <w:spacing w:after="50" w:line="259" w:lineRule="auto"/>
        <w:rPr>
          <w:rFonts w:hint="eastAsia"/>
        </w:rPr>
      </w:pPr>
      <w:r>
        <w:rPr>
          <w:sz w:val="21"/>
        </w:rPr>
        <w:t>Ruleset is explicit.</w:t>
      </w:r>
    </w:p>
    <w:p w14:paraId="1C95A1F2" w14:textId="77777777" w:rsidR="00E579F2" w:rsidRDefault="00FC5553">
      <w:pPr>
        <w:pStyle w:val="ListBullet"/>
        <w:spacing w:after="50" w:line="259" w:lineRule="auto"/>
        <w:rPr>
          <w:rFonts w:hint="eastAsia"/>
        </w:rPr>
      </w:pPr>
      <w:r>
        <w:rPr>
          <w:sz w:val="21"/>
        </w:rPr>
        <w:t>Source-to-target lineage is recorded for committed transitions.</w:t>
      </w:r>
    </w:p>
    <w:p w14:paraId="337278E3" w14:textId="77777777" w:rsidR="00E579F2" w:rsidRDefault="00FC5553">
      <w:pPr>
        <w:pStyle w:val="ListBullet"/>
        <w:spacing w:after="50" w:line="259" w:lineRule="auto"/>
        <w:rPr>
          <w:rFonts w:hint="eastAsia"/>
        </w:rPr>
      </w:pPr>
      <w:r>
        <w:rPr>
          <w:sz w:val="21"/>
        </w:rPr>
        <w:t>Cycles and duplicate events are controlled by propagation policy.</w:t>
      </w:r>
    </w:p>
    <w:p w14:paraId="49946A3D" w14:textId="77777777" w:rsidR="00E579F2" w:rsidRDefault="00FC5553">
      <w:pPr>
        <w:pStyle w:val="Heading2"/>
      </w:pPr>
      <w:r>
        <w:t>21.4 Test vectors</w:t>
      </w:r>
    </w:p>
    <w:p w14:paraId="5DBC94D4" w14:textId="77777777" w:rsidR="00E579F2" w:rsidRDefault="00FC5553">
      <w:pPr>
        <w:spacing w:line="274" w:lineRule="auto"/>
        <w:rPr>
          <w:rFonts w:hint="eastAsia"/>
        </w:rPr>
      </w:pPr>
      <w:r>
        <w:rPr>
          <w:sz w:val="21"/>
        </w:rPr>
        <w:t>Every production Operator SHOULD ship with deterministic test vectors containing input word, ModelKey parameters, source values, Ruleset, expected output word, expected delta, and expected failure cases. Cross-object chains SHOULD include end-to-end causal test fixtures.</w:t>
      </w:r>
    </w:p>
    <w:p w14:paraId="26A66DB9" w14:textId="77777777" w:rsidR="00E579F2" w:rsidRDefault="00FC5553">
      <w:pPr>
        <w:pStyle w:val="Heading1"/>
      </w:pPr>
      <w:bookmarkStart w:id="24" w:name="sec22"/>
      <w:r>
        <w:t>22. Edge Cases and Failure Controls</w:t>
      </w:r>
      <w:bookmarkEnd w:id="24"/>
    </w:p>
    <w:p w14:paraId="59CC0A7A" w14:textId="77777777" w:rsidR="00E579F2" w:rsidRDefault="00FC5553">
      <w:pPr>
        <w:pStyle w:val="Heading2"/>
      </w:pPr>
      <w:r>
        <w:t>22.1 Cycles</w:t>
      </w:r>
    </w:p>
    <w:p w14:paraId="03BAD3F9" w14:textId="77777777" w:rsidR="00E579F2" w:rsidRDefault="00FC5553">
      <w:pPr>
        <w:spacing w:line="274" w:lineRule="auto"/>
        <w:rPr>
          <w:rFonts w:hint="eastAsia"/>
        </w:rPr>
      </w:pPr>
      <w:r>
        <w:rPr>
          <w:sz w:val="21"/>
        </w:rPr>
        <w:t>Semantic chains can form cycles. A cycle is not inherently invalid, but uncontrolled immediate propagation can produce infinite loops. Runtime policies SHOULD include event IDs, visited-edge tracking, propagation budgets, fixed-point evaluation, debounce, or explicit feedback-loop semantics.</w:t>
      </w:r>
    </w:p>
    <w:p w14:paraId="3162AF48" w14:textId="77777777" w:rsidR="00E579F2" w:rsidRDefault="00FC5553">
      <w:pPr>
        <w:pStyle w:val="Heading2"/>
      </w:pPr>
      <w:r>
        <w:t>22.2 Simultaneous threshold crossings</w:t>
      </w:r>
    </w:p>
    <w:p w14:paraId="31EB1CFF" w14:textId="77777777" w:rsidR="00E579F2" w:rsidRDefault="00FC5553">
      <w:pPr>
        <w:spacing w:line="274" w:lineRule="auto"/>
        <w:rPr>
          <w:rFonts w:hint="eastAsia"/>
        </w:rPr>
      </w:pPr>
      <w:r>
        <w:rPr>
          <w:sz w:val="21"/>
        </w:rPr>
        <w:t>When one source update satisfies multiple transitions, the Kernel MUST define whether transitions are mutually compatible, priority ordered, batch evaluated, or prohibited. Determinism requires an explicit policy rather than dependence on table iteration order.</w:t>
      </w:r>
    </w:p>
    <w:p w14:paraId="23C43330" w14:textId="77777777" w:rsidR="00E579F2" w:rsidRDefault="00FC5553">
      <w:pPr>
        <w:pStyle w:val="Heading2"/>
      </w:pPr>
      <w:r>
        <w:t>22.3 Stale ModelKeys</w:t>
      </w:r>
    </w:p>
    <w:p w14:paraId="38EC7608" w14:textId="77777777" w:rsidR="00E579F2" w:rsidRDefault="00FC5553">
      <w:pPr>
        <w:spacing w:line="274" w:lineRule="auto"/>
        <w:rPr>
          <w:rFonts w:hint="eastAsia"/>
        </w:rPr>
      </w:pPr>
      <w:r>
        <w:rPr>
          <w:sz w:val="21"/>
        </w:rPr>
        <w:t>A ModelKey is version-sensitive. If the Model or Kernel contract changes, historical words MUST retain their original version. Migration requires explicit translation or recomputation; an old suffix MUST NOT be silently decoded under a new layout.</w:t>
      </w:r>
    </w:p>
    <w:p w14:paraId="6278D038" w14:textId="77777777" w:rsidR="00E579F2" w:rsidRDefault="00FC5553">
      <w:pPr>
        <w:pStyle w:val="Heading2"/>
      </w:pPr>
      <w:r>
        <w:t>22.4 Missing source values</w:t>
      </w:r>
    </w:p>
    <w:p w14:paraId="4FD8E0D7" w14:textId="77777777" w:rsidR="00E579F2" w:rsidRDefault="00FC5553">
      <w:pPr>
        <w:spacing w:line="274" w:lineRule="auto"/>
        <w:rPr>
          <w:rFonts w:hint="eastAsia"/>
        </w:rPr>
      </w:pPr>
      <w:r>
        <w:rPr>
          <w:sz w:val="21"/>
        </w:rPr>
        <w:t>A missing or unspecified source MUST be distinguishable from a numeric zero or false state when that distinction matters. Rules SHOULD define whether missing input blocks evaluation, uses a default, queues the transition, or routes to an exception state.</w:t>
      </w:r>
    </w:p>
    <w:p w14:paraId="4E36728B" w14:textId="77777777" w:rsidR="00E579F2" w:rsidRDefault="00FC5553">
      <w:pPr>
        <w:pStyle w:val="Heading2"/>
      </w:pPr>
      <w:r>
        <w:t>22.5 Conflicting epistemic states</w:t>
      </w:r>
    </w:p>
    <w:p w14:paraId="19D5218E" w14:textId="77777777" w:rsidR="00E579F2" w:rsidRDefault="00FC5553">
      <w:pPr>
        <w:spacing w:line="274" w:lineRule="auto"/>
        <w:rPr>
          <w:rFonts w:hint="eastAsia"/>
        </w:rPr>
      </w:pPr>
      <w:r>
        <w:rPr>
          <w:sz w:val="21"/>
        </w:rPr>
        <w:t>Observed, simulated, predicted, and planned Kernel states MAY coexist for the same NodeKey. They MUST remain separate instances or explicitly labeled projections so a simulation chain cannot silently overwrite observed canonical state.</w:t>
      </w:r>
    </w:p>
    <w:p w14:paraId="2074FD02" w14:textId="77777777" w:rsidR="00E579F2" w:rsidRDefault="00FC5553">
      <w:pPr>
        <w:pStyle w:val="Heading2"/>
      </w:pPr>
      <w:r>
        <w:t>22.6 Safety boundaries</w:t>
      </w:r>
    </w:p>
    <w:p w14:paraId="431B06F3" w14:textId="77777777" w:rsidR="00E579F2" w:rsidRDefault="00FC5553">
      <w:pPr>
        <w:spacing w:line="274" w:lineRule="auto"/>
        <w:rPr>
          <w:rFonts w:hint="eastAsia"/>
        </w:rPr>
      </w:pPr>
      <w:r>
        <w:rPr>
          <w:sz w:val="21"/>
        </w:rPr>
        <w:t>In safety-critical domains, threshold-triggered Operators SHOULD be governed by professionally validated Rules and, where appropriate, physical interlocks, redundant sensors, or human confirmation. Compact semantic encoding does not replace domain safety engineering.</w:t>
      </w:r>
    </w:p>
    <w:p w14:paraId="7EE66E37" w14:textId="77777777" w:rsidR="00E579F2" w:rsidRDefault="00FC5553">
      <w:pPr>
        <w:pStyle w:val="Heading1"/>
      </w:pPr>
      <w:bookmarkStart w:id="25" w:name="sec23"/>
      <w:r>
        <w:t>23. Versioning and Evolution</w:t>
      </w:r>
      <w:bookmarkEnd w:id="25"/>
    </w:p>
    <w:p w14:paraId="691F414B" w14:textId="77777777" w:rsidR="00E579F2" w:rsidRDefault="00FC5553">
      <w:pPr>
        <w:spacing w:line="274" w:lineRule="auto"/>
        <w:rPr>
          <w:rFonts w:hint="eastAsia"/>
        </w:rPr>
      </w:pPr>
      <w:r>
        <w:rPr>
          <w:sz w:val="21"/>
        </w:rPr>
        <w:t>The Kernel family MUST distinguish stable standard words from extensions and forks. Once a version is published, existing bit meanings MUST NOT be reinterpreted in place. New semantics require extension, translation, or a new version.</w:t>
      </w:r>
    </w:p>
    <w:p w14:paraId="6F18CA1D" w14:textId="77777777" w:rsidR="00E579F2" w:rsidRDefault="00FC5553">
      <w:pPr>
        <w:pStyle w:val="Heading2"/>
      </w:pPr>
      <w:r>
        <w:t>23.1 Extension</w:t>
      </w:r>
    </w:p>
    <w:p w14:paraId="250E9BA5" w14:textId="77777777" w:rsidR="00E579F2" w:rsidRDefault="00FC5553">
      <w:pPr>
        <w:spacing w:line="274" w:lineRule="auto"/>
        <w:rPr>
          <w:rFonts w:hint="eastAsia"/>
        </w:rPr>
      </w:pPr>
      <w:r>
        <w:rPr>
          <w:sz w:val="21"/>
        </w:rPr>
        <w:t>Use extension when the existing word remains semantically correct and the new suffix adds a stable independent capability. Prefix preservation is especially valuable for broad interoperability: a FOOD-256 object can still expose FOOD-128 to systems that do not understand its advanced parameterization.</w:t>
      </w:r>
    </w:p>
    <w:p w14:paraId="3C75CC01" w14:textId="77777777" w:rsidR="00E579F2" w:rsidRDefault="00FC5553">
      <w:pPr>
        <w:pStyle w:val="Heading2"/>
      </w:pPr>
      <w:r>
        <w:t>23.2 Translation</w:t>
      </w:r>
    </w:p>
    <w:p w14:paraId="0E200BA6" w14:textId="77777777" w:rsidR="00E579F2" w:rsidRDefault="00FC5553">
      <w:pPr>
        <w:spacing w:line="274" w:lineRule="auto"/>
        <w:rPr>
          <w:rFonts w:hint="eastAsia"/>
        </w:rPr>
      </w:pPr>
      <w:r>
        <w:rPr>
          <w:sz w:val="21"/>
        </w:rPr>
        <w:t>Use translation when a new layout, model, unit system, or community standard cannot preserve the old prefix. Translation metadata MUST state whether mappings are exact, lossy, partial, or unavailable.</w:t>
      </w:r>
    </w:p>
    <w:p w14:paraId="7E6B8524" w14:textId="77777777" w:rsidR="00E579F2" w:rsidRDefault="00FC5553">
      <w:pPr>
        <w:pStyle w:val="Heading2"/>
      </w:pPr>
      <w:r>
        <w:t>23.3 Composition</w:t>
      </w:r>
    </w:p>
    <w:p w14:paraId="7DDFABDD" w14:textId="77777777" w:rsidR="00E579F2" w:rsidRDefault="00FC5553">
      <w:pPr>
        <w:spacing w:line="274" w:lineRule="auto"/>
        <w:rPr>
          <w:rFonts w:hint="eastAsia"/>
        </w:rPr>
      </w:pPr>
      <w:r>
        <w:rPr>
          <w:sz w:val="21"/>
        </w:rPr>
        <w:t>Use companion Kernels when the new concern is semantically separable. A food object may combine FOOD-128, COOKING-256, SAFETY-128, and FANTASY-AFFINITY-128 rather than expanding FOOD indefinitely. Composition usually preserves modularity better than uncontrolled word growth.</w:t>
      </w:r>
    </w:p>
    <w:p w14:paraId="08D12BCF" w14:textId="77777777" w:rsidR="00E579F2" w:rsidRDefault="00FC5553">
      <w:pPr>
        <w:pStyle w:val="Heading2"/>
      </w:pPr>
      <w:r>
        <w:t>23.4 ModelKey migration</w:t>
      </w:r>
    </w:p>
    <w:p w14:paraId="5B8A54AD" w14:textId="77777777" w:rsidR="00E579F2" w:rsidRDefault="00FC5553">
      <w:pPr>
        <w:spacing w:line="274" w:lineRule="auto"/>
        <w:rPr>
          <w:rFonts w:hint="eastAsia"/>
        </w:rPr>
      </w:pPr>
      <w:r>
        <w:rPr>
          <w:sz w:val="21"/>
        </w:rPr>
        <w:t>A ModelKey migration MUST identify source Model/version, target Model/version, transformed parameter slots, unresolved values, and any semantic loss. Historical Transition Events SHOULD retain the ModelKey version actually used at the time of transition.</w:t>
      </w:r>
    </w:p>
    <w:p w14:paraId="64DF5EB1" w14:textId="77777777" w:rsidR="00E579F2" w:rsidRDefault="00FC5553">
      <w:pPr>
        <w:pStyle w:val="Heading1"/>
      </w:pPr>
      <w:bookmarkStart w:id="26" w:name="sec24"/>
      <w:r>
        <w:t>24. Implementation Templates</w:t>
      </w:r>
      <w:bookmarkEnd w:id="26"/>
    </w:p>
    <w:p w14:paraId="68409114" w14:textId="77777777" w:rsidR="00E579F2" w:rsidRDefault="00FC5553">
      <w:pPr>
        <w:pStyle w:val="Heading2"/>
      </w:pPr>
      <w:r>
        <w:t>24.1 Kernel extension template</w:t>
      </w:r>
    </w:p>
    <w:tbl>
      <w:tblPr>
        <w:tblW w:w="0" w:type="auto"/>
        <w:jc w:val="center"/>
        <w:tblLayout w:type="fixed"/>
        <w:tblLook w:val="04A0" w:firstRow="1" w:lastRow="0" w:firstColumn="1" w:lastColumn="0" w:noHBand="0" w:noVBand="1"/>
      </w:tblPr>
      <w:tblGrid>
        <w:gridCol w:w="2880"/>
        <w:gridCol w:w="6840"/>
      </w:tblGrid>
      <w:tr w:rsidR="00E579F2" w14:paraId="696DB7E8" w14:textId="77777777">
        <w:trPr>
          <w:tblHeader/>
          <w:jc w:val="center"/>
        </w:trPr>
        <w:tc>
          <w:tcPr>
            <w:tcW w:w="2880" w:type="dxa"/>
            <w:tcBorders>
              <w:top w:val="single" w:sz="4" w:space="0" w:color="C9D6DF"/>
              <w:left w:val="single" w:sz="4" w:space="0" w:color="C9D6DF"/>
              <w:bottom w:val="single" w:sz="4" w:space="0" w:color="C9D6DF"/>
              <w:right w:val="single" w:sz="4" w:space="0" w:color="C9D6DF"/>
            </w:tcBorders>
            <w:shd w:val="clear" w:color="auto" w:fill="17324D"/>
            <w:tcMar>
              <w:top w:w="105" w:type="dxa"/>
              <w:left w:w="110" w:type="dxa"/>
              <w:bottom w:w="105" w:type="dxa"/>
              <w:right w:w="110" w:type="dxa"/>
            </w:tcMar>
            <w:vAlign w:val="center"/>
          </w:tcPr>
          <w:p w14:paraId="100A91DF" w14:textId="77777777" w:rsidR="00E579F2" w:rsidRDefault="00FC5553">
            <w:pPr>
              <w:spacing w:after="0"/>
              <w:rPr>
                <w:rFonts w:hint="eastAsia"/>
              </w:rPr>
            </w:pPr>
            <w:r>
              <w:rPr>
                <w:b/>
                <w:color w:val="FFFFFF"/>
                <w:sz w:val="17"/>
              </w:rPr>
              <w:t>Field</w:t>
            </w:r>
          </w:p>
        </w:tc>
        <w:tc>
          <w:tcPr>
            <w:tcW w:w="6840" w:type="dxa"/>
            <w:tcBorders>
              <w:top w:val="single" w:sz="4" w:space="0" w:color="C9D6DF"/>
              <w:left w:val="single" w:sz="4" w:space="0" w:color="C9D6DF"/>
              <w:bottom w:val="single" w:sz="4" w:space="0" w:color="C9D6DF"/>
              <w:right w:val="single" w:sz="4" w:space="0" w:color="C9D6DF"/>
            </w:tcBorders>
            <w:shd w:val="clear" w:color="auto" w:fill="17324D"/>
            <w:tcMar>
              <w:top w:w="105" w:type="dxa"/>
              <w:left w:w="110" w:type="dxa"/>
              <w:bottom w:w="105" w:type="dxa"/>
              <w:right w:w="110" w:type="dxa"/>
            </w:tcMar>
            <w:vAlign w:val="center"/>
          </w:tcPr>
          <w:p w14:paraId="008AD72E" w14:textId="77777777" w:rsidR="00E579F2" w:rsidRDefault="00FC5553">
            <w:pPr>
              <w:spacing w:after="0"/>
              <w:rPr>
                <w:rFonts w:hint="eastAsia"/>
              </w:rPr>
            </w:pPr>
            <w:r>
              <w:rPr>
                <w:b/>
                <w:color w:val="FFFFFF"/>
                <w:sz w:val="17"/>
              </w:rPr>
              <w:t>Required content</w:t>
            </w:r>
          </w:p>
        </w:tc>
      </w:tr>
      <w:tr w:rsidR="00E579F2" w14:paraId="5B5EC486" w14:textId="77777777">
        <w:trPr>
          <w:cantSplit/>
          <w:jc w:val="center"/>
        </w:trPr>
        <w:tc>
          <w:tcPr>
            <w:tcW w:w="2880" w:type="dxa"/>
            <w:tcMar>
              <w:top w:w="95" w:type="dxa"/>
              <w:left w:w="110" w:type="dxa"/>
              <w:bottom w:w="95" w:type="dxa"/>
              <w:right w:w="110" w:type="dxa"/>
            </w:tcMar>
            <w:vAlign w:val="center"/>
          </w:tcPr>
          <w:p w14:paraId="313521F7" w14:textId="77777777" w:rsidR="00E579F2" w:rsidRDefault="00FC5553">
            <w:pPr>
              <w:spacing w:after="0" w:line="252" w:lineRule="auto"/>
              <w:rPr>
                <w:rFonts w:hint="eastAsia"/>
              </w:rPr>
            </w:pPr>
            <w:r>
              <w:rPr>
                <w:sz w:val="17"/>
              </w:rPr>
              <w:t>Kernel ID</w:t>
            </w:r>
          </w:p>
        </w:tc>
        <w:tc>
          <w:tcPr>
            <w:tcW w:w="6840" w:type="dxa"/>
            <w:tcMar>
              <w:top w:w="95" w:type="dxa"/>
              <w:left w:w="110" w:type="dxa"/>
              <w:bottom w:w="95" w:type="dxa"/>
              <w:right w:w="110" w:type="dxa"/>
            </w:tcMar>
            <w:vAlign w:val="center"/>
          </w:tcPr>
          <w:p w14:paraId="5E64C823" w14:textId="77777777" w:rsidR="00E579F2" w:rsidRDefault="00FC5553">
            <w:pPr>
              <w:spacing w:after="0" w:line="252" w:lineRule="auto"/>
              <w:rPr>
                <w:rFonts w:hint="eastAsia"/>
              </w:rPr>
            </w:pPr>
            <w:r>
              <w:rPr>
                <w:sz w:val="17"/>
              </w:rPr>
              <w:t>Stable identifier.</w:t>
            </w:r>
          </w:p>
        </w:tc>
      </w:tr>
      <w:tr w:rsidR="00E579F2" w14:paraId="314C891F" w14:textId="77777777">
        <w:trPr>
          <w:cantSplit/>
          <w:jc w:val="center"/>
        </w:trPr>
        <w:tc>
          <w:tcPr>
            <w:tcW w:w="2880" w:type="dxa"/>
            <w:tcMar>
              <w:top w:w="95" w:type="dxa"/>
              <w:left w:w="110" w:type="dxa"/>
              <w:bottom w:w="95" w:type="dxa"/>
              <w:right w:w="110" w:type="dxa"/>
            </w:tcMar>
            <w:vAlign w:val="center"/>
          </w:tcPr>
          <w:p w14:paraId="5DA63267" w14:textId="77777777" w:rsidR="00E579F2" w:rsidRDefault="00FC5553">
            <w:pPr>
              <w:spacing w:after="0" w:line="252" w:lineRule="auto"/>
              <w:rPr>
                <w:rFonts w:hint="eastAsia"/>
              </w:rPr>
            </w:pPr>
            <w:r>
              <w:rPr>
                <w:sz w:val="17"/>
              </w:rPr>
              <w:t>Parent / Prefix</w:t>
            </w:r>
          </w:p>
        </w:tc>
        <w:tc>
          <w:tcPr>
            <w:tcW w:w="6840" w:type="dxa"/>
            <w:tcMar>
              <w:top w:w="95" w:type="dxa"/>
              <w:left w:w="110" w:type="dxa"/>
              <w:bottom w:w="95" w:type="dxa"/>
              <w:right w:w="110" w:type="dxa"/>
            </w:tcMar>
            <w:vAlign w:val="center"/>
          </w:tcPr>
          <w:p w14:paraId="4BE87E92" w14:textId="77777777" w:rsidR="00E579F2" w:rsidRDefault="00FC5553">
            <w:pPr>
              <w:spacing w:after="0" w:line="252" w:lineRule="auto"/>
              <w:rPr>
                <w:rFonts w:hint="eastAsia"/>
              </w:rPr>
            </w:pPr>
            <w:r>
              <w:rPr>
                <w:sz w:val="17"/>
              </w:rPr>
              <w:t>Parent Kernel and exact preserved bit range, if any.</w:t>
            </w:r>
          </w:p>
        </w:tc>
      </w:tr>
      <w:tr w:rsidR="00E579F2" w14:paraId="4198FE4D" w14:textId="77777777">
        <w:trPr>
          <w:cantSplit/>
          <w:jc w:val="center"/>
        </w:trPr>
        <w:tc>
          <w:tcPr>
            <w:tcW w:w="2880" w:type="dxa"/>
            <w:tcMar>
              <w:top w:w="95" w:type="dxa"/>
              <w:left w:w="110" w:type="dxa"/>
              <w:bottom w:w="95" w:type="dxa"/>
              <w:right w:w="110" w:type="dxa"/>
            </w:tcMar>
            <w:vAlign w:val="center"/>
          </w:tcPr>
          <w:p w14:paraId="60353B2F" w14:textId="77777777" w:rsidR="00E579F2" w:rsidRDefault="00FC5553">
            <w:pPr>
              <w:spacing w:after="0" w:line="252" w:lineRule="auto"/>
              <w:rPr>
                <w:rFonts w:hint="eastAsia"/>
              </w:rPr>
            </w:pPr>
            <w:r>
              <w:rPr>
                <w:sz w:val="17"/>
              </w:rPr>
              <w:t>Word Size</w:t>
            </w:r>
          </w:p>
        </w:tc>
        <w:tc>
          <w:tcPr>
            <w:tcW w:w="6840" w:type="dxa"/>
            <w:tcMar>
              <w:top w:w="95" w:type="dxa"/>
              <w:left w:w="110" w:type="dxa"/>
              <w:bottom w:w="95" w:type="dxa"/>
              <w:right w:w="110" w:type="dxa"/>
            </w:tcMar>
            <w:vAlign w:val="center"/>
          </w:tcPr>
          <w:p w14:paraId="752C5A81" w14:textId="77777777" w:rsidR="00E579F2" w:rsidRDefault="00FC5553">
            <w:pPr>
              <w:spacing w:after="0" w:line="252" w:lineRule="auto"/>
              <w:rPr>
                <w:rFonts w:hint="eastAsia"/>
              </w:rPr>
            </w:pPr>
            <w:r>
              <w:rPr>
                <w:sz w:val="17"/>
              </w:rPr>
              <w:t>128, 256, 512, or other declared width.</w:t>
            </w:r>
          </w:p>
        </w:tc>
      </w:tr>
      <w:tr w:rsidR="00E579F2" w14:paraId="48D1FF35" w14:textId="77777777">
        <w:trPr>
          <w:cantSplit/>
          <w:jc w:val="center"/>
        </w:trPr>
        <w:tc>
          <w:tcPr>
            <w:tcW w:w="2880" w:type="dxa"/>
            <w:tcMar>
              <w:top w:w="95" w:type="dxa"/>
              <w:left w:w="110" w:type="dxa"/>
              <w:bottom w:w="95" w:type="dxa"/>
              <w:right w:w="110" w:type="dxa"/>
            </w:tcMar>
            <w:vAlign w:val="center"/>
          </w:tcPr>
          <w:p w14:paraId="256097FB" w14:textId="77777777" w:rsidR="00E579F2" w:rsidRDefault="00FC5553">
            <w:pPr>
              <w:spacing w:after="0" w:line="252" w:lineRule="auto"/>
              <w:rPr>
                <w:rFonts w:hint="eastAsia"/>
              </w:rPr>
            </w:pPr>
            <w:r>
              <w:rPr>
                <w:sz w:val="17"/>
              </w:rPr>
              <w:t>Version</w:t>
            </w:r>
          </w:p>
        </w:tc>
        <w:tc>
          <w:tcPr>
            <w:tcW w:w="6840" w:type="dxa"/>
            <w:tcMar>
              <w:top w:w="95" w:type="dxa"/>
              <w:left w:w="110" w:type="dxa"/>
              <w:bottom w:w="95" w:type="dxa"/>
              <w:right w:w="110" w:type="dxa"/>
            </w:tcMar>
            <w:vAlign w:val="center"/>
          </w:tcPr>
          <w:p w14:paraId="05B34105" w14:textId="77777777" w:rsidR="00E579F2" w:rsidRDefault="00FC5553">
            <w:pPr>
              <w:spacing w:after="0" w:line="252" w:lineRule="auto"/>
              <w:rPr>
                <w:rFonts w:hint="eastAsia"/>
              </w:rPr>
            </w:pPr>
            <w:r>
              <w:rPr>
                <w:sz w:val="17"/>
              </w:rPr>
              <w:t>Immutable version identifier.</w:t>
            </w:r>
          </w:p>
        </w:tc>
      </w:tr>
      <w:tr w:rsidR="00E579F2" w14:paraId="60DBB6D5" w14:textId="77777777">
        <w:trPr>
          <w:cantSplit/>
          <w:jc w:val="center"/>
        </w:trPr>
        <w:tc>
          <w:tcPr>
            <w:tcW w:w="2880" w:type="dxa"/>
            <w:tcMar>
              <w:top w:w="95" w:type="dxa"/>
              <w:left w:w="110" w:type="dxa"/>
              <w:bottom w:w="95" w:type="dxa"/>
              <w:right w:w="110" w:type="dxa"/>
            </w:tcMar>
            <w:vAlign w:val="center"/>
          </w:tcPr>
          <w:p w14:paraId="3B387C68" w14:textId="77777777" w:rsidR="00E579F2" w:rsidRDefault="00FC5553">
            <w:pPr>
              <w:spacing w:after="0" w:line="252" w:lineRule="auto"/>
              <w:rPr>
                <w:rFonts w:hint="eastAsia"/>
              </w:rPr>
            </w:pPr>
            <w:r>
              <w:rPr>
                <w:sz w:val="17"/>
              </w:rPr>
              <w:t>Base State Range</w:t>
            </w:r>
          </w:p>
        </w:tc>
        <w:tc>
          <w:tcPr>
            <w:tcW w:w="6840" w:type="dxa"/>
            <w:tcMar>
              <w:top w:w="95" w:type="dxa"/>
              <w:left w:w="110" w:type="dxa"/>
              <w:bottom w:w="95" w:type="dxa"/>
              <w:right w:w="110" w:type="dxa"/>
            </w:tcMar>
            <w:vAlign w:val="center"/>
          </w:tcPr>
          <w:p w14:paraId="010967B2" w14:textId="77777777" w:rsidR="00E579F2" w:rsidRDefault="00FC5553">
            <w:pPr>
              <w:spacing w:after="0" w:line="252" w:lineRule="auto"/>
              <w:rPr>
                <w:rFonts w:hint="eastAsia"/>
              </w:rPr>
            </w:pPr>
            <w:r>
              <w:rPr>
                <w:sz w:val="17"/>
              </w:rPr>
              <w:t>Bits carrying current semantic state.</w:t>
            </w:r>
          </w:p>
        </w:tc>
      </w:tr>
      <w:tr w:rsidR="00E579F2" w14:paraId="13C73892" w14:textId="77777777">
        <w:trPr>
          <w:cantSplit/>
          <w:jc w:val="center"/>
        </w:trPr>
        <w:tc>
          <w:tcPr>
            <w:tcW w:w="2880" w:type="dxa"/>
            <w:tcMar>
              <w:top w:w="95" w:type="dxa"/>
              <w:left w:w="110" w:type="dxa"/>
              <w:bottom w:w="95" w:type="dxa"/>
              <w:right w:w="110" w:type="dxa"/>
            </w:tcMar>
            <w:vAlign w:val="center"/>
          </w:tcPr>
          <w:p w14:paraId="6801F8CC" w14:textId="77777777" w:rsidR="00E579F2" w:rsidRDefault="00FC5553">
            <w:pPr>
              <w:spacing w:after="0" w:line="252" w:lineRule="auto"/>
              <w:rPr>
                <w:rFonts w:hint="eastAsia"/>
              </w:rPr>
            </w:pPr>
            <w:r>
              <w:rPr>
                <w:sz w:val="17"/>
              </w:rPr>
              <w:t>ModelKey Extension Range</w:t>
            </w:r>
          </w:p>
        </w:tc>
        <w:tc>
          <w:tcPr>
            <w:tcW w:w="6840" w:type="dxa"/>
            <w:tcMar>
              <w:top w:w="95" w:type="dxa"/>
              <w:left w:w="110" w:type="dxa"/>
              <w:bottom w:w="95" w:type="dxa"/>
              <w:right w:w="110" w:type="dxa"/>
            </w:tcMar>
            <w:vAlign w:val="center"/>
          </w:tcPr>
          <w:p w14:paraId="2EB2933C" w14:textId="77777777" w:rsidR="00E579F2" w:rsidRDefault="00FC5553">
            <w:pPr>
              <w:spacing w:after="0" w:line="252" w:lineRule="auto"/>
              <w:rPr>
                <w:rFonts w:hint="eastAsia"/>
              </w:rPr>
            </w:pPr>
            <w:r>
              <w:rPr>
                <w:sz w:val="17"/>
              </w:rPr>
              <w:t>Bits carrying object-specific parameters.</w:t>
            </w:r>
          </w:p>
        </w:tc>
      </w:tr>
      <w:tr w:rsidR="00E579F2" w14:paraId="1B346C5D" w14:textId="77777777">
        <w:trPr>
          <w:cantSplit/>
          <w:jc w:val="center"/>
        </w:trPr>
        <w:tc>
          <w:tcPr>
            <w:tcW w:w="2880" w:type="dxa"/>
            <w:tcMar>
              <w:top w:w="95" w:type="dxa"/>
              <w:left w:w="110" w:type="dxa"/>
              <w:bottom w:w="95" w:type="dxa"/>
              <w:right w:w="110" w:type="dxa"/>
            </w:tcMar>
            <w:vAlign w:val="center"/>
          </w:tcPr>
          <w:p w14:paraId="5CD1EF5C" w14:textId="77777777" w:rsidR="00E579F2" w:rsidRDefault="00FC5553">
            <w:pPr>
              <w:spacing w:after="0" w:line="252" w:lineRule="auto"/>
              <w:rPr>
                <w:rFonts w:hint="eastAsia"/>
              </w:rPr>
            </w:pPr>
            <w:r>
              <w:rPr>
                <w:sz w:val="17"/>
              </w:rPr>
              <w:t>Parameter Slot Definitions</w:t>
            </w:r>
          </w:p>
        </w:tc>
        <w:tc>
          <w:tcPr>
            <w:tcW w:w="6840" w:type="dxa"/>
            <w:tcMar>
              <w:top w:w="95" w:type="dxa"/>
              <w:left w:w="110" w:type="dxa"/>
              <w:bottom w:w="95" w:type="dxa"/>
              <w:right w:w="110" w:type="dxa"/>
            </w:tcMar>
            <w:vAlign w:val="center"/>
          </w:tcPr>
          <w:p w14:paraId="7CD890B5" w14:textId="77777777" w:rsidR="00E579F2" w:rsidRDefault="00FC5553">
            <w:pPr>
              <w:spacing w:after="0" w:line="252" w:lineRule="auto"/>
              <w:rPr>
                <w:rFonts w:hint="eastAsia"/>
              </w:rPr>
            </w:pPr>
            <w:r>
              <w:rPr>
                <w:sz w:val="17"/>
              </w:rPr>
              <w:t>Name, range, type, unit, scale, valid values.</w:t>
            </w:r>
          </w:p>
        </w:tc>
      </w:tr>
      <w:tr w:rsidR="00E579F2" w14:paraId="6891338B" w14:textId="77777777">
        <w:trPr>
          <w:cantSplit/>
          <w:jc w:val="center"/>
        </w:trPr>
        <w:tc>
          <w:tcPr>
            <w:tcW w:w="2880" w:type="dxa"/>
            <w:tcMar>
              <w:top w:w="95" w:type="dxa"/>
              <w:left w:w="110" w:type="dxa"/>
              <w:bottom w:w="95" w:type="dxa"/>
              <w:right w:w="110" w:type="dxa"/>
            </w:tcMar>
            <w:vAlign w:val="center"/>
          </w:tcPr>
          <w:p w14:paraId="452DE1F5" w14:textId="77777777" w:rsidR="00E579F2" w:rsidRDefault="00FC5553">
            <w:pPr>
              <w:spacing w:after="0" w:line="252" w:lineRule="auto"/>
              <w:rPr>
                <w:rFonts w:hint="eastAsia"/>
              </w:rPr>
            </w:pPr>
            <w:r>
              <w:rPr>
                <w:sz w:val="17"/>
              </w:rPr>
              <w:t>Model Binding</w:t>
            </w:r>
          </w:p>
        </w:tc>
        <w:tc>
          <w:tcPr>
            <w:tcW w:w="6840" w:type="dxa"/>
            <w:tcMar>
              <w:top w:w="95" w:type="dxa"/>
              <w:left w:w="110" w:type="dxa"/>
              <w:bottom w:w="95" w:type="dxa"/>
              <w:right w:w="110" w:type="dxa"/>
            </w:tcMar>
            <w:vAlign w:val="center"/>
          </w:tcPr>
          <w:p w14:paraId="0C425A5C" w14:textId="77777777" w:rsidR="00E579F2" w:rsidRDefault="00FC5553">
            <w:pPr>
              <w:spacing w:after="0" w:line="252" w:lineRule="auto"/>
              <w:rPr>
                <w:rFonts w:hint="eastAsia"/>
              </w:rPr>
            </w:pPr>
            <w:r>
              <w:rPr>
                <w:sz w:val="17"/>
              </w:rPr>
              <w:t>Model identity or selector semantics.</w:t>
            </w:r>
          </w:p>
        </w:tc>
      </w:tr>
      <w:tr w:rsidR="00E579F2" w14:paraId="09B442AB" w14:textId="77777777">
        <w:trPr>
          <w:cantSplit/>
          <w:jc w:val="center"/>
        </w:trPr>
        <w:tc>
          <w:tcPr>
            <w:tcW w:w="2880" w:type="dxa"/>
            <w:tcMar>
              <w:top w:w="95" w:type="dxa"/>
              <w:left w:w="110" w:type="dxa"/>
              <w:bottom w:w="95" w:type="dxa"/>
              <w:right w:w="110" w:type="dxa"/>
            </w:tcMar>
            <w:vAlign w:val="center"/>
          </w:tcPr>
          <w:p w14:paraId="25733736" w14:textId="77777777" w:rsidR="00E579F2" w:rsidRDefault="00FC5553">
            <w:pPr>
              <w:spacing w:after="0" w:line="252" w:lineRule="auto"/>
              <w:rPr>
                <w:rFonts w:hint="eastAsia"/>
              </w:rPr>
            </w:pPr>
            <w:r>
              <w:rPr>
                <w:sz w:val="17"/>
              </w:rPr>
              <w:t>Operator Set</w:t>
            </w:r>
          </w:p>
        </w:tc>
        <w:tc>
          <w:tcPr>
            <w:tcW w:w="6840" w:type="dxa"/>
            <w:tcMar>
              <w:top w:w="95" w:type="dxa"/>
              <w:left w:w="110" w:type="dxa"/>
              <w:bottom w:w="95" w:type="dxa"/>
              <w:right w:w="110" w:type="dxa"/>
            </w:tcMar>
            <w:vAlign w:val="center"/>
          </w:tcPr>
          <w:p w14:paraId="5019D2AE" w14:textId="77777777" w:rsidR="00E579F2" w:rsidRDefault="00FC5553">
            <w:pPr>
              <w:spacing w:after="0" w:line="252" w:lineRule="auto"/>
              <w:rPr>
                <w:rFonts w:hint="eastAsia"/>
              </w:rPr>
            </w:pPr>
            <w:r>
              <w:rPr>
                <w:sz w:val="17"/>
              </w:rPr>
              <w:t>Allowed mutations and write scopes.</w:t>
            </w:r>
          </w:p>
        </w:tc>
      </w:tr>
      <w:tr w:rsidR="00E579F2" w14:paraId="4CA00648" w14:textId="77777777">
        <w:trPr>
          <w:cantSplit/>
          <w:jc w:val="center"/>
        </w:trPr>
        <w:tc>
          <w:tcPr>
            <w:tcW w:w="2880" w:type="dxa"/>
            <w:tcMar>
              <w:top w:w="95" w:type="dxa"/>
              <w:left w:w="110" w:type="dxa"/>
              <w:bottom w:w="95" w:type="dxa"/>
              <w:right w:w="110" w:type="dxa"/>
            </w:tcMar>
            <w:vAlign w:val="center"/>
          </w:tcPr>
          <w:p w14:paraId="636E4B59" w14:textId="77777777" w:rsidR="00E579F2" w:rsidRDefault="00FC5553">
            <w:pPr>
              <w:spacing w:after="0" w:line="252" w:lineRule="auto"/>
              <w:rPr>
                <w:rFonts w:hint="eastAsia"/>
              </w:rPr>
            </w:pPr>
            <w:r>
              <w:rPr>
                <w:sz w:val="17"/>
              </w:rPr>
              <w:t>Ruleset Bindings</w:t>
            </w:r>
          </w:p>
        </w:tc>
        <w:tc>
          <w:tcPr>
            <w:tcW w:w="6840" w:type="dxa"/>
            <w:tcMar>
              <w:top w:w="95" w:type="dxa"/>
              <w:left w:w="110" w:type="dxa"/>
              <w:bottom w:w="95" w:type="dxa"/>
              <w:right w:w="110" w:type="dxa"/>
            </w:tcMar>
            <w:vAlign w:val="center"/>
          </w:tcPr>
          <w:p w14:paraId="194D7C23" w14:textId="77777777" w:rsidR="00E579F2" w:rsidRDefault="00FC5553">
            <w:pPr>
              <w:spacing w:after="0" w:line="252" w:lineRule="auto"/>
              <w:rPr>
                <w:rFonts w:hint="eastAsia"/>
              </w:rPr>
            </w:pPr>
            <w:r>
              <w:rPr>
                <w:sz w:val="17"/>
              </w:rPr>
              <w:t>Rules governing state transitions.</w:t>
            </w:r>
          </w:p>
        </w:tc>
      </w:tr>
      <w:tr w:rsidR="00E579F2" w14:paraId="06785076" w14:textId="77777777">
        <w:trPr>
          <w:cantSplit/>
          <w:jc w:val="center"/>
        </w:trPr>
        <w:tc>
          <w:tcPr>
            <w:tcW w:w="2880" w:type="dxa"/>
            <w:tcMar>
              <w:top w:w="95" w:type="dxa"/>
              <w:left w:w="110" w:type="dxa"/>
              <w:bottom w:w="95" w:type="dxa"/>
              <w:right w:w="110" w:type="dxa"/>
            </w:tcMar>
            <w:vAlign w:val="center"/>
          </w:tcPr>
          <w:p w14:paraId="321DE182" w14:textId="77777777" w:rsidR="00E579F2" w:rsidRDefault="00FC5553">
            <w:pPr>
              <w:spacing w:after="0" w:line="252" w:lineRule="auto"/>
              <w:rPr>
                <w:rFonts w:hint="eastAsia"/>
              </w:rPr>
            </w:pPr>
            <w:r>
              <w:rPr>
                <w:sz w:val="17"/>
              </w:rPr>
              <w:t>Source Binding Types</w:t>
            </w:r>
          </w:p>
        </w:tc>
        <w:tc>
          <w:tcPr>
            <w:tcW w:w="6840" w:type="dxa"/>
            <w:tcMar>
              <w:top w:w="95" w:type="dxa"/>
              <w:left w:w="110" w:type="dxa"/>
              <w:bottom w:w="95" w:type="dxa"/>
              <w:right w:w="110" w:type="dxa"/>
            </w:tcMar>
            <w:vAlign w:val="center"/>
          </w:tcPr>
          <w:p w14:paraId="3F60FA8A" w14:textId="77777777" w:rsidR="00E579F2" w:rsidRDefault="00FC5553">
            <w:pPr>
              <w:spacing w:after="0" w:line="252" w:lineRule="auto"/>
              <w:rPr>
                <w:rFonts w:hint="eastAsia"/>
              </w:rPr>
            </w:pPr>
            <w:r>
              <w:rPr>
                <w:sz w:val="17"/>
              </w:rPr>
              <w:t>Permitted source Kernel types and interpretations.</w:t>
            </w:r>
          </w:p>
        </w:tc>
      </w:tr>
      <w:tr w:rsidR="00E579F2" w14:paraId="2E30BBB7" w14:textId="77777777">
        <w:trPr>
          <w:cantSplit/>
          <w:jc w:val="center"/>
        </w:trPr>
        <w:tc>
          <w:tcPr>
            <w:tcW w:w="2880" w:type="dxa"/>
            <w:tcMar>
              <w:top w:w="95" w:type="dxa"/>
              <w:left w:w="110" w:type="dxa"/>
              <w:bottom w:w="95" w:type="dxa"/>
              <w:right w:w="110" w:type="dxa"/>
            </w:tcMar>
            <w:vAlign w:val="center"/>
          </w:tcPr>
          <w:p w14:paraId="50B3678D" w14:textId="77777777" w:rsidR="00E579F2" w:rsidRDefault="00FC5553">
            <w:pPr>
              <w:spacing w:after="0" w:line="252" w:lineRule="auto"/>
              <w:rPr>
                <w:rFonts w:hint="eastAsia"/>
              </w:rPr>
            </w:pPr>
            <w:r>
              <w:rPr>
                <w:sz w:val="17"/>
              </w:rPr>
              <w:t>Translation Contracts</w:t>
            </w:r>
          </w:p>
        </w:tc>
        <w:tc>
          <w:tcPr>
            <w:tcW w:w="6840" w:type="dxa"/>
            <w:tcMar>
              <w:top w:w="95" w:type="dxa"/>
              <w:left w:w="110" w:type="dxa"/>
              <w:bottom w:w="95" w:type="dxa"/>
              <w:right w:w="110" w:type="dxa"/>
            </w:tcMar>
            <w:vAlign w:val="center"/>
          </w:tcPr>
          <w:p w14:paraId="0D987E44" w14:textId="77777777" w:rsidR="00E579F2" w:rsidRDefault="00FC5553">
            <w:pPr>
              <w:spacing w:after="0" w:line="252" w:lineRule="auto"/>
              <w:rPr>
                <w:rFonts w:hint="eastAsia"/>
              </w:rPr>
            </w:pPr>
            <w:r>
              <w:rPr>
                <w:sz w:val="17"/>
              </w:rPr>
              <w:t>Known mappings to other Kernel versions/families.</w:t>
            </w:r>
          </w:p>
        </w:tc>
      </w:tr>
    </w:tbl>
    <w:p w14:paraId="1E9E1A1F" w14:textId="77777777" w:rsidR="00E579F2" w:rsidRDefault="00E579F2">
      <w:pPr>
        <w:spacing w:after="20"/>
        <w:rPr>
          <w:rFonts w:hint="eastAsia"/>
        </w:rPr>
      </w:pPr>
    </w:p>
    <w:p w14:paraId="325CEB68" w14:textId="77777777" w:rsidR="00E579F2" w:rsidRDefault="00FC5553">
      <w:pPr>
        <w:pStyle w:val="Heading2"/>
      </w:pPr>
      <w:r>
        <w:t>24.2 Parameter Binding template</w:t>
      </w:r>
    </w:p>
    <w:p w14:paraId="31BFCDF2" w14:textId="77777777" w:rsidR="00E579F2" w:rsidRDefault="00FC5553">
      <w:pPr>
        <w:pStyle w:val="CodeBlock"/>
        <w:pBdr>
          <w:left w:val="single" w:sz="18" w:space="8" w:color="2A7F8E"/>
        </w:pBdr>
        <w:shd w:val="clear" w:color="auto" w:fill="F4F7F9"/>
        <w:spacing w:before="40" w:after="160" w:line="240" w:lineRule="auto"/>
        <w:ind w:left="259" w:right="259"/>
        <w:rPr>
          <w:rFonts w:hint="eastAsia"/>
        </w:rPr>
      </w:pPr>
      <w:r>
        <w:t>Binding ID:</w:t>
      </w:r>
      <w:r>
        <w:br/>
      </w:r>
      <w:r>
        <w:t>Source Object:</w:t>
      </w:r>
      <w:r>
        <w:br/>
      </w:r>
      <w:r>
        <w:t>Source Kernel / Version:</w:t>
      </w:r>
      <w:r>
        <w:br/>
      </w:r>
      <w:r>
        <w:t>Source Bit / Group / Range:</w:t>
      </w:r>
      <w:r>
        <w:br/>
      </w:r>
      <w:r>
        <w:t>Source Decode Type:</w:t>
      </w:r>
      <w:r>
        <w:br/>
      </w:r>
      <w:r>
        <w:t>Target Object:</w:t>
      </w:r>
      <w:r>
        <w:br/>
      </w:r>
      <w:r>
        <w:t>Target Kernel / Version:</w:t>
      </w:r>
      <w:r>
        <w:br/>
      </w:r>
      <w:r>
        <w:t>Local ModelKey Parameter Slot:</w:t>
      </w:r>
      <w:r>
        <w:br/>
      </w:r>
      <w:r>
        <w:t>Comparator / Transform:</w:t>
      </w:r>
      <w:r>
        <w:br/>
      </w:r>
      <w:r>
        <w:t>Rule / Ruleset:</w:t>
      </w:r>
      <w:r>
        <w:br/>
      </w:r>
      <w:r>
        <w:t>Target Operator:</w:t>
      </w:r>
      <w:r>
        <w:br/>
      </w:r>
      <w:r>
        <w:t>Propagation Policy:</w:t>
      </w:r>
      <w:r>
        <w:br/>
      </w:r>
      <w:r>
        <w:t>TIME / provenance requirements:</w:t>
      </w:r>
    </w:p>
    <w:p w14:paraId="264C9C99" w14:textId="77777777" w:rsidR="00E579F2" w:rsidRDefault="00FC5553">
      <w:pPr>
        <w:pStyle w:val="Heading2"/>
      </w:pPr>
      <w:r>
        <w:t>24.3 Operator template</w:t>
      </w:r>
    </w:p>
    <w:p w14:paraId="642071B2" w14:textId="77777777" w:rsidR="00E579F2" w:rsidRDefault="00FC5553">
      <w:pPr>
        <w:pStyle w:val="CodeBlock"/>
        <w:pBdr>
          <w:left w:val="single" w:sz="18" w:space="8" w:color="2A7F8E"/>
        </w:pBdr>
        <w:shd w:val="clear" w:color="auto" w:fill="F4F7F9"/>
        <w:spacing w:before="40" w:after="160" w:line="240" w:lineRule="auto"/>
        <w:ind w:left="259" w:right="259"/>
        <w:rPr>
          <w:rFonts w:hint="eastAsia"/>
        </w:rPr>
      </w:pPr>
      <w:r>
        <w:t>Operator ID:</w:t>
      </w:r>
      <w:r>
        <w:br/>
      </w:r>
      <w:r>
        <w:t>Target Kernel / Version:</w:t>
      </w:r>
      <w:r>
        <w:br/>
      </w:r>
      <w:r>
        <w:t>Read Scope:</w:t>
      </w:r>
      <w:r>
        <w:br/>
      </w:r>
      <w:r>
        <w:t>Write Scope:</w:t>
      </w:r>
      <w:r>
        <w:br/>
      </w:r>
      <w:r>
        <w:t>Input Parameters:</w:t>
      </w:r>
      <w:r>
        <w:br/>
      </w:r>
      <w:r>
        <w:t>Preconditions:</w:t>
      </w:r>
      <w:r>
        <w:br/>
      </w:r>
      <w:r>
        <w:t>Clear Mask / Set Mask / Scalar Transform:</w:t>
      </w:r>
      <w:r>
        <w:br/>
      </w:r>
      <w:r>
        <w:t>Rule Bindings:</w:t>
      </w:r>
      <w:r>
        <w:br/>
      </w:r>
      <w:r>
        <w:t>Postconditions:</w:t>
      </w:r>
      <w:r>
        <w:br/>
      </w:r>
      <w:r>
        <w:t>Failure Behavior:</w:t>
      </w:r>
      <w:r>
        <w:br/>
      </w:r>
      <w:r>
        <w:t>Emitted Delta Type:</w:t>
      </w:r>
      <w:r>
        <w:br/>
      </w:r>
      <w:r>
        <w:t>Provenance fields:</w:t>
      </w:r>
    </w:p>
    <w:p w14:paraId="4BB6AAE1" w14:textId="77777777" w:rsidR="00E579F2" w:rsidRDefault="00FC5553">
      <w:pPr>
        <w:pStyle w:val="Heading2"/>
      </w:pPr>
      <w:r>
        <w:t>24.4 Chain test template</w:t>
      </w:r>
    </w:p>
    <w:p w14:paraId="39C66530" w14:textId="77777777" w:rsidR="00E579F2" w:rsidRDefault="00FC5553">
      <w:pPr>
        <w:pStyle w:val="CodeBlock"/>
        <w:pBdr>
          <w:left w:val="single" w:sz="18" w:space="8" w:color="2A7F8E"/>
        </w:pBdr>
        <w:shd w:val="clear" w:color="auto" w:fill="F4F7F9"/>
        <w:spacing w:before="40" w:after="160" w:line="240" w:lineRule="auto"/>
        <w:ind w:left="259" w:right="259"/>
        <w:rPr>
          <w:rFonts w:hint="eastAsia"/>
        </w:rPr>
      </w:pPr>
      <w:r>
        <w:t>Initial State:</w:t>
      </w:r>
      <w:r>
        <w:br/>
      </w:r>
      <w:r>
        <w:t>Source Event:</w:t>
      </w:r>
      <w:r>
        <w:br/>
      </w:r>
      <w:r>
        <w:t>Resolved Binding:</w:t>
      </w:r>
      <w:r>
        <w:br/>
      </w:r>
      <w:r>
        <w:t>Decoded Source Value:</w:t>
      </w:r>
      <w:r>
        <w:br/>
      </w:r>
      <w:r>
        <w:t>Decoded Local Parameter:</w:t>
      </w:r>
      <w:r>
        <w:br/>
      </w:r>
      <w:r>
        <w:t>Rule Result:</w:t>
      </w:r>
      <w:r>
        <w:br/>
      </w:r>
      <w:r>
        <w:t>Operator Invoked:</w:t>
      </w:r>
      <w:r>
        <w:br/>
      </w:r>
      <w:r>
        <w:t>Expected Target Word:</w:t>
      </w:r>
      <w:r>
        <w:br/>
      </w:r>
      <w:r>
        <w:t>Expected Typed Delta:</w:t>
      </w:r>
      <w:r>
        <w:br/>
      </w:r>
      <w:r>
        <w:t>Expected Downstream Binding(s):</w:t>
      </w:r>
      <w:r>
        <w:br/>
      </w:r>
      <w:r>
        <w:t>Expected Final Chain State:</w:t>
      </w:r>
      <w:r>
        <w:br/>
      </w:r>
      <w:r>
        <w:t>Cycle / duplicate guard expectations:</w:t>
      </w:r>
    </w:p>
    <w:p w14:paraId="0B24A80D" w14:textId="77777777" w:rsidR="00E579F2" w:rsidRDefault="00FC5553">
      <w:pPr>
        <w:pStyle w:val="Heading1"/>
      </w:pPr>
      <w:bookmarkStart w:id="27" w:name="sec25"/>
      <w:r>
        <w:t>25. Design Implications</w:t>
      </w:r>
      <w:bookmarkEnd w:id="27"/>
    </w:p>
    <w:p w14:paraId="184FA463" w14:textId="77777777" w:rsidR="00E579F2" w:rsidRDefault="00FC5553">
      <w:pPr>
        <w:pStyle w:val="Heading2"/>
      </w:pPr>
      <w:r>
        <w:t>25.1 Finite core, open semantic dynamics</w:t>
      </w:r>
    </w:p>
    <w:p w14:paraId="42621D24" w14:textId="77777777" w:rsidR="00E579F2" w:rsidRDefault="00FC5553">
      <w:pPr>
        <w:spacing w:line="274" w:lineRule="auto"/>
        <w:rPr>
          <w:rFonts w:hint="eastAsia"/>
        </w:rPr>
      </w:pPr>
      <w:r>
        <w:rPr>
          <w:sz w:val="21"/>
        </w:rPr>
        <w:t>Self-Contained Bitstate Parameterization reinforces the separation between the finite CERBERUS Core and the open-ended Semantic Kernel ecosystem. The Core needs generic machinery for identity, decoding, Models, Operators, Rules, routing, Bitlinks, translation, provenance, and events. New domain dynamics belong primarily in SK contracts and ModelKeys.</w:t>
      </w:r>
    </w:p>
    <w:p w14:paraId="4904CA3D" w14:textId="77777777" w:rsidR="00E579F2" w:rsidRDefault="00FC5553">
      <w:pPr>
        <w:pStyle w:val="Heading2"/>
      </w:pPr>
      <w:r>
        <w:t>25.2 Semantic mechanics become learnable</w:t>
      </w:r>
    </w:p>
    <w:p w14:paraId="57CF7008" w14:textId="77777777" w:rsidR="00E579F2" w:rsidRDefault="00FC5553">
      <w:pPr>
        <w:spacing w:line="274" w:lineRule="auto"/>
        <w:rPr>
          <w:rFonts w:hint="eastAsia"/>
        </w:rPr>
      </w:pPr>
      <w:r>
        <w:rPr>
          <w:sz w:val="21"/>
        </w:rPr>
        <w:t>Because each local transition can be shown as source state, threshold, Rule, Operator, and exact before/after bits, learners can understand sophisticated simulations through small cybernetic loops. Multimodal renderers can project the same bit transition as animation, sound, color, haptics, or UI feedback while preserving the underlying semantic cause.</w:t>
      </w:r>
    </w:p>
    <w:p w14:paraId="4C09D5FF" w14:textId="77777777" w:rsidR="00E579F2" w:rsidRDefault="00FC5553">
      <w:pPr>
        <w:pStyle w:val="Heading2"/>
      </w:pPr>
      <w:r>
        <w:t>25.3 Interoperable world simulation</w:t>
      </w:r>
    </w:p>
    <w:p w14:paraId="3063717A" w14:textId="77777777" w:rsidR="00E579F2" w:rsidRDefault="00FC5553">
      <w:pPr>
        <w:spacing w:line="274" w:lineRule="auto"/>
        <w:rPr>
          <w:rFonts w:hint="eastAsia"/>
        </w:rPr>
      </w:pPr>
      <w:r>
        <w:rPr>
          <w:sz w:val="21"/>
        </w:rPr>
        <w:t>A world does not need to implement every domain. It needs to understand or translate the Semantic Kernels relevant to the facets it uses. A culinary world can consume Tool semantics from a machining world; a game can consume culinary objects; a plant simulation can consume weather state; and each domain remains independently authored and inspectable.</w:t>
      </w:r>
    </w:p>
    <w:p w14:paraId="720526FD" w14:textId="77777777" w:rsidR="00E579F2" w:rsidRDefault="00FC5553">
      <w:pPr>
        <w:pStyle w:val="Heading2"/>
      </w:pPr>
      <w:r>
        <w:t>25.4 Professional knowledge as executable parameterization</w:t>
      </w:r>
    </w:p>
    <w:p w14:paraId="4AB5B7AA" w14:textId="77777777" w:rsidR="00E579F2" w:rsidRDefault="00FC5553">
      <w:pPr>
        <w:spacing w:line="274" w:lineRule="auto"/>
        <w:rPr>
          <w:rFonts w:hint="eastAsia"/>
        </w:rPr>
      </w:pPr>
      <w:r>
        <w:rPr>
          <w:sz w:val="21"/>
        </w:rPr>
        <w:t>Experts can encode stable operational knowledge as Kernel definitions, Models, ModelKey parameters, Rules, and test vectors. A simulation can then use that expertise without embedding it as opaque bespoke code. Domain experts remain responsible for the validity of the model; CERBERUS supplies the deterministic semantic machinery.</w:t>
      </w:r>
    </w:p>
    <w:p w14:paraId="3853C30F" w14:textId="77777777" w:rsidR="00E579F2" w:rsidRDefault="00FC5553">
      <w:pPr>
        <w:pStyle w:val="Heading2"/>
      </w:pPr>
      <w:r>
        <w:t>25.5 The central principle</w:t>
      </w:r>
    </w:p>
    <w:tbl>
      <w:tblPr>
        <w:tblW w:w="0" w:type="auto"/>
        <w:jc w:val="center"/>
        <w:tblLayout w:type="fixed"/>
        <w:tblLook w:val="04A0" w:firstRow="1" w:lastRow="0" w:firstColumn="1" w:lastColumn="0" w:noHBand="0" w:noVBand="1"/>
      </w:tblPr>
      <w:tblGrid>
        <w:gridCol w:w="9720"/>
      </w:tblGrid>
      <w:tr w:rsidR="00E579F2" w14:paraId="616A8D5D" w14:textId="77777777">
        <w:trPr>
          <w:cantSplit/>
          <w:jc w:val="center"/>
        </w:trPr>
        <w:tc>
          <w:tcPr>
            <w:tcW w:w="9720" w:type="dxa"/>
            <w:tcBorders>
              <w:top w:val="single" w:sz="5" w:space="0" w:color="C9D6DF"/>
              <w:left w:val="single" w:sz="12" w:space="0" w:color="2A7F8E"/>
              <w:bottom w:val="single" w:sz="5" w:space="0" w:color="C9D6DF"/>
              <w:right w:val="single" w:sz="5" w:space="0" w:color="C9D6DF"/>
            </w:tcBorders>
            <w:shd w:val="clear" w:color="auto" w:fill="E8F5F6"/>
            <w:tcMar>
              <w:top w:w="70" w:type="dxa"/>
              <w:left w:w="160" w:type="dxa"/>
              <w:bottom w:w="70" w:type="dxa"/>
              <w:right w:w="160" w:type="dxa"/>
            </w:tcMar>
          </w:tcPr>
          <w:p w14:paraId="006EE92D" w14:textId="77777777" w:rsidR="00E579F2" w:rsidRDefault="00FC5553">
            <w:pPr>
              <w:spacing w:after="20" w:line="240" w:lineRule="auto"/>
              <w:rPr>
                <w:rFonts w:hint="eastAsia"/>
              </w:rPr>
            </w:pPr>
            <w:r>
              <w:rPr>
                <w:b/>
                <w:color w:val="17324D"/>
                <w:sz w:val="19"/>
              </w:rPr>
              <w:t>Self-Contained Bitstate Parameterization</w:t>
            </w:r>
          </w:p>
          <w:p w14:paraId="39F404D7" w14:textId="77777777" w:rsidR="00E579F2" w:rsidRDefault="00FC5553">
            <w:pPr>
              <w:spacing w:after="0" w:line="240" w:lineRule="auto"/>
              <w:rPr>
                <w:rFonts w:hint="eastAsia"/>
              </w:rPr>
            </w:pPr>
            <w:r>
              <w:rPr>
                <w:sz w:val="18"/>
              </w:rPr>
              <w:t>State bits tell the system where an object is. ModelKey parameters tell the system where that object's transition boundaries are. Source SKs provide changing semantic inputs. Rules decide whether a boundary crossing is valid. Operators perform the exact mutation. Bitlinks and translations allow the result to become another object's input. Repetition of this small pattern creates large, inspectable simulations.</w:t>
            </w:r>
          </w:p>
        </w:tc>
      </w:tr>
    </w:tbl>
    <w:p w14:paraId="4FBE053F" w14:textId="77777777" w:rsidR="00E579F2" w:rsidRDefault="00E579F2">
      <w:pPr>
        <w:spacing w:after="20"/>
        <w:rPr>
          <w:rFonts w:hint="eastAsia"/>
        </w:rPr>
      </w:pPr>
    </w:p>
    <w:p w14:paraId="47DC2145" w14:textId="77777777" w:rsidR="00E579F2" w:rsidRDefault="00FC5553">
      <w:pPr>
        <w:rPr>
          <w:rFonts w:hint="eastAsia"/>
        </w:rPr>
      </w:pPr>
      <w:r>
        <w:br w:type="page"/>
      </w:r>
    </w:p>
    <w:p w14:paraId="62F536AC" w14:textId="77777777" w:rsidR="00E579F2" w:rsidRDefault="00FC5553">
      <w:pPr>
        <w:pStyle w:val="Heading1"/>
      </w:pPr>
      <w:bookmarkStart w:id="28" w:name="glossary"/>
      <w:r>
        <w:t>Glossary</w:t>
      </w:r>
      <w:bookmarkEnd w:id="28"/>
    </w:p>
    <w:tbl>
      <w:tblPr>
        <w:tblW w:w="0" w:type="auto"/>
        <w:jc w:val="center"/>
        <w:tblLayout w:type="fixed"/>
        <w:tblLook w:val="04A0" w:firstRow="1" w:lastRow="0" w:firstColumn="1" w:lastColumn="0" w:noHBand="0" w:noVBand="1"/>
      </w:tblPr>
      <w:tblGrid>
        <w:gridCol w:w="2664"/>
        <w:gridCol w:w="7056"/>
      </w:tblGrid>
      <w:tr w:rsidR="00E579F2" w14:paraId="08ED08DC" w14:textId="77777777">
        <w:trPr>
          <w:tblHeader/>
          <w:jc w:val="center"/>
        </w:trPr>
        <w:tc>
          <w:tcPr>
            <w:tcW w:w="2664" w:type="dxa"/>
            <w:tcBorders>
              <w:top w:val="single" w:sz="4" w:space="0" w:color="C9D6DF"/>
              <w:left w:val="single" w:sz="4" w:space="0" w:color="C9D6DF"/>
              <w:bottom w:val="single" w:sz="4" w:space="0" w:color="C9D6DF"/>
              <w:right w:val="single" w:sz="4" w:space="0" w:color="C9D6DF"/>
            </w:tcBorders>
            <w:shd w:val="clear" w:color="auto" w:fill="17324D"/>
            <w:tcMar>
              <w:top w:w="105" w:type="dxa"/>
              <w:left w:w="110" w:type="dxa"/>
              <w:bottom w:w="105" w:type="dxa"/>
              <w:right w:w="110" w:type="dxa"/>
            </w:tcMar>
          </w:tcPr>
          <w:p w14:paraId="743F3FD2" w14:textId="77777777" w:rsidR="00E579F2" w:rsidRDefault="00FC5553">
            <w:pPr>
              <w:spacing w:after="0"/>
              <w:rPr>
                <w:rFonts w:hint="eastAsia"/>
              </w:rPr>
            </w:pPr>
            <w:r>
              <w:rPr>
                <w:b/>
                <w:color w:val="FFFFFF"/>
                <w:sz w:val="17"/>
              </w:rPr>
              <w:t>Term</w:t>
            </w:r>
          </w:p>
        </w:tc>
        <w:tc>
          <w:tcPr>
            <w:tcW w:w="7056" w:type="dxa"/>
            <w:tcBorders>
              <w:top w:val="single" w:sz="4" w:space="0" w:color="C9D6DF"/>
              <w:left w:val="single" w:sz="4" w:space="0" w:color="C9D6DF"/>
              <w:bottom w:val="single" w:sz="4" w:space="0" w:color="C9D6DF"/>
              <w:right w:val="single" w:sz="4" w:space="0" w:color="C9D6DF"/>
            </w:tcBorders>
            <w:shd w:val="clear" w:color="auto" w:fill="17324D"/>
            <w:tcMar>
              <w:top w:w="105" w:type="dxa"/>
              <w:left w:w="110" w:type="dxa"/>
              <w:bottom w:w="105" w:type="dxa"/>
              <w:right w:w="110" w:type="dxa"/>
            </w:tcMar>
          </w:tcPr>
          <w:p w14:paraId="3980453D" w14:textId="77777777" w:rsidR="00E579F2" w:rsidRDefault="00FC5553">
            <w:pPr>
              <w:spacing w:after="0"/>
              <w:rPr>
                <w:rFonts w:hint="eastAsia"/>
              </w:rPr>
            </w:pPr>
            <w:r>
              <w:rPr>
                <w:b/>
                <w:color w:val="FFFFFF"/>
                <w:sz w:val="17"/>
              </w:rPr>
              <w:t>Definition</w:t>
            </w:r>
          </w:p>
        </w:tc>
      </w:tr>
      <w:tr w:rsidR="00E579F2" w14:paraId="0514D5FA" w14:textId="77777777">
        <w:trPr>
          <w:cantSplit/>
          <w:jc w:val="center"/>
        </w:trPr>
        <w:tc>
          <w:tcPr>
            <w:tcW w:w="2664" w:type="dxa"/>
            <w:tcMar>
              <w:top w:w="88" w:type="dxa"/>
              <w:left w:w="105" w:type="dxa"/>
              <w:bottom w:w="88" w:type="dxa"/>
              <w:right w:w="105" w:type="dxa"/>
            </w:tcMar>
            <w:vAlign w:val="center"/>
          </w:tcPr>
          <w:p w14:paraId="08798F48" w14:textId="77777777" w:rsidR="00E579F2" w:rsidRDefault="00FC5553">
            <w:pPr>
              <w:spacing w:after="0" w:line="250" w:lineRule="auto"/>
              <w:rPr>
                <w:rFonts w:hint="eastAsia"/>
              </w:rPr>
            </w:pPr>
            <w:r>
              <w:rPr>
                <w:b/>
                <w:color w:val="17324D"/>
                <w:sz w:val="16"/>
              </w:rPr>
              <w:t>Base Word</w:t>
            </w:r>
          </w:p>
        </w:tc>
        <w:tc>
          <w:tcPr>
            <w:tcW w:w="7056" w:type="dxa"/>
            <w:tcMar>
              <w:top w:w="88" w:type="dxa"/>
              <w:left w:w="105" w:type="dxa"/>
              <w:bottom w:w="88" w:type="dxa"/>
              <w:right w:w="105" w:type="dxa"/>
            </w:tcMar>
            <w:vAlign w:val="center"/>
          </w:tcPr>
          <w:p w14:paraId="3A7A68D7" w14:textId="77777777" w:rsidR="00E579F2" w:rsidRDefault="00FC5553">
            <w:pPr>
              <w:spacing w:after="0" w:line="250" w:lineRule="auto"/>
              <w:rPr>
                <w:rFonts w:hint="eastAsia"/>
              </w:rPr>
            </w:pPr>
            <w:r>
              <w:rPr>
                <w:sz w:val="16"/>
              </w:rPr>
              <w:t>The standard prefix of an extended Semantic Kernel, typically carrying the widely interoperable semantic state.</w:t>
            </w:r>
          </w:p>
        </w:tc>
      </w:tr>
      <w:tr w:rsidR="00E579F2" w14:paraId="0583F295" w14:textId="77777777">
        <w:trPr>
          <w:cantSplit/>
          <w:jc w:val="center"/>
        </w:trPr>
        <w:tc>
          <w:tcPr>
            <w:tcW w:w="2664" w:type="dxa"/>
            <w:tcMar>
              <w:top w:w="88" w:type="dxa"/>
              <w:left w:w="105" w:type="dxa"/>
              <w:bottom w:w="88" w:type="dxa"/>
              <w:right w:w="105" w:type="dxa"/>
            </w:tcMar>
            <w:vAlign w:val="center"/>
          </w:tcPr>
          <w:p w14:paraId="0B619172" w14:textId="77777777" w:rsidR="00E579F2" w:rsidRDefault="00FC5553">
            <w:pPr>
              <w:spacing w:after="0" w:line="250" w:lineRule="auto"/>
              <w:rPr>
                <w:rFonts w:hint="eastAsia"/>
              </w:rPr>
            </w:pPr>
            <w:r>
              <w:rPr>
                <w:b/>
                <w:color w:val="17324D"/>
                <w:sz w:val="16"/>
              </w:rPr>
              <w:t>Bit Group</w:t>
            </w:r>
          </w:p>
        </w:tc>
        <w:tc>
          <w:tcPr>
            <w:tcW w:w="7056" w:type="dxa"/>
            <w:tcMar>
              <w:top w:w="88" w:type="dxa"/>
              <w:left w:w="105" w:type="dxa"/>
              <w:bottom w:w="88" w:type="dxa"/>
              <w:right w:w="105" w:type="dxa"/>
            </w:tcMar>
            <w:vAlign w:val="center"/>
          </w:tcPr>
          <w:p w14:paraId="391569AD" w14:textId="77777777" w:rsidR="00E579F2" w:rsidRDefault="00FC5553">
            <w:pPr>
              <w:spacing w:after="0" w:line="250" w:lineRule="auto"/>
              <w:rPr>
                <w:rFonts w:hint="eastAsia"/>
              </w:rPr>
            </w:pPr>
            <w:r>
              <w:rPr>
                <w:sz w:val="16"/>
              </w:rPr>
              <w:t>A declared set or range of bits interpreted together, such as an exclusive state group or scalar field.</w:t>
            </w:r>
          </w:p>
        </w:tc>
      </w:tr>
      <w:tr w:rsidR="00E579F2" w14:paraId="335F28B1" w14:textId="77777777">
        <w:trPr>
          <w:cantSplit/>
          <w:jc w:val="center"/>
        </w:trPr>
        <w:tc>
          <w:tcPr>
            <w:tcW w:w="2664" w:type="dxa"/>
            <w:tcMar>
              <w:top w:w="88" w:type="dxa"/>
              <w:left w:w="105" w:type="dxa"/>
              <w:bottom w:w="88" w:type="dxa"/>
              <w:right w:w="105" w:type="dxa"/>
            </w:tcMar>
            <w:vAlign w:val="center"/>
          </w:tcPr>
          <w:p w14:paraId="31FE04B6" w14:textId="77777777" w:rsidR="00E579F2" w:rsidRDefault="00FC5553">
            <w:pPr>
              <w:spacing w:after="0" w:line="250" w:lineRule="auto"/>
              <w:rPr>
                <w:rFonts w:hint="eastAsia"/>
              </w:rPr>
            </w:pPr>
            <w:r>
              <w:rPr>
                <w:b/>
                <w:color w:val="17324D"/>
                <w:sz w:val="16"/>
              </w:rPr>
              <w:t>Bitlink</w:t>
            </w:r>
          </w:p>
        </w:tc>
        <w:tc>
          <w:tcPr>
            <w:tcW w:w="7056" w:type="dxa"/>
            <w:tcMar>
              <w:top w:w="88" w:type="dxa"/>
              <w:left w:w="105" w:type="dxa"/>
              <w:bottom w:w="88" w:type="dxa"/>
              <w:right w:w="105" w:type="dxa"/>
            </w:tcMar>
            <w:vAlign w:val="center"/>
          </w:tcPr>
          <w:p w14:paraId="79079800" w14:textId="77777777" w:rsidR="00E579F2" w:rsidRDefault="00FC5553">
            <w:pPr>
              <w:spacing w:after="0" w:line="250" w:lineRule="auto"/>
              <w:rPr>
                <w:rFonts w:hint="eastAsia"/>
              </w:rPr>
            </w:pPr>
            <w:r>
              <w:rPr>
                <w:sz w:val="16"/>
              </w:rPr>
              <w:t>A declared semantic dependency from a bitstate or typed delta to another Kernel, model, modality, trigger, or operation.</w:t>
            </w:r>
          </w:p>
        </w:tc>
      </w:tr>
      <w:tr w:rsidR="00E579F2" w14:paraId="53191AA4" w14:textId="77777777">
        <w:trPr>
          <w:cantSplit/>
          <w:jc w:val="center"/>
        </w:trPr>
        <w:tc>
          <w:tcPr>
            <w:tcW w:w="2664" w:type="dxa"/>
            <w:tcMar>
              <w:top w:w="88" w:type="dxa"/>
              <w:left w:w="105" w:type="dxa"/>
              <w:bottom w:w="88" w:type="dxa"/>
              <w:right w:w="105" w:type="dxa"/>
            </w:tcMar>
            <w:vAlign w:val="center"/>
          </w:tcPr>
          <w:p w14:paraId="64A8EF55" w14:textId="77777777" w:rsidR="00E579F2" w:rsidRDefault="00FC5553">
            <w:pPr>
              <w:spacing w:after="0" w:line="250" w:lineRule="auto"/>
              <w:rPr>
                <w:rFonts w:hint="eastAsia"/>
              </w:rPr>
            </w:pPr>
            <w:r>
              <w:rPr>
                <w:b/>
                <w:color w:val="17324D"/>
                <w:sz w:val="16"/>
              </w:rPr>
              <w:t>Bitstate</w:t>
            </w:r>
          </w:p>
        </w:tc>
        <w:tc>
          <w:tcPr>
            <w:tcW w:w="7056" w:type="dxa"/>
            <w:tcMar>
              <w:top w:w="88" w:type="dxa"/>
              <w:left w:w="105" w:type="dxa"/>
              <w:bottom w:w="88" w:type="dxa"/>
              <w:right w:w="105" w:type="dxa"/>
            </w:tcMar>
            <w:vAlign w:val="center"/>
          </w:tcPr>
          <w:p w14:paraId="3FF27256" w14:textId="77777777" w:rsidR="00E579F2" w:rsidRDefault="00FC5553">
            <w:pPr>
              <w:spacing w:after="0" w:line="250" w:lineRule="auto"/>
              <w:rPr>
                <w:rFonts w:hint="eastAsia"/>
              </w:rPr>
            </w:pPr>
            <w:r>
              <w:rPr>
                <w:sz w:val="16"/>
              </w:rPr>
              <w:t>The current semantic condition represented by one or more addressed bits in a specific Kernel version.</w:t>
            </w:r>
          </w:p>
        </w:tc>
      </w:tr>
      <w:tr w:rsidR="00E579F2" w14:paraId="2B06655A" w14:textId="77777777">
        <w:trPr>
          <w:cantSplit/>
          <w:jc w:val="center"/>
        </w:trPr>
        <w:tc>
          <w:tcPr>
            <w:tcW w:w="2664" w:type="dxa"/>
            <w:tcMar>
              <w:top w:w="88" w:type="dxa"/>
              <w:left w:w="105" w:type="dxa"/>
              <w:bottom w:w="88" w:type="dxa"/>
              <w:right w:w="105" w:type="dxa"/>
            </w:tcMar>
            <w:vAlign w:val="center"/>
          </w:tcPr>
          <w:p w14:paraId="051FF7C6" w14:textId="77777777" w:rsidR="00E579F2" w:rsidRDefault="00FC5553">
            <w:pPr>
              <w:spacing w:after="0" w:line="250" w:lineRule="auto"/>
              <w:rPr>
                <w:rFonts w:hint="eastAsia"/>
              </w:rPr>
            </w:pPr>
            <w:r>
              <w:rPr>
                <w:b/>
                <w:color w:val="17324D"/>
                <w:sz w:val="16"/>
              </w:rPr>
              <w:t>Bitstate Parameter</w:t>
            </w:r>
          </w:p>
        </w:tc>
        <w:tc>
          <w:tcPr>
            <w:tcW w:w="7056" w:type="dxa"/>
            <w:tcMar>
              <w:top w:w="88" w:type="dxa"/>
              <w:left w:w="105" w:type="dxa"/>
              <w:bottom w:w="88" w:type="dxa"/>
              <w:right w:w="105" w:type="dxa"/>
            </w:tcMar>
            <w:vAlign w:val="center"/>
          </w:tcPr>
          <w:p w14:paraId="36711383" w14:textId="77777777" w:rsidR="00E579F2" w:rsidRDefault="00FC5553">
            <w:pPr>
              <w:spacing w:after="0" w:line="250" w:lineRule="auto"/>
              <w:rPr>
                <w:rFonts w:hint="eastAsia"/>
              </w:rPr>
            </w:pPr>
            <w:r>
              <w:rPr>
                <w:sz w:val="16"/>
              </w:rPr>
              <w:t>An encoded threshold, bound, duration, coefficient, comparator setting, or other value used to determine or shape a bitstate transition.</w:t>
            </w:r>
          </w:p>
        </w:tc>
      </w:tr>
      <w:tr w:rsidR="00E579F2" w14:paraId="737D4FA7" w14:textId="77777777">
        <w:trPr>
          <w:cantSplit/>
          <w:jc w:val="center"/>
        </w:trPr>
        <w:tc>
          <w:tcPr>
            <w:tcW w:w="2664" w:type="dxa"/>
            <w:tcMar>
              <w:top w:w="88" w:type="dxa"/>
              <w:left w:w="105" w:type="dxa"/>
              <w:bottom w:w="88" w:type="dxa"/>
              <w:right w:w="105" w:type="dxa"/>
            </w:tcMar>
            <w:vAlign w:val="center"/>
          </w:tcPr>
          <w:p w14:paraId="2F6B0297" w14:textId="77777777" w:rsidR="00E579F2" w:rsidRDefault="00FC5553">
            <w:pPr>
              <w:spacing w:after="0" w:line="250" w:lineRule="auto"/>
              <w:rPr>
                <w:rFonts w:hint="eastAsia"/>
              </w:rPr>
            </w:pPr>
            <w:r>
              <w:rPr>
                <w:b/>
                <w:color w:val="17324D"/>
                <w:sz w:val="16"/>
              </w:rPr>
              <w:t>CERBERUS Core</w:t>
            </w:r>
          </w:p>
        </w:tc>
        <w:tc>
          <w:tcPr>
            <w:tcW w:w="7056" w:type="dxa"/>
            <w:tcMar>
              <w:top w:w="88" w:type="dxa"/>
              <w:left w:w="105" w:type="dxa"/>
              <w:bottom w:w="88" w:type="dxa"/>
              <w:right w:w="105" w:type="dxa"/>
            </w:tcMar>
            <w:vAlign w:val="center"/>
          </w:tcPr>
          <w:p w14:paraId="374F2CFA" w14:textId="77777777" w:rsidR="00E579F2" w:rsidRDefault="00FC5553">
            <w:pPr>
              <w:spacing w:after="0" w:line="250" w:lineRule="auto"/>
              <w:rPr>
                <w:rFonts w:hint="eastAsia"/>
              </w:rPr>
            </w:pPr>
            <w:r>
              <w:rPr>
                <w:sz w:val="16"/>
              </w:rPr>
              <w:t>The finite domain-neutral operating grammar for identity, routing, Models, Operators, Rules, state, translation, provenance, and events.</w:t>
            </w:r>
          </w:p>
        </w:tc>
      </w:tr>
      <w:tr w:rsidR="00E579F2" w14:paraId="1ABB4B04" w14:textId="77777777">
        <w:trPr>
          <w:cantSplit/>
          <w:jc w:val="center"/>
        </w:trPr>
        <w:tc>
          <w:tcPr>
            <w:tcW w:w="2664" w:type="dxa"/>
            <w:tcMar>
              <w:top w:w="88" w:type="dxa"/>
              <w:left w:w="105" w:type="dxa"/>
              <w:bottom w:w="88" w:type="dxa"/>
              <w:right w:w="105" w:type="dxa"/>
            </w:tcMar>
            <w:vAlign w:val="center"/>
          </w:tcPr>
          <w:p w14:paraId="2965BBE5" w14:textId="77777777" w:rsidR="00E579F2" w:rsidRDefault="00FC5553">
            <w:pPr>
              <w:spacing w:after="0" w:line="250" w:lineRule="auto"/>
              <w:rPr>
                <w:rFonts w:hint="eastAsia"/>
              </w:rPr>
            </w:pPr>
            <w:r>
              <w:rPr>
                <w:b/>
                <w:color w:val="17324D"/>
                <w:sz w:val="16"/>
              </w:rPr>
              <w:t>Comparator</w:t>
            </w:r>
          </w:p>
        </w:tc>
        <w:tc>
          <w:tcPr>
            <w:tcW w:w="7056" w:type="dxa"/>
            <w:tcMar>
              <w:top w:w="88" w:type="dxa"/>
              <w:left w:w="105" w:type="dxa"/>
              <w:bottom w:w="88" w:type="dxa"/>
              <w:right w:w="105" w:type="dxa"/>
            </w:tcMar>
            <w:vAlign w:val="center"/>
          </w:tcPr>
          <w:p w14:paraId="3EE60E31" w14:textId="77777777" w:rsidR="00E579F2" w:rsidRDefault="00FC5553">
            <w:pPr>
              <w:spacing w:after="0" w:line="250" w:lineRule="auto"/>
              <w:rPr>
                <w:rFonts w:hint="eastAsia"/>
              </w:rPr>
            </w:pPr>
            <w:r>
              <w:rPr>
                <w:sz w:val="16"/>
              </w:rPr>
              <w:t>A defined relation used to compare a source value with a ModelKey parameter, such as greater-than, less-than, equality, membership, or range inclusion.</w:t>
            </w:r>
          </w:p>
        </w:tc>
      </w:tr>
      <w:tr w:rsidR="00E579F2" w14:paraId="7C63DAED" w14:textId="77777777">
        <w:trPr>
          <w:cantSplit/>
          <w:jc w:val="center"/>
        </w:trPr>
        <w:tc>
          <w:tcPr>
            <w:tcW w:w="2664" w:type="dxa"/>
            <w:tcMar>
              <w:top w:w="88" w:type="dxa"/>
              <w:left w:w="105" w:type="dxa"/>
              <w:bottom w:w="88" w:type="dxa"/>
              <w:right w:w="105" w:type="dxa"/>
            </w:tcMar>
            <w:vAlign w:val="center"/>
          </w:tcPr>
          <w:p w14:paraId="1E398A6F" w14:textId="77777777" w:rsidR="00E579F2" w:rsidRDefault="00FC5553">
            <w:pPr>
              <w:spacing w:after="0" w:line="250" w:lineRule="auto"/>
              <w:rPr>
                <w:rFonts w:hint="eastAsia"/>
              </w:rPr>
            </w:pPr>
            <w:r>
              <w:rPr>
                <w:b/>
                <w:color w:val="17324D"/>
                <w:sz w:val="16"/>
              </w:rPr>
              <w:t>Companion Kernel</w:t>
            </w:r>
          </w:p>
        </w:tc>
        <w:tc>
          <w:tcPr>
            <w:tcW w:w="7056" w:type="dxa"/>
            <w:tcMar>
              <w:top w:w="88" w:type="dxa"/>
              <w:left w:w="105" w:type="dxa"/>
              <w:bottom w:w="88" w:type="dxa"/>
              <w:right w:w="105" w:type="dxa"/>
            </w:tcMar>
            <w:vAlign w:val="center"/>
          </w:tcPr>
          <w:p w14:paraId="20807DB9" w14:textId="77777777" w:rsidR="00E579F2" w:rsidRDefault="00FC5553">
            <w:pPr>
              <w:spacing w:after="0" w:line="250" w:lineRule="auto"/>
              <w:rPr>
                <w:rFonts w:hint="eastAsia"/>
              </w:rPr>
            </w:pPr>
            <w:r>
              <w:rPr>
                <w:sz w:val="16"/>
              </w:rPr>
              <w:t>A separate Semantic Kernel attached to the same object rather than appended to an existing word.</w:t>
            </w:r>
          </w:p>
        </w:tc>
      </w:tr>
      <w:tr w:rsidR="00E579F2" w14:paraId="7D2C0E35" w14:textId="77777777">
        <w:trPr>
          <w:cantSplit/>
          <w:jc w:val="center"/>
        </w:trPr>
        <w:tc>
          <w:tcPr>
            <w:tcW w:w="2664" w:type="dxa"/>
            <w:tcMar>
              <w:top w:w="88" w:type="dxa"/>
              <w:left w:w="105" w:type="dxa"/>
              <w:bottom w:w="88" w:type="dxa"/>
              <w:right w:w="105" w:type="dxa"/>
            </w:tcMar>
            <w:vAlign w:val="center"/>
          </w:tcPr>
          <w:p w14:paraId="1DD2A332" w14:textId="77777777" w:rsidR="00E579F2" w:rsidRDefault="00FC5553">
            <w:pPr>
              <w:spacing w:after="0" w:line="250" w:lineRule="auto"/>
              <w:rPr>
                <w:rFonts w:hint="eastAsia"/>
              </w:rPr>
            </w:pPr>
            <w:r>
              <w:rPr>
                <w:b/>
                <w:color w:val="17324D"/>
                <w:sz w:val="16"/>
              </w:rPr>
              <w:t>Cross-object parameterization</w:t>
            </w:r>
          </w:p>
        </w:tc>
        <w:tc>
          <w:tcPr>
            <w:tcW w:w="7056" w:type="dxa"/>
            <w:tcMar>
              <w:top w:w="88" w:type="dxa"/>
              <w:left w:w="105" w:type="dxa"/>
              <w:bottom w:w="88" w:type="dxa"/>
              <w:right w:w="105" w:type="dxa"/>
            </w:tcMar>
            <w:vAlign w:val="center"/>
          </w:tcPr>
          <w:p w14:paraId="34CB7AA0" w14:textId="77777777" w:rsidR="00E579F2" w:rsidRDefault="00FC5553">
            <w:pPr>
              <w:spacing w:after="0" w:line="250" w:lineRule="auto"/>
              <w:rPr>
                <w:rFonts w:hint="eastAsia"/>
              </w:rPr>
            </w:pPr>
            <w:r>
              <w:rPr>
                <w:sz w:val="16"/>
              </w:rPr>
              <w:t>Use of one object's Semantic Kernel state as an input to another object's transition logic.</w:t>
            </w:r>
          </w:p>
        </w:tc>
      </w:tr>
      <w:tr w:rsidR="00E579F2" w14:paraId="0ECB8105" w14:textId="77777777">
        <w:trPr>
          <w:cantSplit/>
          <w:jc w:val="center"/>
        </w:trPr>
        <w:tc>
          <w:tcPr>
            <w:tcW w:w="2664" w:type="dxa"/>
            <w:tcMar>
              <w:top w:w="88" w:type="dxa"/>
              <w:left w:w="105" w:type="dxa"/>
              <w:bottom w:w="88" w:type="dxa"/>
              <w:right w:w="105" w:type="dxa"/>
            </w:tcMar>
            <w:vAlign w:val="center"/>
          </w:tcPr>
          <w:p w14:paraId="1E2A0F67" w14:textId="77777777" w:rsidR="00E579F2" w:rsidRDefault="00FC5553">
            <w:pPr>
              <w:spacing w:after="0" w:line="250" w:lineRule="auto"/>
              <w:rPr>
                <w:rFonts w:hint="eastAsia"/>
              </w:rPr>
            </w:pPr>
            <w:r>
              <w:rPr>
                <w:b/>
                <w:color w:val="17324D"/>
                <w:sz w:val="16"/>
              </w:rPr>
              <w:t>Delta</w:t>
            </w:r>
          </w:p>
        </w:tc>
        <w:tc>
          <w:tcPr>
            <w:tcW w:w="7056" w:type="dxa"/>
            <w:tcMar>
              <w:top w:w="88" w:type="dxa"/>
              <w:left w:w="105" w:type="dxa"/>
              <w:bottom w:w="88" w:type="dxa"/>
              <w:right w:w="105" w:type="dxa"/>
            </w:tcMar>
            <w:vAlign w:val="center"/>
          </w:tcPr>
          <w:p w14:paraId="4E9D978B" w14:textId="77777777" w:rsidR="00E579F2" w:rsidRDefault="00FC5553">
            <w:pPr>
              <w:spacing w:after="0" w:line="250" w:lineRule="auto"/>
              <w:rPr>
                <w:rFonts w:hint="eastAsia"/>
              </w:rPr>
            </w:pPr>
            <w:r>
              <w:rPr>
                <w:sz w:val="16"/>
              </w:rPr>
              <w:t>The typed difference between before and after semantic state. Boolean deltas can identify entered and exited bits; scalar deltas use decoded values.</w:t>
            </w:r>
          </w:p>
        </w:tc>
      </w:tr>
      <w:tr w:rsidR="00E579F2" w14:paraId="6F3D53C5" w14:textId="77777777">
        <w:trPr>
          <w:cantSplit/>
          <w:jc w:val="center"/>
        </w:trPr>
        <w:tc>
          <w:tcPr>
            <w:tcW w:w="2664" w:type="dxa"/>
            <w:tcMar>
              <w:top w:w="88" w:type="dxa"/>
              <w:left w:w="105" w:type="dxa"/>
              <w:bottom w:w="88" w:type="dxa"/>
              <w:right w:w="105" w:type="dxa"/>
            </w:tcMar>
            <w:vAlign w:val="center"/>
          </w:tcPr>
          <w:p w14:paraId="30216845" w14:textId="77777777" w:rsidR="00E579F2" w:rsidRDefault="00FC5553">
            <w:pPr>
              <w:spacing w:after="0" w:line="250" w:lineRule="auto"/>
              <w:rPr>
                <w:rFonts w:hint="eastAsia"/>
              </w:rPr>
            </w:pPr>
            <w:r>
              <w:rPr>
                <w:b/>
                <w:color w:val="17324D"/>
                <w:sz w:val="16"/>
              </w:rPr>
              <w:t>Entry Threshold</w:t>
            </w:r>
          </w:p>
        </w:tc>
        <w:tc>
          <w:tcPr>
            <w:tcW w:w="7056" w:type="dxa"/>
            <w:tcMar>
              <w:top w:w="88" w:type="dxa"/>
              <w:left w:w="105" w:type="dxa"/>
              <w:bottom w:w="88" w:type="dxa"/>
              <w:right w:w="105" w:type="dxa"/>
            </w:tcMar>
            <w:vAlign w:val="center"/>
          </w:tcPr>
          <w:p w14:paraId="0CA9F58A" w14:textId="77777777" w:rsidR="00E579F2" w:rsidRDefault="00FC5553">
            <w:pPr>
              <w:spacing w:after="0" w:line="250" w:lineRule="auto"/>
              <w:rPr>
                <w:rFonts w:hint="eastAsia"/>
              </w:rPr>
            </w:pPr>
            <w:r>
              <w:rPr>
                <w:sz w:val="16"/>
              </w:rPr>
              <w:t>A parameter boundary that contributes to entering a semantic state.</w:t>
            </w:r>
          </w:p>
        </w:tc>
      </w:tr>
      <w:tr w:rsidR="00E579F2" w14:paraId="00F80081" w14:textId="77777777">
        <w:trPr>
          <w:cantSplit/>
          <w:jc w:val="center"/>
        </w:trPr>
        <w:tc>
          <w:tcPr>
            <w:tcW w:w="2664" w:type="dxa"/>
            <w:tcMar>
              <w:top w:w="88" w:type="dxa"/>
              <w:left w:w="105" w:type="dxa"/>
              <w:bottom w:w="88" w:type="dxa"/>
              <w:right w:w="105" w:type="dxa"/>
            </w:tcMar>
            <w:vAlign w:val="center"/>
          </w:tcPr>
          <w:p w14:paraId="1EC3A5F4" w14:textId="77777777" w:rsidR="00E579F2" w:rsidRDefault="00FC5553">
            <w:pPr>
              <w:spacing w:after="0" w:line="250" w:lineRule="auto"/>
              <w:rPr>
                <w:rFonts w:hint="eastAsia"/>
              </w:rPr>
            </w:pPr>
            <w:r>
              <w:rPr>
                <w:b/>
                <w:color w:val="17324D"/>
                <w:sz w:val="16"/>
              </w:rPr>
              <w:t>Exit Threshold</w:t>
            </w:r>
          </w:p>
        </w:tc>
        <w:tc>
          <w:tcPr>
            <w:tcW w:w="7056" w:type="dxa"/>
            <w:tcMar>
              <w:top w:w="88" w:type="dxa"/>
              <w:left w:w="105" w:type="dxa"/>
              <w:bottom w:w="88" w:type="dxa"/>
              <w:right w:w="105" w:type="dxa"/>
            </w:tcMar>
            <w:vAlign w:val="center"/>
          </w:tcPr>
          <w:p w14:paraId="52C23F02" w14:textId="77777777" w:rsidR="00E579F2" w:rsidRDefault="00FC5553">
            <w:pPr>
              <w:spacing w:after="0" w:line="250" w:lineRule="auto"/>
              <w:rPr>
                <w:rFonts w:hint="eastAsia"/>
              </w:rPr>
            </w:pPr>
            <w:r>
              <w:rPr>
                <w:sz w:val="16"/>
              </w:rPr>
              <w:t>A parameter boundary that contributes to leaving a semantic state.</w:t>
            </w:r>
          </w:p>
        </w:tc>
      </w:tr>
      <w:tr w:rsidR="00E579F2" w14:paraId="41EFD65D" w14:textId="77777777">
        <w:trPr>
          <w:cantSplit/>
          <w:jc w:val="center"/>
        </w:trPr>
        <w:tc>
          <w:tcPr>
            <w:tcW w:w="2664" w:type="dxa"/>
            <w:tcMar>
              <w:top w:w="88" w:type="dxa"/>
              <w:left w:w="105" w:type="dxa"/>
              <w:bottom w:w="88" w:type="dxa"/>
              <w:right w:w="105" w:type="dxa"/>
            </w:tcMar>
            <w:vAlign w:val="center"/>
          </w:tcPr>
          <w:p w14:paraId="453800FF" w14:textId="77777777" w:rsidR="00E579F2" w:rsidRDefault="00FC5553">
            <w:pPr>
              <w:spacing w:after="0" w:line="250" w:lineRule="auto"/>
              <w:rPr>
                <w:rFonts w:hint="eastAsia"/>
              </w:rPr>
            </w:pPr>
            <w:r>
              <w:rPr>
                <w:b/>
                <w:color w:val="17324D"/>
                <w:sz w:val="16"/>
              </w:rPr>
              <w:t>Extended Semantic Kernel</w:t>
            </w:r>
          </w:p>
        </w:tc>
        <w:tc>
          <w:tcPr>
            <w:tcW w:w="7056" w:type="dxa"/>
            <w:tcMar>
              <w:top w:w="88" w:type="dxa"/>
              <w:left w:w="105" w:type="dxa"/>
              <w:bottom w:w="88" w:type="dxa"/>
              <w:right w:w="105" w:type="dxa"/>
            </w:tcMar>
            <w:vAlign w:val="center"/>
          </w:tcPr>
          <w:p w14:paraId="108B0FF5" w14:textId="77777777" w:rsidR="00E579F2" w:rsidRDefault="00FC5553">
            <w:pPr>
              <w:spacing w:after="0" w:line="250" w:lineRule="auto"/>
              <w:rPr>
                <w:rFonts w:hint="eastAsia"/>
              </w:rPr>
            </w:pPr>
            <w:r>
              <w:rPr>
                <w:sz w:val="16"/>
              </w:rPr>
              <w:t>A larger Kernel word that adds stable state or parameter semantics to a smaller standard word or family.</w:t>
            </w:r>
          </w:p>
        </w:tc>
      </w:tr>
      <w:tr w:rsidR="00E579F2" w14:paraId="1BF3E3BE" w14:textId="77777777">
        <w:trPr>
          <w:cantSplit/>
          <w:jc w:val="center"/>
        </w:trPr>
        <w:tc>
          <w:tcPr>
            <w:tcW w:w="2664" w:type="dxa"/>
            <w:tcMar>
              <w:top w:w="88" w:type="dxa"/>
              <w:left w:w="105" w:type="dxa"/>
              <w:bottom w:w="88" w:type="dxa"/>
              <w:right w:w="105" w:type="dxa"/>
            </w:tcMar>
            <w:vAlign w:val="center"/>
          </w:tcPr>
          <w:p w14:paraId="28FF75A5" w14:textId="77777777" w:rsidR="00E579F2" w:rsidRDefault="00FC5553">
            <w:pPr>
              <w:spacing w:after="0" w:line="250" w:lineRule="auto"/>
              <w:rPr>
                <w:rFonts w:hint="eastAsia"/>
              </w:rPr>
            </w:pPr>
            <w:r>
              <w:rPr>
                <w:b/>
                <w:color w:val="17324D"/>
                <w:sz w:val="16"/>
              </w:rPr>
              <w:t>Hysteresis</w:t>
            </w:r>
          </w:p>
        </w:tc>
        <w:tc>
          <w:tcPr>
            <w:tcW w:w="7056" w:type="dxa"/>
            <w:tcMar>
              <w:top w:w="88" w:type="dxa"/>
              <w:left w:w="105" w:type="dxa"/>
              <w:bottom w:w="88" w:type="dxa"/>
              <w:right w:w="105" w:type="dxa"/>
            </w:tcMar>
            <w:vAlign w:val="center"/>
          </w:tcPr>
          <w:p w14:paraId="6B50F5D5" w14:textId="77777777" w:rsidR="00E579F2" w:rsidRDefault="00FC5553">
            <w:pPr>
              <w:spacing w:after="0" w:line="250" w:lineRule="auto"/>
              <w:rPr>
                <w:rFonts w:hint="eastAsia"/>
              </w:rPr>
            </w:pPr>
            <w:r>
              <w:rPr>
                <w:sz w:val="16"/>
              </w:rPr>
              <w:t>Use of distinct entry and exit boundaries, or equivalent control, to prevent repeated state oscillation near a threshold.</w:t>
            </w:r>
          </w:p>
        </w:tc>
      </w:tr>
      <w:tr w:rsidR="00E579F2" w14:paraId="56ADB479" w14:textId="77777777">
        <w:trPr>
          <w:cantSplit/>
          <w:jc w:val="center"/>
        </w:trPr>
        <w:tc>
          <w:tcPr>
            <w:tcW w:w="2664" w:type="dxa"/>
            <w:tcMar>
              <w:top w:w="88" w:type="dxa"/>
              <w:left w:w="105" w:type="dxa"/>
              <w:bottom w:w="88" w:type="dxa"/>
              <w:right w:w="105" w:type="dxa"/>
            </w:tcMar>
            <w:vAlign w:val="center"/>
          </w:tcPr>
          <w:p w14:paraId="7674B122" w14:textId="77777777" w:rsidR="00E579F2" w:rsidRDefault="00FC5553">
            <w:pPr>
              <w:spacing w:after="0" w:line="250" w:lineRule="auto"/>
              <w:rPr>
                <w:rFonts w:hint="eastAsia"/>
              </w:rPr>
            </w:pPr>
            <w:r>
              <w:rPr>
                <w:b/>
                <w:color w:val="17324D"/>
                <w:sz w:val="16"/>
              </w:rPr>
              <w:t>Kernel Instance</w:t>
            </w:r>
          </w:p>
        </w:tc>
        <w:tc>
          <w:tcPr>
            <w:tcW w:w="7056" w:type="dxa"/>
            <w:tcMar>
              <w:top w:w="88" w:type="dxa"/>
              <w:left w:w="105" w:type="dxa"/>
              <w:bottom w:w="88" w:type="dxa"/>
              <w:right w:w="105" w:type="dxa"/>
            </w:tcMar>
            <w:vAlign w:val="center"/>
          </w:tcPr>
          <w:p w14:paraId="75BC5FA2" w14:textId="77777777" w:rsidR="00E579F2" w:rsidRDefault="00FC5553">
            <w:pPr>
              <w:spacing w:after="0" w:line="250" w:lineRule="auto"/>
              <w:rPr>
                <w:rFonts w:hint="eastAsia"/>
              </w:rPr>
            </w:pPr>
            <w:r>
              <w:rPr>
                <w:sz w:val="16"/>
              </w:rPr>
              <w:t>An object-specific binding to a Semantic Kernel version and current word.</w:t>
            </w:r>
          </w:p>
        </w:tc>
      </w:tr>
      <w:tr w:rsidR="00E579F2" w14:paraId="37634D5E" w14:textId="77777777">
        <w:trPr>
          <w:cantSplit/>
          <w:jc w:val="center"/>
        </w:trPr>
        <w:tc>
          <w:tcPr>
            <w:tcW w:w="2664" w:type="dxa"/>
            <w:tcMar>
              <w:top w:w="88" w:type="dxa"/>
              <w:left w:w="105" w:type="dxa"/>
              <w:bottom w:w="88" w:type="dxa"/>
              <w:right w:w="105" w:type="dxa"/>
            </w:tcMar>
            <w:vAlign w:val="center"/>
          </w:tcPr>
          <w:p w14:paraId="60F17214" w14:textId="77777777" w:rsidR="00E579F2" w:rsidRDefault="00FC5553">
            <w:pPr>
              <w:spacing w:after="0" w:line="250" w:lineRule="auto"/>
              <w:rPr>
                <w:rFonts w:hint="eastAsia"/>
              </w:rPr>
            </w:pPr>
            <w:r>
              <w:rPr>
                <w:b/>
                <w:color w:val="17324D"/>
                <w:sz w:val="16"/>
              </w:rPr>
              <w:t>Model</w:t>
            </w:r>
          </w:p>
        </w:tc>
        <w:tc>
          <w:tcPr>
            <w:tcW w:w="7056" w:type="dxa"/>
            <w:tcMar>
              <w:top w:w="88" w:type="dxa"/>
              <w:left w:w="105" w:type="dxa"/>
              <w:bottom w:w="88" w:type="dxa"/>
              <w:right w:w="105" w:type="dxa"/>
            </w:tcMar>
            <w:vAlign w:val="center"/>
          </w:tcPr>
          <w:p w14:paraId="29B2473A" w14:textId="77777777" w:rsidR="00E579F2" w:rsidRDefault="00FC5553">
            <w:pPr>
              <w:spacing w:after="0" w:line="250" w:lineRule="auto"/>
              <w:rPr>
                <w:rFonts w:hint="eastAsia"/>
              </w:rPr>
            </w:pPr>
            <w:r>
              <w:rPr>
                <w:sz w:val="16"/>
              </w:rPr>
              <w:t>A canonical registered interpretation, formula, mapping, or calculation that gives meaning to ModelKey values and semantic inputs.</w:t>
            </w:r>
          </w:p>
        </w:tc>
      </w:tr>
      <w:tr w:rsidR="00E579F2" w14:paraId="494B3A1C" w14:textId="77777777">
        <w:trPr>
          <w:cantSplit/>
          <w:jc w:val="center"/>
        </w:trPr>
        <w:tc>
          <w:tcPr>
            <w:tcW w:w="2664" w:type="dxa"/>
            <w:tcMar>
              <w:top w:w="88" w:type="dxa"/>
              <w:left w:w="105" w:type="dxa"/>
              <w:bottom w:w="88" w:type="dxa"/>
              <w:right w:w="105" w:type="dxa"/>
            </w:tcMar>
            <w:vAlign w:val="center"/>
          </w:tcPr>
          <w:p w14:paraId="779BEC0E" w14:textId="77777777" w:rsidR="00E579F2" w:rsidRDefault="00FC5553">
            <w:pPr>
              <w:spacing w:after="0" w:line="250" w:lineRule="auto"/>
              <w:rPr>
                <w:rFonts w:hint="eastAsia"/>
              </w:rPr>
            </w:pPr>
            <w:r>
              <w:rPr>
                <w:b/>
                <w:color w:val="17324D"/>
                <w:sz w:val="16"/>
              </w:rPr>
              <w:t>ModelKey</w:t>
            </w:r>
          </w:p>
        </w:tc>
        <w:tc>
          <w:tcPr>
            <w:tcW w:w="7056" w:type="dxa"/>
            <w:tcMar>
              <w:top w:w="88" w:type="dxa"/>
              <w:left w:w="105" w:type="dxa"/>
              <w:bottom w:w="88" w:type="dxa"/>
              <w:right w:w="105" w:type="dxa"/>
            </w:tcMar>
            <w:vAlign w:val="center"/>
          </w:tcPr>
          <w:p w14:paraId="33BBDE48" w14:textId="77777777" w:rsidR="00E579F2" w:rsidRDefault="00FC5553">
            <w:pPr>
              <w:spacing w:after="0" w:line="250" w:lineRule="auto"/>
              <w:rPr>
                <w:rFonts w:hint="eastAsia"/>
              </w:rPr>
            </w:pPr>
            <w:r>
              <w:rPr>
                <w:sz w:val="16"/>
              </w:rPr>
              <w:t>An object-specific set of values interpreted by a registered Model. In this specification, ModelKey values may be serialized into an SK extension word.</w:t>
            </w:r>
          </w:p>
        </w:tc>
      </w:tr>
      <w:tr w:rsidR="00E579F2" w14:paraId="4C6F7A98" w14:textId="77777777">
        <w:trPr>
          <w:cantSplit/>
          <w:jc w:val="center"/>
        </w:trPr>
        <w:tc>
          <w:tcPr>
            <w:tcW w:w="2664" w:type="dxa"/>
            <w:tcMar>
              <w:top w:w="88" w:type="dxa"/>
              <w:left w:w="105" w:type="dxa"/>
              <w:bottom w:w="88" w:type="dxa"/>
              <w:right w:w="105" w:type="dxa"/>
            </w:tcMar>
            <w:vAlign w:val="center"/>
          </w:tcPr>
          <w:p w14:paraId="660128B9" w14:textId="77777777" w:rsidR="00E579F2" w:rsidRDefault="00FC5553">
            <w:pPr>
              <w:spacing w:after="0" w:line="250" w:lineRule="auto"/>
              <w:rPr>
                <w:rFonts w:hint="eastAsia"/>
              </w:rPr>
            </w:pPr>
            <w:r>
              <w:rPr>
                <w:b/>
                <w:color w:val="17324D"/>
                <w:sz w:val="16"/>
              </w:rPr>
              <w:t>ModelKey Extension</w:t>
            </w:r>
          </w:p>
        </w:tc>
        <w:tc>
          <w:tcPr>
            <w:tcW w:w="7056" w:type="dxa"/>
            <w:tcMar>
              <w:top w:w="88" w:type="dxa"/>
              <w:left w:w="105" w:type="dxa"/>
              <w:bottom w:w="88" w:type="dxa"/>
              <w:right w:w="105" w:type="dxa"/>
            </w:tcMar>
            <w:vAlign w:val="center"/>
          </w:tcPr>
          <w:p w14:paraId="55843844" w14:textId="77777777" w:rsidR="00E579F2" w:rsidRDefault="00FC5553">
            <w:pPr>
              <w:spacing w:after="0" w:line="250" w:lineRule="auto"/>
              <w:rPr>
                <w:rFonts w:hint="eastAsia"/>
              </w:rPr>
            </w:pPr>
            <w:r>
              <w:rPr>
                <w:sz w:val="16"/>
              </w:rPr>
              <w:t>The suffix bit range of an extended SK allocated to object-specific ModelKey values and Bitstate Parameters.</w:t>
            </w:r>
          </w:p>
        </w:tc>
      </w:tr>
      <w:tr w:rsidR="00E579F2" w14:paraId="38985167" w14:textId="77777777">
        <w:trPr>
          <w:cantSplit/>
          <w:jc w:val="center"/>
        </w:trPr>
        <w:tc>
          <w:tcPr>
            <w:tcW w:w="2664" w:type="dxa"/>
            <w:tcMar>
              <w:top w:w="88" w:type="dxa"/>
              <w:left w:w="105" w:type="dxa"/>
              <w:bottom w:w="88" w:type="dxa"/>
              <w:right w:w="105" w:type="dxa"/>
            </w:tcMar>
            <w:vAlign w:val="center"/>
          </w:tcPr>
          <w:p w14:paraId="6BBEF6A7" w14:textId="77777777" w:rsidR="00E579F2" w:rsidRDefault="00FC5553">
            <w:pPr>
              <w:spacing w:after="0" w:line="250" w:lineRule="auto"/>
              <w:rPr>
                <w:rFonts w:hint="eastAsia"/>
              </w:rPr>
            </w:pPr>
            <w:r>
              <w:rPr>
                <w:b/>
                <w:color w:val="17324D"/>
                <w:sz w:val="16"/>
              </w:rPr>
              <w:t>NodeKey</w:t>
            </w:r>
          </w:p>
        </w:tc>
        <w:tc>
          <w:tcPr>
            <w:tcW w:w="7056" w:type="dxa"/>
            <w:tcMar>
              <w:top w:w="88" w:type="dxa"/>
              <w:left w:w="105" w:type="dxa"/>
              <w:bottom w:w="88" w:type="dxa"/>
              <w:right w:w="105" w:type="dxa"/>
            </w:tcMar>
            <w:vAlign w:val="center"/>
          </w:tcPr>
          <w:p w14:paraId="180951EB" w14:textId="77777777" w:rsidR="00E579F2" w:rsidRDefault="00FC5553">
            <w:pPr>
              <w:spacing w:after="0" w:line="250" w:lineRule="auto"/>
              <w:rPr>
                <w:rFonts w:hint="eastAsia"/>
              </w:rPr>
            </w:pPr>
            <w:r>
              <w:rPr>
                <w:sz w:val="16"/>
              </w:rPr>
              <w:t>Canonical identity of the object that owns or participates in Semantic Kernel state.</w:t>
            </w:r>
          </w:p>
        </w:tc>
      </w:tr>
      <w:tr w:rsidR="00E579F2" w14:paraId="6E008966" w14:textId="77777777">
        <w:trPr>
          <w:cantSplit/>
          <w:jc w:val="center"/>
        </w:trPr>
        <w:tc>
          <w:tcPr>
            <w:tcW w:w="2664" w:type="dxa"/>
            <w:tcMar>
              <w:top w:w="88" w:type="dxa"/>
              <w:left w:w="105" w:type="dxa"/>
              <w:bottom w:w="88" w:type="dxa"/>
              <w:right w:w="105" w:type="dxa"/>
            </w:tcMar>
            <w:vAlign w:val="center"/>
          </w:tcPr>
          <w:p w14:paraId="4677BCA0" w14:textId="77777777" w:rsidR="00E579F2" w:rsidRDefault="00FC5553">
            <w:pPr>
              <w:spacing w:after="0" w:line="250" w:lineRule="auto"/>
              <w:rPr>
                <w:rFonts w:hint="eastAsia"/>
              </w:rPr>
            </w:pPr>
            <w:r>
              <w:rPr>
                <w:b/>
                <w:color w:val="17324D"/>
                <w:sz w:val="16"/>
              </w:rPr>
              <w:t>Operator</w:t>
            </w:r>
          </w:p>
        </w:tc>
        <w:tc>
          <w:tcPr>
            <w:tcW w:w="7056" w:type="dxa"/>
            <w:tcMar>
              <w:top w:w="88" w:type="dxa"/>
              <w:left w:w="105" w:type="dxa"/>
              <w:bottom w:w="88" w:type="dxa"/>
              <w:right w:w="105" w:type="dxa"/>
            </w:tcMar>
            <w:vAlign w:val="center"/>
          </w:tcPr>
          <w:p w14:paraId="7A8C28A7" w14:textId="77777777" w:rsidR="00E579F2" w:rsidRDefault="00FC5553">
            <w:pPr>
              <w:spacing w:after="0" w:line="250" w:lineRule="auto"/>
              <w:rPr>
                <w:rFonts w:hint="eastAsia"/>
              </w:rPr>
            </w:pPr>
            <w:r>
              <w:rPr>
                <w:sz w:val="16"/>
              </w:rPr>
              <w:t>A precisely scoped deterministic command that mutates declared bits or bit groups.</w:t>
            </w:r>
          </w:p>
        </w:tc>
      </w:tr>
      <w:tr w:rsidR="00E579F2" w14:paraId="30DB3F07" w14:textId="77777777">
        <w:trPr>
          <w:cantSplit/>
          <w:jc w:val="center"/>
        </w:trPr>
        <w:tc>
          <w:tcPr>
            <w:tcW w:w="2664" w:type="dxa"/>
            <w:tcMar>
              <w:top w:w="88" w:type="dxa"/>
              <w:left w:w="105" w:type="dxa"/>
              <w:bottom w:w="88" w:type="dxa"/>
              <w:right w:w="105" w:type="dxa"/>
            </w:tcMar>
            <w:vAlign w:val="center"/>
          </w:tcPr>
          <w:p w14:paraId="25A3FC20" w14:textId="77777777" w:rsidR="00E579F2" w:rsidRDefault="00FC5553">
            <w:pPr>
              <w:spacing w:after="0" w:line="250" w:lineRule="auto"/>
              <w:rPr>
                <w:rFonts w:hint="eastAsia"/>
              </w:rPr>
            </w:pPr>
            <w:r>
              <w:rPr>
                <w:b/>
                <w:color w:val="17324D"/>
                <w:sz w:val="16"/>
              </w:rPr>
              <w:t>Parameter Binding</w:t>
            </w:r>
          </w:p>
        </w:tc>
        <w:tc>
          <w:tcPr>
            <w:tcW w:w="7056" w:type="dxa"/>
            <w:tcMar>
              <w:top w:w="88" w:type="dxa"/>
              <w:left w:w="105" w:type="dxa"/>
              <w:bottom w:w="88" w:type="dxa"/>
              <w:right w:w="105" w:type="dxa"/>
            </w:tcMar>
            <w:vAlign w:val="center"/>
          </w:tcPr>
          <w:p w14:paraId="1F0C2B06" w14:textId="77777777" w:rsidR="00E579F2" w:rsidRDefault="00FC5553">
            <w:pPr>
              <w:spacing w:after="0" w:line="250" w:lineRule="auto"/>
              <w:rPr>
                <w:rFonts w:hint="eastAsia"/>
              </w:rPr>
            </w:pPr>
            <w:r>
              <w:rPr>
                <w:sz w:val="16"/>
              </w:rPr>
              <w:t>A record connecting a source semantic address to a local parameter slot, Rule, and target Operator.</w:t>
            </w:r>
          </w:p>
        </w:tc>
      </w:tr>
      <w:tr w:rsidR="00E579F2" w14:paraId="3987381E" w14:textId="77777777">
        <w:trPr>
          <w:cantSplit/>
          <w:jc w:val="center"/>
        </w:trPr>
        <w:tc>
          <w:tcPr>
            <w:tcW w:w="2664" w:type="dxa"/>
            <w:tcMar>
              <w:top w:w="88" w:type="dxa"/>
              <w:left w:w="105" w:type="dxa"/>
              <w:bottom w:w="88" w:type="dxa"/>
              <w:right w:w="105" w:type="dxa"/>
            </w:tcMar>
            <w:vAlign w:val="center"/>
          </w:tcPr>
          <w:p w14:paraId="660DABB5" w14:textId="77777777" w:rsidR="00E579F2" w:rsidRDefault="00FC5553">
            <w:pPr>
              <w:spacing w:after="0" w:line="250" w:lineRule="auto"/>
              <w:rPr>
                <w:rFonts w:hint="eastAsia"/>
              </w:rPr>
            </w:pPr>
            <w:r>
              <w:rPr>
                <w:b/>
                <w:color w:val="17324D"/>
                <w:sz w:val="16"/>
              </w:rPr>
              <w:t>Prefix Preservation</w:t>
            </w:r>
          </w:p>
        </w:tc>
        <w:tc>
          <w:tcPr>
            <w:tcW w:w="7056" w:type="dxa"/>
            <w:tcMar>
              <w:top w:w="88" w:type="dxa"/>
              <w:left w:w="105" w:type="dxa"/>
              <w:bottom w:w="88" w:type="dxa"/>
              <w:right w:w="105" w:type="dxa"/>
            </w:tcMar>
            <w:vAlign w:val="center"/>
          </w:tcPr>
          <w:p w14:paraId="3581397D" w14:textId="77777777" w:rsidR="00E579F2" w:rsidRDefault="00FC5553">
            <w:pPr>
              <w:spacing w:after="0" w:line="250" w:lineRule="auto"/>
              <w:rPr>
                <w:rFonts w:hint="eastAsia"/>
              </w:rPr>
            </w:pPr>
            <w:r>
              <w:rPr>
                <w:sz w:val="16"/>
              </w:rPr>
              <w:t>A declared compatibility relationship in which a larger word retains the exact semantics of a smaller Kernel in its leading bits.</w:t>
            </w:r>
          </w:p>
        </w:tc>
      </w:tr>
      <w:tr w:rsidR="00E579F2" w14:paraId="3C6FDDC8" w14:textId="77777777">
        <w:trPr>
          <w:cantSplit/>
          <w:jc w:val="center"/>
        </w:trPr>
        <w:tc>
          <w:tcPr>
            <w:tcW w:w="2664" w:type="dxa"/>
            <w:tcMar>
              <w:top w:w="88" w:type="dxa"/>
              <w:left w:w="105" w:type="dxa"/>
              <w:bottom w:w="88" w:type="dxa"/>
              <w:right w:w="105" w:type="dxa"/>
            </w:tcMar>
            <w:vAlign w:val="center"/>
          </w:tcPr>
          <w:p w14:paraId="1380AA39" w14:textId="77777777" w:rsidR="00E579F2" w:rsidRDefault="00FC5553">
            <w:pPr>
              <w:spacing w:after="0" w:line="250" w:lineRule="auto"/>
              <w:rPr>
                <w:rFonts w:hint="eastAsia"/>
              </w:rPr>
            </w:pPr>
            <w:r>
              <w:rPr>
                <w:b/>
                <w:color w:val="17324D"/>
                <w:sz w:val="16"/>
              </w:rPr>
              <w:t>Propagation Policy</w:t>
            </w:r>
          </w:p>
        </w:tc>
        <w:tc>
          <w:tcPr>
            <w:tcW w:w="7056" w:type="dxa"/>
            <w:tcMar>
              <w:top w:w="88" w:type="dxa"/>
              <w:left w:w="105" w:type="dxa"/>
              <w:bottom w:w="88" w:type="dxa"/>
              <w:right w:w="105" w:type="dxa"/>
            </w:tcMar>
            <w:vAlign w:val="center"/>
          </w:tcPr>
          <w:p w14:paraId="4A0EFF95" w14:textId="77777777" w:rsidR="00E579F2" w:rsidRDefault="00FC5553">
            <w:pPr>
              <w:spacing w:after="0" w:line="250" w:lineRule="auto"/>
              <w:rPr>
                <w:rFonts w:hint="eastAsia"/>
              </w:rPr>
            </w:pPr>
            <w:r>
              <w:rPr>
                <w:sz w:val="16"/>
              </w:rPr>
              <w:t>Rules for when and how a committed semantic delta is delivered to downstream bindings or Bitlinks.</w:t>
            </w:r>
          </w:p>
        </w:tc>
      </w:tr>
      <w:tr w:rsidR="00E579F2" w14:paraId="6FFFA31D" w14:textId="77777777">
        <w:trPr>
          <w:cantSplit/>
          <w:jc w:val="center"/>
        </w:trPr>
        <w:tc>
          <w:tcPr>
            <w:tcW w:w="2664" w:type="dxa"/>
            <w:tcMar>
              <w:top w:w="88" w:type="dxa"/>
              <w:left w:w="105" w:type="dxa"/>
              <w:bottom w:w="88" w:type="dxa"/>
              <w:right w:w="105" w:type="dxa"/>
            </w:tcMar>
            <w:vAlign w:val="center"/>
          </w:tcPr>
          <w:p w14:paraId="2A9C15A7" w14:textId="77777777" w:rsidR="00E579F2" w:rsidRDefault="00FC5553">
            <w:pPr>
              <w:spacing w:after="0" w:line="250" w:lineRule="auto"/>
              <w:rPr>
                <w:rFonts w:hint="eastAsia"/>
              </w:rPr>
            </w:pPr>
            <w:r>
              <w:rPr>
                <w:b/>
                <w:color w:val="17324D"/>
                <w:sz w:val="16"/>
              </w:rPr>
              <w:t>Rule</w:t>
            </w:r>
          </w:p>
        </w:tc>
        <w:tc>
          <w:tcPr>
            <w:tcW w:w="7056" w:type="dxa"/>
            <w:tcMar>
              <w:top w:w="88" w:type="dxa"/>
              <w:left w:w="105" w:type="dxa"/>
              <w:bottom w:w="88" w:type="dxa"/>
              <w:right w:w="105" w:type="dxa"/>
            </w:tcMar>
            <w:vAlign w:val="center"/>
          </w:tcPr>
          <w:p w14:paraId="40F772E5" w14:textId="77777777" w:rsidR="00E579F2" w:rsidRDefault="00FC5553">
            <w:pPr>
              <w:spacing w:after="0" w:line="250" w:lineRule="auto"/>
              <w:rPr>
                <w:rFonts w:hint="eastAsia"/>
              </w:rPr>
            </w:pPr>
            <w:r>
              <w:rPr>
                <w:sz w:val="16"/>
              </w:rPr>
              <w:t>A declarative condition that determines whether an Operator or state transition is valid in context.</w:t>
            </w:r>
          </w:p>
        </w:tc>
      </w:tr>
      <w:tr w:rsidR="00E579F2" w14:paraId="543C4AE0" w14:textId="77777777">
        <w:trPr>
          <w:cantSplit/>
          <w:jc w:val="center"/>
        </w:trPr>
        <w:tc>
          <w:tcPr>
            <w:tcW w:w="2664" w:type="dxa"/>
            <w:tcMar>
              <w:top w:w="88" w:type="dxa"/>
              <w:left w:w="105" w:type="dxa"/>
              <w:bottom w:w="88" w:type="dxa"/>
              <w:right w:w="105" w:type="dxa"/>
            </w:tcMar>
            <w:vAlign w:val="center"/>
          </w:tcPr>
          <w:p w14:paraId="3D218D44" w14:textId="77777777" w:rsidR="00E579F2" w:rsidRDefault="00FC5553">
            <w:pPr>
              <w:spacing w:after="0" w:line="250" w:lineRule="auto"/>
              <w:rPr>
                <w:rFonts w:hint="eastAsia"/>
              </w:rPr>
            </w:pPr>
            <w:r>
              <w:rPr>
                <w:b/>
                <w:color w:val="17324D"/>
                <w:sz w:val="16"/>
              </w:rPr>
              <w:t>Ruleset</w:t>
            </w:r>
          </w:p>
        </w:tc>
        <w:tc>
          <w:tcPr>
            <w:tcW w:w="7056" w:type="dxa"/>
            <w:tcMar>
              <w:top w:w="88" w:type="dxa"/>
              <w:left w:w="105" w:type="dxa"/>
              <w:bottom w:w="88" w:type="dxa"/>
              <w:right w:w="105" w:type="dxa"/>
            </w:tcMar>
            <w:vAlign w:val="center"/>
          </w:tcPr>
          <w:p w14:paraId="4B353B99" w14:textId="77777777" w:rsidR="00E579F2" w:rsidRDefault="00FC5553">
            <w:pPr>
              <w:spacing w:after="0" w:line="250" w:lineRule="auto"/>
              <w:rPr>
                <w:rFonts w:hint="eastAsia"/>
              </w:rPr>
            </w:pPr>
            <w:r>
              <w:rPr>
                <w:sz w:val="16"/>
              </w:rPr>
              <w:t>A named collection or regime of Rules, such as professional, simulation, educational, or fantasy world rules.</w:t>
            </w:r>
          </w:p>
        </w:tc>
      </w:tr>
      <w:tr w:rsidR="00E579F2" w14:paraId="75443310" w14:textId="77777777">
        <w:trPr>
          <w:cantSplit/>
          <w:jc w:val="center"/>
        </w:trPr>
        <w:tc>
          <w:tcPr>
            <w:tcW w:w="2664" w:type="dxa"/>
            <w:tcMar>
              <w:top w:w="88" w:type="dxa"/>
              <w:left w:w="105" w:type="dxa"/>
              <w:bottom w:w="88" w:type="dxa"/>
              <w:right w:w="105" w:type="dxa"/>
            </w:tcMar>
            <w:vAlign w:val="center"/>
          </w:tcPr>
          <w:p w14:paraId="28115B9A" w14:textId="77777777" w:rsidR="00E579F2" w:rsidRDefault="00FC5553">
            <w:pPr>
              <w:spacing w:after="0" w:line="250" w:lineRule="auto"/>
              <w:rPr>
                <w:rFonts w:hint="eastAsia"/>
              </w:rPr>
            </w:pPr>
            <w:r>
              <w:rPr>
                <w:b/>
                <w:color w:val="17324D"/>
                <w:sz w:val="16"/>
              </w:rPr>
              <w:t>Self-Contained Bitstate Parameterization</w:t>
            </w:r>
          </w:p>
        </w:tc>
        <w:tc>
          <w:tcPr>
            <w:tcW w:w="7056" w:type="dxa"/>
            <w:tcMar>
              <w:top w:w="88" w:type="dxa"/>
              <w:left w:w="105" w:type="dxa"/>
              <w:bottom w:w="88" w:type="dxa"/>
              <w:right w:w="105" w:type="dxa"/>
            </w:tcMar>
            <w:vAlign w:val="center"/>
          </w:tcPr>
          <w:p w14:paraId="3CF3EFD2" w14:textId="77777777" w:rsidR="00E579F2" w:rsidRDefault="00FC5553">
            <w:pPr>
              <w:spacing w:after="0" w:line="250" w:lineRule="auto"/>
              <w:rPr>
                <w:rFonts w:hint="eastAsia"/>
              </w:rPr>
            </w:pPr>
            <w:r>
              <w:rPr>
                <w:sz w:val="16"/>
              </w:rPr>
              <w:t>The pattern in which a target SK carries the local parameters required to evaluate its own state-transition boundaries while source values may remain authoritative in external Kernels or objects.</w:t>
            </w:r>
          </w:p>
        </w:tc>
      </w:tr>
      <w:tr w:rsidR="00E579F2" w14:paraId="692902F5" w14:textId="77777777">
        <w:trPr>
          <w:cantSplit/>
          <w:jc w:val="center"/>
        </w:trPr>
        <w:tc>
          <w:tcPr>
            <w:tcW w:w="2664" w:type="dxa"/>
            <w:tcMar>
              <w:top w:w="88" w:type="dxa"/>
              <w:left w:w="105" w:type="dxa"/>
              <w:bottom w:w="88" w:type="dxa"/>
              <w:right w:w="105" w:type="dxa"/>
            </w:tcMar>
            <w:vAlign w:val="center"/>
          </w:tcPr>
          <w:p w14:paraId="5467DC9B" w14:textId="77777777" w:rsidR="00E579F2" w:rsidRDefault="00FC5553">
            <w:pPr>
              <w:spacing w:after="0" w:line="250" w:lineRule="auto"/>
              <w:rPr>
                <w:rFonts w:hint="eastAsia"/>
              </w:rPr>
            </w:pPr>
            <w:r>
              <w:rPr>
                <w:b/>
                <w:color w:val="17324D"/>
                <w:sz w:val="16"/>
              </w:rPr>
              <w:t>Semantic Address</w:t>
            </w:r>
          </w:p>
        </w:tc>
        <w:tc>
          <w:tcPr>
            <w:tcW w:w="7056" w:type="dxa"/>
            <w:tcMar>
              <w:top w:w="88" w:type="dxa"/>
              <w:left w:w="105" w:type="dxa"/>
              <w:bottom w:w="88" w:type="dxa"/>
              <w:right w:w="105" w:type="dxa"/>
            </w:tcMar>
            <w:vAlign w:val="center"/>
          </w:tcPr>
          <w:p w14:paraId="2F870073" w14:textId="77777777" w:rsidR="00E579F2" w:rsidRDefault="00FC5553">
            <w:pPr>
              <w:spacing w:after="0" w:line="250" w:lineRule="auto"/>
              <w:rPr>
                <w:rFonts w:hint="eastAsia"/>
              </w:rPr>
            </w:pPr>
            <w:r>
              <w:rPr>
                <w:sz w:val="16"/>
              </w:rPr>
              <w:t>Stable reference to a Kernel, version, and bit/group/range.</w:t>
            </w:r>
          </w:p>
        </w:tc>
      </w:tr>
      <w:tr w:rsidR="00E579F2" w14:paraId="00DE1534" w14:textId="77777777">
        <w:trPr>
          <w:cantSplit/>
          <w:jc w:val="center"/>
        </w:trPr>
        <w:tc>
          <w:tcPr>
            <w:tcW w:w="2664" w:type="dxa"/>
            <w:tcMar>
              <w:top w:w="88" w:type="dxa"/>
              <w:left w:w="105" w:type="dxa"/>
              <w:bottom w:w="88" w:type="dxa"/>
              <w:right w:w="105" w:type="dxa"/>
            </w:tcMar>
            <w:vAlign w:val="center"/>
          </w:tcPr>
          <w:p w14:paraId="65636045" w14:textId="77777777" w:rsidR="00E579F2" w:rsidRDefault="00FC5553">
            <w:pPr>
              <w:spacing w:after="0" w:line="250" w:lineRule="auto"/>
              <w:rPr>
                <w:rFonts w:hint="eastAsia"/>
              </w:rPr>
            </w:pPr>
            <w:r>
              <w:rPr>
                <w:b/>
                <w:color w:val="17324D"/>
                <w:sz w:val="16"/>
              </w:rPr>
              <w:t>Semantic Chaining</w:t>
            </w:r>
          </w:p>
        </w:tc>
        <w:tc>
          <w:tcPr>
            <w:tcW w:w="7056" w:type="dxa"/>
            <w:tcMar>
              <w:top w:w="88" w:type="dxa"/>
              <w:left w:w="105" w:type="dxa"/>
              <w:bottom w:w="88" w:type="dxa"/>
              <w:right w:w="105" w:type="dxa"/>
            </w:tcMar>
            <w:vAlign w:val="center"/>
          </w:tcPr>
          <w:p w14:paraId="30712D28" w14:textId="77777777" w:rsidR="00E579F2" w:rsidRDefault="00FC5553">
            <w:pPr>
              <w:spacing w:after="0" w:line="250" w:lineRule="auto"/>
              <w:rPr>
                <w:rFonts w:hint="eastAsia"/>
              </w:rPr>
            </w:pPr>
            <w:r>
              <w:rPr>
                <w:sz w:val="16"/>
              </w:rPr>
              <w:t>Propagation in which one Kernel's state or delta becomes a semantic input to another Kernel, potentially across objects and domains.</w:t>
            </w:r>
          </w:p>
        </w:tc>
      </w:tr>
      <w:tr w:rsidR="00E579F2" w14:paraId="3E4DA9AE" w14:textId="77777777">
        <w:trPr>
          <w:cantSplit/>
          <w:jc w:val="center"/>
        </w:trPr>
        <w:tc>
          <w:tcPr>
            <w:tcW w:w="2664" w:type="dxa"/>
            <w:tcMar>
              <w:top w:w="88" w:type="dxa"/>
              <w:left w:w="105" w:type="dxa"/>
              <w:bottom w:w="88" w:type="dxa"/>
              <w:right w:w="105" w:type="dxa"/>
            </w:tcMar>
            <w:vAlign w:val="center"/>
          </w:tcPr>
          <w:p w14:paraId="62E00BCF" w14:textId="77777777" w:rsidR="00E579F2" w:rsidRDefault="00FC5553">
            <w:pPr>
              <w:spacing w:after="0" w:line="250" w:lineRule="auto"/>
              <w:rPr>
                <w:rFonts w:hint="eastAsia"/>
              </w:rPr>
            </w:pPr>
            <w:r>
              <w:rPr>
                <w:b/>
                <w:color w:val="17324D"/>
                <w:sz w:val="16"/>
              </w:rPr>
              <w:t>Semantic Kernel (SK)</w:t>
            </w:r>
          </w:p>
        </w:tc>
        <w:tc>
          <w:tcPr>
            <w:tcW w:w="7056" w:type="dxa"/>
            <w:tcMar>
              <w:top w:w="88" w:type="dxa"/>
              <w:left w:w="105" w:type="dxa"/>
              <w:bottom w:w="88" w:type="dxa"/>
              <w:right w:w="105" w:type="dxa"/>
            </w:tcMar>
            <w:vAlign w:val="center"/>
          </w:tcPr>
          <w:p w14:paraId="4831EC93" w14:textId="77777777" w:rsidR="00E579F2" w:rsidRDefault="00FC5553">
            <w:pPr>
              <w:spacing w:after="0" w:line="250" w:lineRule="auto"/>
              <w:rPr>
                <w:rFonts w:hint="eastAsia"/>
              </w:rPr>
            </w:pPr>
            <w:r>
              <w:rPr>
                <w:sz w:val="16"/>
              </w:rPr>
              <w:t>A bounded, versioned, machine-operable semantic language that assigns explicit meaning to a fixed-width bit word or family of words.</w:t>
            </w:r>
          </w:p>
        </w:tc>
      </w:tr>
      <w:tr w:rsidR="00E579F2" w14:paraId="561FBF78" w14:textId="77777777">
        <w:trPr>
          <w:cantSplit/>
          <w:jc w:val="center"/>
        </w:trPr>
        <w:tc>
          <w:tcPr>
            <w:tcW w:w="2664" w:type="dxa"/>
            <w:tcMar>
              <w:top w:w="88" w:type="dxa"/>
              <w:left w:w="105" w:type="dxa"/>
              <w:bottom w:w="88" w:type="dxa"/>
              <w:right w:w="105" w:type="dxa"/>
            </w:tcMar>
            <w:vAlign w:val="center"/>
          </w:tcPr>
          <w:p w14:paraId="44734FBA" w14:textId="77777777" w:rsidR="00E579F2" w:rsidRDefault="00FC5553">
            <w:pPr>
              <w:spacing w:after="0" w:line="250" w:lineRule="auto"/>
              <w:rPr>
                <w:rFonts w:hint="eastAsia"/>
              </w:rPr>
            </w:pPr>
            <w:r>
              <w:rPr>
                <w:b/>
                <w:color w:val="17324D"/>
                <w:sz w:val="16"/>
              </w:rPr>
              <w:t>Semantic Plasticity</w:t>
            </w:r>
          </w:p>
        </w:tc>
        <w:tc>
          <w:tcPr>
            <w:tcW w:w="7056" w:type="dxa"/>
            <w:tcMar>
              <w:top w:w="88" w:type="dxa"/>
              <w:left w:w="105" w:type="dxa"/>
              <w:bottom w:w="88" w:type="dxa"/>
              <w:right w:w="105" w:type="dxa"/>
            </w:tcMar>
            <w:vAlign w:val="center"/>
          </w:tcPr>
          <w:p w14:paraId="16C67268" w14:textId="77777777" w:rsidR="00E579F2" w:rsidRDefault="00FC5553">
            <w:pPr>
              <w:spacing w:after="0" w:line="250" w:lineRule="auto"/>
              <w:rPr>
                <w:rFonts w:hint="eastAsia"/>
              </w:rPr>
            </w:pPr>
            <w:r>
              <w:rPr>
                <w:sz w:val="16"/>
              </w:rPr>
              <w:t>Ability to expand an object's formal semantic dimensionality by attaching additional independent Kernel languages.</w:t>
            </w:r>
          </w:p>
        </w:tc>
      </w:tr>
      <w:tr w:rsidR="00E579F2" w14:paraId="39D45CF1" w14:textId="77777777">
        <w:trPr>
          <w:cantSplit/>
          <w:jc w:val="center"/>
        </w:trPr>
        <w:tc>
          <w:tcPr>
            <w:tcW w:w="2664" w:type="dxa"/>
            <w:tcMar>
              <w:top w:w="88" w:type="dxa"/>
              <w:left w:w="105" w:type="dxa"/>
              <w:bottom w:w="88" w:type="dxa"/>
              <w:right w:w="105" w:type="dxa"/>
            </w:tcMar>
            <w:vAlign w:val="center"/>
          </w:tcPr>
          <w:p w14:paraId="1B014792" w14:textId="77777777" w:rsidR="00E579F2" w:rsidRDefault="00FC5553">
            <w:pPr>
              <w:spacing w:after="0" w:line="250" w:lineRule="auto"/>
              <w:rPr>
                <w:rFonts w:hint="eastAsia"/>
              </w:rPr>
            </w:pPr>
            <w:r>
              <w:rPr>
                <w:b/>
                <w:color w:val="17324D"/>
                <w:sz w:val="16"/>
              </w:rPr>
              <w:t>Source Kernel</w:t>
            </w:r>
          </w:p>
        </w:tc>
        <w:tc>
          <w:tcPr>
            <w:tcW w:w="7056" w:type="dxa"/>
            <w:tcMar>
              <w:top w:w="88" w:type="dxa"/>
              <w:left w:w="105" w:type="dxa"/>
              <w:bottom w:w="88" w:type="dxa"/>
              <w:right w:w="105" w:type="dxa"/>
            </w:tcMar>
            <w:vAlign w:val="center"/>
          </w:tcPr>
          <w:p w14:paraId="1B2371E0" w14:textId="77777777" w:rsidR="00E579F2" w:rsidRDefault="00FC5553">
            <w:pPr>
              <w:spacing w:after="0" w:line="250" w:lineRule="auto"/>
              <w:rPr>
                <w:rFonts w:hint="eastAsia"/>
              </w:rPr>
            </w:pPr>
            <w:r>
              <w:rPr>
                <w:sz w:val="16"/>
              </w:rPr>
              <w:t>The Kernel whose state supplies the input evaluated by a target Kernel's ModelKey parameters.</w:t>
            </w:r>
          </w:p>
        </w:tc>
      </w:tr>
      <w:tr w:rsidR="00E579F2" w14:paraId="6E1182DD" w14:textId="77777777">
        <w:trPr>
          <w:cantSplit/>
          <w:jc w:val="center"/>
        </w:trPr>
        <w:tc>
          <w:tcPr>
            <w:tcW w:w="2664" w:type="dxa"/>
            <w:tcMar>
              <w:top w:w="88" w:type="dxa"/>
              <w:left w:w="105" w:type="dxa"/>
              <w:bottom w:w="88" w:type="dxa"/>
              <w:right w:w="105" w:type="dxa"/>
            </w:tcMar>
            <w:vAlign w:val="center"/>
          </w:tcPr>
          <w:p w14:paraId="22FE56BB" w14:textId="77777777" w:rsidR="00E579F2" w:rsidRDefault="00FC5553">
            <w:pPr>
              <w:spacing w:after="0" w:line="250" w:lineRule="auto"/>
              <w:rPr>
                <w:rFonts w:hint="eastAsia"/>
              </w:rPr>
            </w:pPr>
            <w:r>
              <w:rPr>
                <w:b/>
                <w:color w:val="17324D"/>
                <w:sz w:val="16"/>
              </w:rPr>
              <w:t>State Type</w:t>
            </w:r>
          </w:p>
        </w:tc>
        <w:tc>
          <w:tcPr>
            <w:tcW w:w="7056" w:type="dxa"/>
            <w:tcMar>
              <w:top w:w="88" w:type="dxa"/>
              <w:left w:w="105" w:type="dxa"/>
              <w:bottom w:w="88" w:type="dxa"/>
              <w:right w:w="105" w:type="dxa"/>
            </w:tcMar>
            <w:vAlign w:val="center"/>
          </w:tcPr>
          <w:p w14:paraId="1251FADC" w14:textId="77777777" w:rsidR="00E579F2" w:rsidRDefault="00FC5553">
            <w:pPr>
              <w:spacing w:after="0" w:line="250" w:lineRule="auto"/>
              <w:rPr>
                <w:rFonts w:hint="eastAsia"/>
              </w:rPr>
            </w:pPr>
            <w:r>
              <w:rPr>
                <w:sz w:val="16"/>
              </w:rPr>
              <w:t>Epistemic status of a Kernel instance or transition, such as observed, simulated, predicted, or planned.</w:t>
            </w:r>
          </w:p>
        </w:tc>
      </w:tr>
      <w:tr w:rsidR="00E579F2" w14:paraId="3A541D44" w14:textId="77777777">
        <w:trPr>
          <w:cantSplit/>
          <w:jc w:val="center"/>
        </w:trPr>
        <w:tc>
          <w:tcPr>
            <w:tcW w:w="2664" w:type="dxa"/>
            <w:tcMar>
              <w:top w:w="88" w:type="dxa"/>
              <w:left w:w="105" w:type="dxa"/>
              <w:bottom w:w="88" w:type="dxa"/>
              <w:right w:w="105" w:type="dxa"/>
            </w:tcMar>
            <w:vAlign w:val="center"/>
          </w:tcPr>
          <w:p w14:paraId="30D65A49" w14:textId="77777777" w:rsidR="00E579F2" w:rsidRDefault="00FC5553">
            <w:pPr>
              <w:spacing w:after="0" w:line="250" w:lineRule="auto"/>
              <w:rPr>
                <w:rFonts w:hint="eastAsia"/>
              </w:rPr>
            </w:pPr>
            <w:r>
              <w:rPr>
                <w:b/>
                <w:color w:val="17324D"/>
                <w:sz w:val="16"/>
              </w:rPr>
              <w:t>Threshold Crossing</w:t>
            </w:r>
          </w:p>
        </w:tc>
        <w:tc>
          <w:tcPr>
            <w:tcW w:w="7056" w:type="dxa"/>
            <w:tcMar>
              <w:top w:w="88" w:type="dxa"/>
              <w:left w:w="105" w:type="dxa"/>
              <w:bottom w:w="88" w:type="dxa"/>
              <w:right w:w="105" w:type="dxa"/>
            </w:tcMar>
            <w:vAlign w:val="center"/>
          </w:tcPr>
          <w:p w14:paraId="2A52820E" w14:textId="77777777" w:rsidR="00E579F2" w:rsidRDefault="00FC5553">
            <w:pPr>
              <w:spacing w:after="0" w:line="250" w:lineRule="auto"/>
              <w:rPr>
                <w:rFonts w:hint="eastAsia"/>
              </w:rPr>
            </w:pPr>
            <w:r>
              <w:rPr>
                <w:sz w:val="16"/>
              </w:rPr>
              <w:t>A change in a source value that moves across a declared parameter boundary in a defined direction.</w:t>
            </w:r>
          </w:p>
        </w:tc>
      </w:tr>
      <w:tr w:rsidR="00E579F2" w14:paraId="2EF4C9DA" w14:textId="77777777">
        <w:trPr>
          <w:cantSplit/>
          <w:jc w:val="center"/>
        </w:trPr>
        <w:tc>
          <w:tcPr>
            <w:tcW w:w="2664" w:type="dxa"/>
            <w:tcMar>
              <w:top w:w="88" w:type="dxa"/>
              <w:left w:w="105" w:type="dxa"/>
              <w:bottom w:w="88" w:type="dxa"/>
              <w:right w:w="105" w:type="dxa"/>
            </w:tcMar>
            <w:vAlign w:val="center"/>
          </w:tcPr>
          <w:p w14:paraId="47F38CCC" w14:textId="77777777" w:rsidR="00E579F2" w:rsidRDefault="00FC5553">
            <w:pPr>
              <w:spacing w:after="0" w:line="250" w:lineRule="auto"/>
              <w:rPr>
                <w:rFonts w:hint="eastAsia"/>
              </w:rPr>
            </w:pPr>
            <w:r>
              <w:rPr>
                <w:b/>
                <w:color w:val="17324D"/>
                <w:sz w:val="16"/>
              </w:rPr>
              <w:t>Transition Event</w:t>
            </w:r>
          </w:p>
        </w:tc>
        <w:tc>
          <w:tcPr>
            <w:tcW w:w="7056" w:type="dxa"/>
            <w:tcMar>
              <w:top w:w="88" w:type="dxa"/>
              <w:left w:w="105" w:type="dxa"/>
              <w:bottom w:w="88" w:type="dxa"/>
              <w:right w:w="105" w:type="dxa"/>
            </w:tcMar>
            <w:vAlign w:val="center"/>
          </w:tcPr>
          <w:p w14:paraId="656D58CE" w14:textId="77777777" w:rsidR="00E579F2" w:rsidRDefault="00FC5553">
            <w:pPr>
              <w:spacing w:after="0" w:line="250" w:lineRule="auto"/>
              <w:rPr>
                <w:rFonts w:hint="eastAsia"/>
              </w:rPr>
            </w:pPr>
            <w:r>
              <w:rPr>
                <w:sz w:val="16"/>
              </w:rPr>
              <w:t>Provenance record for a committed state change, including before/after state, source cause, Operator, Rule, ModelKey, and time.</w:t>
            </w:r>
          </w:p>
        </w:tc>
      </w:tr>
      <w:tr w:rsidR="00E579F2" w14:paraId="79BC1B2E" w14:textId="77777777">
        <w:trPr>
          <w:cantSplit/>
          <w:jc w:val="center"/>
        </w:trPr>
        <w:tc>
          <w:tcPr>
            <w:tcW w:w="2664" w:type="dxa"/>
            <w:tcMar>
              <w:top w:w="88" w:type="dxa"/>
              <w:left w:w="105" w:type="dxa"/>
              <w:bottom w:w="88" w:type="dxa"/>
              <w:right w:w="105" w:type="dxa"/>
            </w:tcMar>
            <w:vAlign w:val="center"/>
          </w:tcPr>
          <w:p w14:paraId="7FF08310" w14:textId="77777777" w:rsidR="00E579F2" w:rsidRDefault="00FC5553">
            <w:pPr>
              <w:spacing w:after="0" w:line="250" w:lineRule="auto"/>
              <w:rPr>
                <w:rFonts w:hint="eastAsia"/>
              </w:rPr>
            </w:pPr>
            <w:r>
              <w:rPr>
                <w:b/>
                <w:color w:val="17324D"/>
                <w:sz w:val="16"/>
              </w:rPr>
              <w:t>Translation</w:t>
            </w:r>
          </w:p>
        </w:tc>
        <w:tc>
          <w:tcPr>
            <w:tcW w:w="7056" w:type="dxa"/>
            <w:tcMar>
              <w:top w:w="88" w:type="dxa"/>
              <w:left w:w="105" w:type="dxa"/>
              <w:bottom w:w="88" w:type="dxa"/>
              <w:right w:w="105" w:type="dxa"/>
            </w:tcMar>
            <w:vAlign w:val="center"/>
          </w:tcPr>
          <w:p w14:paraId="48E0F8F8" w14:textId="77777777" w:rsidR="00E579F2" w:rsidRDefault="00FC5553">
            <w:pPr>
              <w:spacing w:after="0" w:line="250" w:lineRule="auto"/>
              <w:rPr>
                <w:rFonts w:hint="eastAsia"/>
              </w:rPr>
            </w:pPr>
            <w:r>
              <w:rPr>
                <w:sz w:val="16"/>
              </w:rPr>
              <w:t>Explicit mapping between different Kernel languages or versions, with declared loss and validity semantics.</w:t>
            </w:r>
          </w:p>
        </w:tc>
      </w:tr>
      <w:tr w:rsidR="00E579F2" w14:paraId="45AE5D3E" w14:textId="77777777">
        <w:trPr>
          <w:cantSplit/>
          <w:jc w:val="center"/>
        </w:trPr>
        <w:tc>
          <w:tcPr>
            <w:tcW w:w="2664" w:type="dxa"/>
            <w:tcMar>
              <w:top w:w="88" w:type="dxa"/>
              <w:left w:w="105" w:type="dxa"/>
              <w:bottom w:w="88" w:type="dxa"/>
              <w:right w:w="105" w:type="dxa"/>
            </w:tcMar>
            <w:vAlign w:val="center"/>
          </w:tcPr>
          <w:p w14:paraId="406BB2CA" w14:textId="77777777" w:rsidR="00E579F2" w:rsidRDefault="00FC5553">
            <w:pPr>
              <w:spacing w:after="0" w:line="250" w:lineRule="auto"/>
              <w:rPr>
                <w:rFonts w:hint="eastAsia"/>
              </w:rPr>
            </w:pPr>
            <w:r>
              <w:rPr>
                <w:b/>
                <w:color w:val="17324D"/>
                <w:sz w:val="16"/>
              </w:rPr>
              <w:t>Typed Delta</w:t>
            </w:r>
          </w:p>
        </w:tc>
        <w:tc>
          <w:tcPr>
            <w:tcW w:w="7056" w:type="dxa"/>
            <w:tcMar>
              <w:top w:w="88" w:type="dxa"/>
              <w:left w:w="105" w:type="dxa"/>
              <w:bottom w:w="88" w:type="dxa"/>
              <w:right w:w="105" w:type="dxa"/>
            </w:tcMar>
            <w:vAlign w:val="center"/>
          </w:tcPr>
          <w:p w14:paraId="7EB6CB9E" w14:textId="77777777" w:rsidR="00E579F2" w:rsidRDefault="00FC5553">
            <w:pPr>
              <w:spacing w:after="0" w:line="250" w:lineRule="auto"/>
              <w:rPr>
                <w:rFonts w:hint="eastAsia"/>
              </w:rPr>
            </w:pPr>
            <w:r>
              <w:rPr>
                <w:sz w:val="16"/>
              </w:rPr>
              <w:t>A semantic difference decoded according to the Kernel field type rather than treated only as raw changed bits.</w:t>
            </w:r>
          </w:p>
        </w:tc>
      </w:tr>
      <w:tr w:rsidR="00E579F2" w14:paraId="0E3F710B" w14:textId="77777777">
        <w:trPr>
          <w:cantSplit/>
          <w:jc w:val="center"/>
        </w:trPr>
        <w:tc>
          <w:tcPr>
            <w:tcW w:w="2664" w:type="dxa"/>
            <w:tcMar>
              <w:top w:w="88" w:type="dxa"/>
              <w:left w:w="105" w:type="dxa"/>
              <w:bottom w:w="88" w:type="dxa"/>
              <w:right w:w="105" w:type="dxa"/>
            </w:tcMar>
            <w:vAlign w:val="center"/>
          </w:tcPr>
          <w:p w14:paraId="4D3BDC21" w14:textId="77777777" w:rsidR="00E579F2" w:rsidRDefault="00FC5553">
            <w:pPr>
              <w:spacing w:after="0" w:line="250" w:lineRule="auto"/>
              <w:rPr>
                <w:rFonts w:hint="eastAsia"/>
              </w:rPr>
            </w:pPr>
            <w:r>
              <w:rPr>
                <w:b/>
                <w:color w:val="17324D"/>
                <w:sz w:val="16"/>
              </w:rPr>
              <w:t>Word Family</w:t>
            </w:r>
          </w:p>
        </w:tc>
        <w:tc>
          <w:tcPr>
            <w:tcW w:w="7056" w:type="dxa"/>
            <w:tcMar>
              <w:top w:w="88" w:type="dxa"/>
              <w:left w:w="105" w:type="dxa"/>
              <w:bottom w:w="88" w:type="dxa"/>
              <w:right w:w="105" w:type="dxa"/>
            </w:tcMar>
            <w:vAlign w:val="center"/>
          </w:tcPr>
          <w:p w14:paraId="0C78B835" w14:textId="77777777" w:rsidR="00E579F2" w:rsidRDefault="00FC5553">
            <w:pPr>
              <w:spacing w:after="0" w:line="250" w:lineRule="auto"/>
              <w:rPr>
                <w:rFonts w:hint="eastAsia"/>
              </w:rPr>
            </w:pPr>
            <w:r>
              <w:rPr>
                <w:sz w:val="16"/>
              </w:rPr>
              <w:t>Related Kernel specifications linked by prefix preservation, translation, or declared lineage.</w:t>
            </w:r>
          </w:p>
        </w:tc>
      </w:tr>
    </w:tbl>
    <w:p w14:paraId="32E077C8" w14:textId="77777777" w:rsidR="00E579F2" w:rsidRDefault="00FC5553">
      <w:pPr>
        <w:rPr>
          <w:rFonts w:hint="eastAsia"/>
        </w:rPr>
      </w:pPr>
      <w:r>
        <w:br w:type="page"/>
      </w:r>
    </w:p>
    <w:p w14:paraId="686003C1" w14:textId="77777777" w:rsidR="00E579F2" w:rsidRDefault="00FC5553">
      <w:pPr>
        <w:pStyle w:val="Heading1"/>
      </w:pPr>
      <w:bookmarkStart w:id="29" w:name="subject_index"/>
      <w:r>
        <w:t>Subject Index</w:t>
      </w:r>
      <w:bookmarkEnd w:id="29"/>
    </w:p>
    <w:p w14:paraId="467CE39F" w14:textId="77777777" w:rsidR="00E579F2" w:rsidRDefault="00FC5553">
      <w:pPr>
        <w:spacing w:after="160" w:line="274" w:lineRule="auto"/>
        <w:rPr>
          <w:rFonts w:hint="eastAsia"/>
        </w:rPr>
      </w:pPr>
      <w:r>
        <w:rPr>
          <w:color w:val="5D6B78"/>
          <w:sz w:val="17"/>
        </w:rPr>
        <w:t>Page references identify substantive treatment in this v1.0 specification. Glossary pages are not repeated as index references.</w:t>
      </w:r>
    </w:p>
    <w:tbl>
      <w:tblPr>
        <w:tblW w:w="0" w:type="auto"/>
        <w:jc w:val="center"/>
        <w:tblLayout w:type="fixed"/>
        <w:tblLook w:val="04A0" w:firstRow="1" w:lastRow="0" w:firstColumn="1" w:lastColumn="0" w:noHBand="0" w:noVBand="1"/>
      </w:tblPr>
      <w:tblGrid>
        <w:gridCol w:w="4723"/>
        <w:gridCol w:w="4723"/>
      </w:tblGrid>
      <w:tr w:rsidR="00E579F2" w14:paraId="75E00E69" w14:textId="77777777">
        <w:trPr>
          <w:jc w:val="center"/>
        </w:trPr>
        <w:tc>
          <w:tcPr>
            <w:tcW w:w="4723" w:type="dxa"/>
            <w:tcBorders>
              <w:top w:val="nil"/>
              <w:left w:val="nil"/>
              <w:bottom w:val="nil"/>
              <w:right w:val="nil"/>
            </w:tcBorders>
            <w:shd w:val="clear" w:color="auto" w:fill="17324D"/>
            <w:tcMar>
              <w:top w:w="80" w:type="dxa"/>
              <w:left w:w="90" w:type="dxa"/>
              <w:bottom w:w="80" w:type="dxa"/>
              <w:right w:w="90" w:type="dxa"/>
            </w:tcMar>
          </w:tcPr>
          <w:p w14:paraId="403522CE" w14:textId="77777777" w:rsidR="00E579F2" w:rsidRDefault="00FC5553">
            <w:pPr>
              <w:spacing w:after="0"/>
              <w:rPr>
                <w:rFonts w:hint="eastAsia"/>
              </w:rPr>
            </w:pPr>
            <w:r>
              <w:rPr>
                <w:b/>
                <w:color w:val="FFFFFF"/>
                <w:sz w:val="17"/>
              </w:rPr>
              <w:t>A-M</w:t>
            </w:r>
          </w:p>
        </w:tc>
        <w:tc>
          <w:tcPr>
            <w:tcW w:w="4723" w:type="dxa"/>
            <w:tcBorders>
              <w:top w:val="nil"/>
              <w:left w:val="nil"/>
              <w:bottom w:val="nil"/>
              <w:right w:val="nil"/>
            </w:tcBorders>
            <w:shd w:val="clear" w:color="auto" w:fill="17324D"/>
            <w:tcMar>
              <w:top w:w="80" w:type="dxa"/>
              <w:left w:w="90" w:type="dxa"/>
              <w:bottom w:w="80" w:type="dxa"/>
              <w:right w:w="90" w:type="dxa"/>
            </w:tcMar>
          </w:tcPr>
          <w:p w14:paraId="5184FCB8" w14:textId="77777777" w:rsidR="00E579F2" w:rsidRDefault="00FC5553">
            <w:pPr>
              <w:spacing w:after="0"/>
              <w:rPr>
                <w:rFonts w:hint="eastAsia"/>
              </w:rPr>
            </w:pPr>
            <w:r>
              <w:rPr>
                <w:b/>
                <w:color w:val="FFFFFF"/>
                <w:sz w:val="17"/>
              </w:rPr>
              <w:t>N-Z</w:t>
            </w:r>
          </w:p>
        </w:tc>
      </w:tr>
      <w:tr w:rsidR="00E579F2" w14:paraId="0685A9D3" w14:textId="77777777">
        <w:trPr>
          <w:jc w:val="center"/>
        </w:trPr>
        <w:tc>
          <w:tcPr>
            <w:tcW w:w="4723" w:type="dxa"/>
            <w:tcBorders>
              <w:top w:val="nil"/>
              <w:left w:val="nil"/>
              <w:bottom w:val="nil"/>
              <w:right w:val="nil"/>
            </w:tcBorders>
            <w:tcMar>
              <w:top w:w="38" w:type="dxa"/>
              <w:left w:w="60" w:type="dxa"/>
              <w:bottom w:w="38" w:type="dxa"/>
              <w:right w:w="60" w:type="dxa"/>
            </w:tcMar>
            <w:vAlign w:val="center"/>
          </w:tcPr>
          <w:p w14:paraId="2F95BDBE" w14:textId="77777777" w:rsidR="00E579F2" w:rsidRDefault="00FC5553">
            <w:pPr>
              <w:tabs>
                <w:tab w:val="right" w:leader="dot" w:pos="4320"/>
                <w:tab w:val="right" w:leader="dot" w:pos="4320"/>
              </w:tabs>
              <w:spacing w:after="0" w:line="240" w:lineRule="auto"/>
              <w:rPr>
                <w:rFonts w:hint="eastAsia"/>
              </w:rPr>
            </w:pPr>
            <w:r>
              <w:rPr>
                <w:sz w:val="16"/>
              </w:rPr>
              <w:t>Airtable prototype</w:t>
            </w:r>
            <w:r>
              <w:tab/>
            </w:r>
            <w:r>
              <w:rPr>
                <w:color w:val="2A7F8E"/>
                <w:sz w:val="16"/>
              </w:rPr>
              <w:t>21-22</w:t>
            </w:r>
          </w:p>
        </w:tc>
        <w:tc>
          <w:tcPr>
            <w:tcW w:w="4723" w:type="dxa"/>
            <w:tcBorders>
              <w:top w:val="nil"/>
              <w:left w:val="nil"/>
              <w:bottom w:val="nil"/>
              <w:right w:val="nil"/>
            </w:tcBorders>
            <w:tcMar>
              <w:top w:w="38" w:type="dxa"/>
              <w:left w:w="60" w:type="dxa"/>
              <w:bottom w:w="38" w:type="dxa"/>
              <w:right w:w="60" w:type="dxa"/>
            </w:tcMar>
            <w:vAlign w:val="center"/>
          </w:tcPr>
          <w:p w14:paraId="1E9CF592" w14:textId="77777777" w:rsidR="00E579F2" w:rsidRDefault="00FC5553">
            <w:pPr>
              <w:tabs>
                <w:tab w:val="right" w:leader="dot" w:pos="4320"/>
                <w:tab w:val="right" w:leader="dot" w:pos="4320"/>
              </w:tabs>
              <w:spacing w:after="0" w:line="240" w:lineRule="auto"/>
              <w:rPr>
                <w:rFonts w:hint="eastAsia"/>
              </w:rPr>
            </w:pPr>
            <w:r>
              <w:rPr>
                <w:sz w:val="16"/>
              </w:rPr>
              <w:t>Model</w:t>
            </w:r>
            <w:r>
              <w:tab/>
            </w:r>
            <w:r>
              <w:rPr>
                <w:color w:val="2A7F8E"/>
                <w:sz w:val="16"/>
              </w:rPr>
              <w:t>6, 8-10, 12, 15-20, 25-26</w:t>
            </w:r>
          </w:p>
        </w:tc>
      </w:tr>
      <w:tr w:rsidR="00E579F2" w14:paraId="3D2D2E21" w14:textId="77777777">
        <w:trPr>
          <w:jc w:val="center"/>
        </w:trPr>
        <w:tc>
          <w:tcPr>
            <w:tcW w:w="4723" w:type="dxa"/>
            <w:tcBorders>
              <w:top w:val="nil"/>
              <w:left w:val="nil"/>
              <w:bottom w:val="nil"/>
              <w:right w:val="nil"/>
            </w:tcBorders>
            <w:tcMar>
              <w:top w:w="38" w:type="dxa"/>
              <w:left w:w="60" w:type="dxa"/>
              <w:bottom w:w="38" w:type="dxa"/>
              <w:right w:w="60" w:type="dxa"/>
            </w:tcMar>
            <w:vAlign w:val="center"/>
          </w:tcPr>
          <w:p w14:paraId="50D0B794" w14:textId="77777777" w:rsidR="00E579F2" w:rsidRDefault="00FC5553">
            <w:pPr>
              <w:tabs>
                <w:tab w:val="right" w:leader="dot" w:pos="4320"/>
                <w:tab w:val="right" w:leader="dot" w:pos="4320"/>
              </w:tabs>
              <w:spacing w:after="0" w:line="240" w:lineRule="auto"/>
              <w:rPr>
                <w:rFonts w:hint="eastAsia"/>
              </w:rPr>
            </w:pPr>
            <w:r>
              <w:rPr>
                <w:sz w:val="16"/>
              </w:rPr>
              <w:t>Atomic multi-bit transitions</w:t>
            </w:r>
            <w:r>
              <w:tab/>
            </w:r>
            <w:r>
              <w:rPr>
                <w:color w:val="2A7F8E"/>
                <w:sz w:val="16"/>
              </w:rPr>
              <w:t>11, 21-22</w:t>
            </w:r>
          </w:p>
        </w:tc>
        <w:tc>
          <w:tcPr>
            <w:tcW w:w="4723" w:type="dxa"/>
            <w:tcBorders>
              <w:top w:val="nil"/>
              <w:left w:val="nil"/>
              <w:bottom w:val="nil"/>
              <w:right w:val="nil"/>
            </w:tcBorders>
            <w:tcMar>
              <w:top w:w="38" w:type="dxa"/>
              <w:left w:w="60" w:type="dxa"/>
              <w:bottom w:w="38" w:type="dxa"/>
              <w:right w:w="60" w:type="dxa"/>
            </w:tcMar>
            <w:vAlign w:val="center"/>
          </w:tcPr>
          <w:p w14:paraId="721F7DE2" w14:textId="77777777" w:rsidR="00E579F2" w:rsidRDefault="00FC5553">
            <w:pPr>
              <w:tabs>
                <w:tab w:val="right" w:leader="dot" w:pos="4320"/>
                <w:tab w:val="right" w:leader="dot" w:pos="4320"/>
              </w:tabs>
              <w:spacing w:after="0" w:line="240" w:lineRule="auto"/>
              <w:rPr>
                <w:rFonts w:hint="eastAsia"/>
              </w:rPr>
            </w:pPr>
            <w:r>
              <w:rPr>
                <w:sz w:val="16"/>
              </w:rPr>
              <w:t>Model</w:t>
            </w:r>
            <w:r>
              <w:tab/>
            </w:r>
            <w:r>
              <w:rPr>
                <w:color w:val="2A7F8E"/>
                <w:sz w:val="16"/>
              </w:rPr>
              <w:t>6, 8-10, 12, 15-20, 25-26</w:t>
            </w:r>
          </w:p>
        </w:tc>
      </w:tr>
      <w:tr w:rsidR="00E579F2" w14:paraId="6F2BB5E2" w14:textId="77777777">
        <w:trPr>
          <w:jc w:val="center"/>
        </w:trPr>
        <w:tc>
          <w:tcPr>
            <w:tcW w:w="4723" w:type="dxa"/>
            <w:tcBorders>
              <w:top w:val="nil"/>
              <w:left w:val="nil"/>
              <w:bottom w:val="nil"/>
              <w:right w:val="nil"/>
            </w:tcBorders>
            <w:tcMar>
              <w:top w:w="38" w:type="dxa"/>
              <w:left w:w="60" w:type="dxa"/>
              <w:bottom w:w="38" w:type="dxa"/>
              <w:right w:w="60" w:type="dxa"/>
            </w:tcMar>
            <w:vAlign w:val="center"/>
          </w:tcPr>
          <w:p w14:paraId="094F788A" w14:textId="77777777" w:rsidR="00E579F2" w:rsidRDefault="00FC5553">
            <w:pPr>
              <w:tabs>
                <w:tab w:val="right" w:leader="dot" w:pos="4320"/>
                <w:tab w:val="right" w:leader="dot" w:pos="4320"/>
              </w:tabs>
              <w:spacing w:after="0" w:line="240" w:lineRule="auto"/>
              <w:rPr>
                <w:rFonts w:hint="eastAsia"/>
              </w:rPr>
            </w:pPr>
            <w:r>
              <w:rPr>
                <w:sz w:val="16"/>
              </w:rPr>
              <w:t>Base Word</w:t>
            </w:r>
            <w:r>
              <w:tab/>
            </w:r>
            <w:r>
              <w:rPr>
                <w:color w:val="2A7F8E"/>
                <w:sz w:val="16"/>
              </w:rPr>
              <w:t>6-8, 24</w:t>
            </w:r>
          </w:p>
        </w:tc>
        <w:tc>
          <w:tcPr>
            <w:tcW w:w="4723" w:type="dxa"/>
            <w:tcBorders>
              <w:top w:val="nil"/>
              <w:left w:val="nil"/>
              <w:bottom w:val="nil"/>
              <w:right w:val="nil"/>
            </w:tcBorders>
            <w:tcMar>
              <w:top w:w="38" w:type="dxa"/>
              <w:left w:w="60" w:type="dxa"/>
              <w:bottom w:w="38" w:type="dxa"/>
              <w:right w:w="60" w:type="dxa"/>
            </w:tcMar>
            <w:vAlign w:val="center"/>
          </w:tcPr>
          <w:p w14:paraId="48D003B9" w14:textId="77777777" w:rsidR="00E579F2" w:rsidRDefault="00FC5553">
            <w:pPr>
              <w:tabs>
                <w:tab w:val="right" w:leader="dot" w:pos="4320"/>
                <w:tab w:val="right" w:leader="dot" w:pos="4320"/>
              </w:tabs>
              <w:spacing w:after="0" w:line="240" w:lineRule="auto"/>
              <w:rPr>
                <w:rFonts w:hint="eastAsia"/>
              </w:rPr>
            </w:pPr>
            <w:r>
              <w:rPr>
                <w:sz w:val="16"/>
              </w:rPr>
              <w:t>Multi-Kernel object</w:t>
            </w:r>
            <w:r>
              <w:tab/>
            </w:r>
            <w:r>
              <w:rPr>
                <w:color w:val="2A7F8E"/>
                <w:sz w:val="16"/>
              </w:rPr>
              <w:t>13-14</w:t>
            </w:r>
          </w:p>
        </w:tc>
      </w:tr>
      <w:tr w:rsidR="00E579F2" w14:paraId="5FDE6DF2" w14:textId="77777777">
        <w:trPr>
          <w:jc w:val="center"/>
        </w:trPr>
        <w:tc>
          <w:tcPr>
            <w:tcW w:w="4723" w:type="dxa"/>
            <w:tcBorders>
              <w:top w:val="nil"/>
              <w:left w:val="nil"/>
              <w:bottom w:val="nil"/>
              <w:right w:val="nil"/>
            </w:tcBorders>
            <w:tcMar>
              <w:top w:w="38" w:type="dxa"/>
              <w:left w:w="60" w:type="dxa"/>
              <w:bottom w:w="38" w:type="dxa"/>
              <w:right w:w="60" w:type="dxa"/>
            </w:tcMar>
            <w:vAlign w:val="center"/>
          </w:tcPr>
          <w:p w14:paraId="7AED8B98" w14:textId="77777777" w:rsidR="00E579F2" w:rsidRDefault="00FC5553">
            <w:pPr>
              <w:tabs>
                <w:tab w:val="right" w:leader="dot" w:pos="4320"/>
                <w:tab w:val="right" w:leader="dot" w:pos="4320"/>
              </w:tabs>
              <w:spacing w:after="0" w:line="240" w:lineRule="auto"/>
              <w:rPr>
                <w:rFonts w:hint="eastAsia"/>
              </w:rPr>
            </w:pPr>
            <w:r>
              <w:rPr>
                <w:sz w:val="16"/>
              </w:rPr>
              <w:t>Bit Group</w:t>
            </w:r>
            <w:r>
              <w:tab/>
            </w:r>
            <w:r>
              <w:rPr>
                <w:color w:val="2A7F8E"/>
                <w:sz w:val="16"/>
              </w:rPr>
              <w:t>6, 9, 11</w:t>
            </w:r>
          </w:p>
        </w:tc>
        <w:tc>
          <w:tcPr>
            <w:tcW w:w="4723" w:type="dxa"/>
            <w:tcBorders>
              <w:top w:val="nil"/>
              <w:left w:val="nil"/>
              <w:bottom w:val="nil"/>
              <w:right w:val="nil"/>
            </w:tcBorders>
            <w:tcMar>
              <w:top w:w="38" w:type="dxa"/>
              <w:left w:w="60" w:type="dxa"/>
              <w:bottom w:w="38" w:type="dxa"/>
              <w:right w:w="60" w:type="dxa"/>
            </w:tcMar>
            <w:vAlign w:val="center"/>
          </w:tcPr>
          <w:p w14:paraId="06114706" w14:textId="77777777" w:rsidR="00E579F2" w:rsidRDefault="00FC5553">
            <w:pPr>
              <w:tabs>
                <w:tab w:val="right" w:leader="dot" w:pos="4320"/>
                <w:tab w:val="right" w:leader="dot" w:pos="4320"/>
              </w:tabs>
              <w:spacing w:after="0" w:line="240" w:lineRule="auto"/>
              <w:rPr>
                <w:rFonts w:hint="eastAsia"/>
              </w:rPr>
            </w:pPr>
            <w:r>
              <w:rPr>
                <w:sz w:val="16"/>
              </w:rPr>
              <w:t>NodeKey</w:t>
            </w:r>
            <w:r>
              <w:tab/>
            </w:r>
            <w:r>
              <w:rPr>
                <w:color w:val="2A7F8E"/>
                <w:sz w:val="16"/>
              </w:rPr>
              <w:t>5-6, 8, 13-14, 23</w:t>
            </w:r>
          </w:p>
        </w:tc>
      </w:tr>
      <w:tr w:rsidR="00E579F2" w14:paraId="63974C19" w14:textId="77777777">
        <w:trPr>
          <w:jc w:val="center"/>
        </w:trPr>
        <w:tc>
          <w:tcPr>
            <w:tcW w:w="4723" w:type="dxa"/>
            <w:tcBorders>
              <w:top w:val="nil"/>
              <w:left w:val="nil"/>
              <w:bottom w:val="nil"/>
              <w:right w:val="nil"/>
            </w:tcBorders>
            <w:tcMar>
              <w:top w:w="38" w:type="dxa"/>
              <w:left w:w="60" w:type="dxa"/>
              <w:bottom w:w="38" w:type="dxa"/>
              <w:right w:w="60" w:type="dxa"/>
            </w:tcMar>
            <w:vAlign w:val="center"/>
          </w:tcPr>
          <w:p w14:paraId="732CC2AA" w14:textId="77777777" w:rsidR="00E579F2" w:rsidRDefault="00FC5553">
            <w:pPr>
              <w:tabs>
                <w:tab w:val="right" w:leader="dot" w:pos="4320"/>
                <w:tab w:val="right" w:leader="dot" w:pos="4320"/>
              </w:tabs>
              <w:spacing w:after="0" w:line="240" w:lineRule="auto"/>
              <w:rPr>
                <w:rFonts w:hint="eastAsia"/>
              </w:rPr>
            </w:pPr>
            <w:r>
              <w:rPr>
                <w:sz w:val="16"/>
              </w:rPr>
              <w:t>Bitlink</w:t>
            </w:r>
            <w:r>
              <w:tab/>
            </w:r>
            <w:r>
              <w:rPr>
                <w:color w:val="2A7F8E"/>
                <w:sz w:val="16"/>
              </w:rPr>
              <w:t>11, 13-14, 18-19, 21, 26</w:t>
            </w:r>
          </w:p>
        </w:tc>
        <w:tc>
          <w:tcPr>
            <w:tcW w:w="4723" w:type="dxa"/>
            <w:tcBorders>
              <w:top w:val="nil"/>
              <w:left w:val="nil"/>
              <w:bottom w:val="nil"/>
              <w:right w:val="nil"/>
            </w:tcBorders>
            <w:tcMar>
              <w:top w:w="38" w:type="dxa"/>
              <w:left w:w="60" w:type="dxa"/>
              <w:bottom w:w="38" w:type="dxa"/>
              <w:right w:w="60" w:type="dxa"/>
            </w:tcMar>
            <w:vAlign w:val="center"/>
          </w:tcPr>
          <w:p w14:paraId="1734E73A" w14:textId="77777777" w:rsidR="00E579F2" w:rsidRDefault="00FC5553">
            <w:pPr>
              <w:tabs>
                <w:tab w:val="right" w:leader="dot" w:pos="4320"/>
                <w:tab w:val="right" w:leader="dot" w:pos="4320"/>
              </w:tabs>
              <w:spacing w:after="0" w:line="240" w:lineRule="auto"/>
              <w:rPr>
                <w:rFonts w:hint="eastAsia"/>
              </w:rPr>
            </w:pPr>
            <w:r>
              <w:rPr>
                <w:sz w:val="16"/>
              </w:rPr>
              <w:t>Operator</w:t>
            </w:r>
            <w:r>
              <w:tab/>
            </w:r>
            <w:r>
              <w:rPr>
                <w:color w:val="2A7F8E"/>
                <w:sz w:val="16"/>
              </w:rPr>
              <w:t>6, 10-14, 16-26</w:t>
            </w:r>
          </w:p>
        </w:tc>
      </w:tr>
      <w:tr w:rsidR="00E579F2" w14:paraId="06F4C003" w14:textId="77777777">
        <w:trPr>
          <w:jc w:val="center"/>
        </w:trPr>
        <w:tc>
          <w:tcPr>
            <w:tcW w:w="4723" w:type="dxa"/>
            <w:tcBorders>
              <w:top w:val="nil"/>
              <w:left w:val="nil"/>
              <w:bottom w:val="nil"/>
              <w:right w:val="nil"/>
            </w:tcBorders>
            <w:tcMar>
              <w:top w:w="38" w:type="dxa"/>
              <w:left w:w="60" w:type="dxa"/>
              <w:bottom w:w="38" w:type="dxa"/>
              <w:right w:w="60" w:type="dxa"/>
            </w:tcMar>
            <w:vAlign w:val="center"/>
          </w:tcPr>
          <w:p w14:paraId="3E4F457B" w14:textId="77777777" w:rsidR="00E579F2" w:rsidRDefault="00FC5553">
            <w:pPr>
              <w:tabs>
                <w:tab w:val="right" w:leader="dot" w:pos="4320"/>
                <w:tab w:val="right" w:leader="dot" w:pos="4320"/>
              </w:tabs>
              <w:spacing w:after="0" w:line="240" w:lineRule="auto"/>
              <w:rPr>
                <w:rFonts w:hint="eastAsia"/>
              </w:rPr>
            </w:pPr>
            <w:r>
              <w:rPr>
                <w:sz w:val="16"/>
              </w:rPr>
              <w:t>Bitstate</w:t>
            </w:r>
            <w:r>
              <w:tab/>
            </w:r>
            <w:r>
              <w:rPr>
                <w:color w:val="2A7F8E"/>
                <w:sz w:val="16"/>
              </w:rPr>
              <w:t>4-6, 8-14</w:t>
            </w:r>
          </w:p>
        </w:tc>
        <w:tc>
          <w:tcPr>
            <w:tcW w:w="4723" w:type="dxa"/>
            <w:tcBorders>
              <w:top w:val="nil"/>
              <w:left w:val="nil"/>
              <w:bottom w:val="nil"/>
              <w:right w:val="nil"/>
            </w:tcBorders>
            <w:tcMar>
              <w:top w:w="38" w:type="dxa"/>
              <w:left w:w="60" w:type="dxa"/>
              <w:bottom w:w="38" w:type="dxa"/>
              <w:right w:w="60" w:type="dxa"/>
            </w:tcMar>
            <w:vAlign w:val="center"/>
          </w:tcPr>
          <w:p w14:paraId="022956D4" w14:textId="77777777" w:rsidR="00E579F2" w:rsidRDefault="00FC5553">
            <w:pPr>
              <w:tabs>
                <w:tab w:val="right" w:leader="dot" w:pos="4320"/>
                <w:tab w:val="right" w:leader="dot" w:pos="4320"/>
              </w:tabs>
              <w:spacing w:after="0" w:line="240" w:lineRule="auto"/>
              <w:rPr>
                <w:rFonts w:hint="eastAsia"/>
              </w:rPr>
            </w:pPr>
            <w:r>
              <w:rPr>
                <w:sz w:val="16"/>
              </w:rPr>
              <w:t>Parameter Binding</w:t>
            </w:r>
            <w:r>
              <w:tab/>
            </w:r>
            <w:r>
              <w:rPr>
                <w:color w:val="2A7F8E"/>
                <w:sz w:val="16"/>
              </w:rPr>
              <w:t>6, 9-10, 12-14, 22, 25</w:t>
            </w:r>
          </w:p>
        </w:tc>
      </w:tr>
      <w:tr w:rsidR="00E579F2" w14:paraId="1FAF222D" w14:textId="77777777">
        <w:trPr>
          <w:jc w:val="center"/>
        </w:trPr>
        <w:tc>
          <w:tcPr>
            <w:tcW w:w="4723" w:type="dxa"/>
            <w:tcBorders>
              <w:top w:val="nil"/>
              <w:left w:val="nil"/>
              <w:bottom w:val="nil"/>
              <w:right w:val="nil"/>
            </w:tcBorders>
            <w:tcMar>
              <w:top w:w="38" w:type="dxa"/>
              <w:left w:w="60" w:type="dxa"/>
              <w:bottom w:w="38" w:type="dxa"/>
              <w:right w:w="60" w:type="dxa"/>
            </w:tcMar>
            <w:vAlign w:val="center"/>
          </w:tcPr>
          <w:p w14:paraId="7676E105" w14:textId="77777777" w:rsidR="00E579F2" w:rsidRDefault="00FC5553">
            <w:pPr>
              <w:tabs>
                <w:tab w:val="right" w:leader="dot" w:pos="4320"/>
                <w:tab w:val="right" w:leader="dot" w:pos="4320"/>
              </w:tabs>
              <w:spacing w:after="0" w:line="240" w:lineRule="auto"/>
              <w:rPr>
                <w:rFonts w:hint="eastAsia"/>
              </w:rPr>
            </w:pPr>
            <w:r>
              <w:rPr>
                <w:sz w:val="16"/>
              </w:rPr>
              <w:t>Bitstate</w:t>
            </w:r>
            <w:r>
              <w:tab/>
            </w:r>
            <w:r>
              <w:rPr>
                <w:color w:val="2A7F8E"/>
                <w:sz w:val="16"/>
              </w:rPr>
              <w:t>4-6, 8-14</w:t>
            </w:r>
          </w:p>
        </w:tc>
        <w:tc>
          <w:tcPr>
            <w:tcW w:w="4723" w:type="dxa"/>
            <w:tcBorders>
              <w:top w:val="nil"/>
              <w:left w:val="nil"/>
              <w:bottom w:val="nil"/>
              <w:right w:val="nil"/>
            </w:tcBorders>
            <w:tcMar>
              <w:top w:w="38" w:type="dxa"/>
              <w:left w:w="60" w:type="dxa"/>
              <w:bottom w:w="38" w:type="dxa"/>
              <w:right w:w="60" w:type="dxa"/>
            </w:tcMar>
            <w:vAlign w:val="center"/>
          </w:tcPr>
          <w:p w14:paraId="49A37AE9" w14:textId="77777777" w:rsidR="00E579F2" w:rsidRDefault="00FC5553">
            <w:pPr>
              <w:tabs>
                <w:tab w:val="right" w:leader="dot" w:pos="4320"/>
                <w:tab w:val="right" w:leader="dot" w:pos="4320"/>
              </w:tabs>
              <w:spacing w:after="0" w:line="240" w:lineRule="auto"/>
              <w:rPr>
                <w:rFonts w:hint="eastAsia"/>
              </w:rPr>
            </w:pPr>
            <w:r>
              <w:rPr>
                <w:sz w:val="16"/>
              </w:rPr>
              <w:t>Prefix Preservation</w:t>
            </w:r>
            <w:r>
              <w:tab/>
            </w:r>
            <w:r>
              <w:rPr>
                <w:color w:val="2A7F8E"/>
                <w:sz w:val="16"/>
              </w:rPr>
              <w:t>6-7, 24</w:t>
            </w:r>
          </w:p>
        </w:tc>
      </w:tr>
      <w:tr w:rsidR="00E579F2" w14:paraId="18DE6BA8" w14:textId="77777777">
        <w:trPr>
          <w:jc w:val="center"/>
        </w:trPr>
        <w:tc>
          <w:tcPr>
            <w:tcW w:w="4723" w:type="dxa"/>
            <w:tcBorders>
              <w:top w:val="nil"/>
              <w:left w:val="nil"/>
              <w:bottom w:val="nil"/>
              <w:right w:val="nil"/>
            </w:tcBorders>
            <w:tcMar>
              <w:top w:w="38" w:type="dxa"/>
              <w:left w:w="60" w:type="dxa"/>
              <w:bottom w:w="38" w:type="dxa"/>
              <w:right w:w="60" w:type="dxa"/>
            </w:tcMar>
            <w:vAlign w:val="center"/>
          </w:tcPr>
          <w:p w14:paraId="1CBED08C" w14:textId="77777777" w:rsidR="00E579F2" w:rsidRDefault="00FC5553">
            <w:pPr>
              <w:tabs>
                <w:tab w:val="right" w:leader="dot" w:pos="4320"/>
                <w:tab w:val="right" w:leader="dot" w:pos="4320"/>
              </w:tabs>
              <w:spacing w:after="0" w:line="240" w:lineRule="auto"/>
              <w:rPr>
                <w:rFonts w:hint="eastAsia"/>
              </w:rPr>
            </w:pPr>
            <w:r>
              <w:rPr>
                <w:sz w:val="16"/>
              </w:rPr>
              <w:t>Bitwise mutation</w:t>
            </w:r>
            <w:r>
              <w:tab/>
            </w:r>
            <w:r>
              <w:rPr>
                <w:color w:val="2A7F8E"/>
                <w:sz w:val="16"/>
              </w:rPr>
              <w:t>11, 13</w:t>
            </w:r>
          </w:p>
        </w:tc>
        <w:tc>
          <w:tcPr>
            <w:tcW w:w="4723" w:type="dxa"/>
            <w:tcBorders>
              <w:top w:val="nil"/>
              <w:left w:val="nil"/>
              <w:bottom w:val="nil"/>
              <w:right w:val="nil"/>
            </w:tcBorders>
            <w:tcMar>
              <w:top w:w="38" w:type="dxa"/>
              <w:left w:w="60" w:type="dxa"/>
              <w:bottom w:w="38" w:type="dxa"/>
              <w:right w:w="60" w:type="dxa"/>
            </w:tcMar>
            <w:vAlign w:val="center"/>
          </w:tcPr>
          <w:p w14:paraId="5F53472D" w14:textId="77777777" w:rsidR="00E579F2" w:rsidRDefault="00FC5553">
            <w:pPr>
              <w:tabs>
                <w:tab w:val="right" w:leader="dot" w:pos="4320"/>
                <w:tab w:val="right" w:leader="dot" w:pos="4320"/>
              </w:tabs>
              <w:spacing w:after="0" w:line="240" w:lineRule="auto"/>
              <w:rPr>
                <w:rFonts w:hint="eastAsia"/>
              </w:rPr>
            </w:pPr>
            <w:r>
              <w:rPr>
                <w:sz w:val="16"/>
              </w:rPr>
              <w:t>Propagation Policy</w:t>
            </w:r>
            <w:r>
              <w:tab/>
            </w:r>
            <w:r>
              <w:rPr>
                <w:color w:val="2A7F8E"/>
                <w:sz w:val="16"/>
              </w:rPr>
              <w:t>10, 14, 23, 25</w:t>
            </w:r>
          </w:p>
        </w:tc>
      </w:tr>
      <w:tr w:rsidR="00E579F2" w14:paraId="05421274" w14:textId="77777777">
        <w:trPr>
          <w:jc w:val="center"/>
        </w:trPr>
        <w:tc>
          <w:tcPr>
            <w:tcW w:w="4723" w:type="dxa"/>
            <w:tcBorders>
              <w:top w:val="nil"/>
              <w:left w:val="nil"/>
              <w:bottom w:val="nil"/>
              <w:right w:val="nil"/>
            </w:tcBorders>
            <w:tcMar>
              <w:top w:w="38" w:type="dxa"/>
              <w:left w:w="60" w:type="dxa"/>
              <w:bottom w:w="38" w:type="dxa"/>
              <w:right w:w="60" w:type="dxa"/>
            </w:tcMar>
            <w:vAlign w:val="center"/>
          </w:tcPr>
          <w:p w14:paraId="27D4CB7F" w14:textId="77777777" w:rsidR="00E579F2" w:rsidRDefault="00FC5553">
            <w:pPr>
              <w:tabs>
                <w:tab w:val="right" w:leader="dot" w:pos="4320"/>
                <w:tab w:val="right" w:leader="dot" w:pos="4320"/>
              </w:tabs>
              <w:spacing w:after="0" w:line="240" w:lineRule="auto"/>
              <w:rPr>
                <w:rFonts w:hint="eastAsia"/>
              </w:rPr>
            </w:pPr>
            <w:r>
              <w:rPr>
                <w:sz w:val="16"/>
              </w:rPr>
              <w:t>CERBERUS Core</w:t>
            </w:r>
            <w:r>
              <w:tab/>
            </w:r>
            <w:r>
              <w:rPr>
                <w:color w:val="2A7F8E"/>
                <w:sz w:val="16"/>
              </w:rPr>
              <w:t>4, 26</w:t>
            </w:r>
          </w:p>
        </w:tc>
        <w:tc>
          <w:tcPr>
            <w:tcW w:w="4723" w:type="dxa"/>
            <w:tcBorders>
              <w:top w:val="nil"/>
              <w:left w:val="nil"/>
              <w:bottom w:val="nil"/>
              <w:right w:val="nil"/>
            </w:tcBorders>
            <w:tcMar>
              <w:top w:w="38" w:type="dxa"/>
              <w:left w:w="60" w:type="dxa"/>
              <w:bottom w:w="38" w:type="dxa"/>
              <w:right w:w="60" w:type="dxa"/>
            </w:tcMar>
            <w:vAlign w:val="center"/>
          </w:tcPr>
          <w:p w14:paraId="298F9B35" w14:textId="77777777" w:rsidR="00E579F2" w:rsidRDefault="00FC5553">
            <w:pPr>
              <w:tabs>
                <w:tab w:val="right" w:leader="dot" w:pos="4320"/>
                <w:tab w:val="right" w:leader="dot" w:pos="4320"/>
              </w:tabs>
              <w:spacing w:after="0" w:line="240" w:lineRule="auto"/>
              <w:rPr>
                <w:rFonts w:hint="eastAsia"/>
              </w:rPr>
            </w:pPr>
            <w:r>
              <w:rPr>
                <w:sz w:val="16"/>
              </w:rPr>
              <w:t>Provenance</w:t>
            </w:r>
            <w:r>
              <w:tab/>
            </w:r>
            <w:r>
              <w:rPr>
                <w:color w:val="2A7F8E"/>
                <w:sz w:val="16"/>
              </w:rPr>
              <w:t>6, 15-22, 25-26</w:t>
            </w:r>
          </w:p>
        </w:tc>
      </w:tr>
      <w:tr w:rsidR="00E579F2" w14:paraId="663A8962" w14:textId="77777777">
        <w:trPr>
          <w:jc w:val="center"/>
        </w:trPr>
        <w:tc>
          <w:tcPr>
            <w:tcW w:w="4723" w:type="dxa"/>
            <w:tcBorders>
              <w:top w:val="nil"/>
              <w:left w:val="nil"/>
              <w:bottom w:val="nil"/>
              <w:right w:val="nil"/>
            </w:tcBorders>
            <w:tcMar>
              <w:top w:w="38" w:type="dxa"/>
              <w:left w:w="60" w:type="dxa"/>
              <w:bottom w:w="38" w:type="dxa"/>
              <w:right w:w="60" w:type="dxa"/>
            </w:tcMar>
            <w:vAlign w:val="center"/>
          </w:tcPr>
          <w:p w14:paraId="52CAA995" w14:textId="77777777" w:rsidR="00E579F2" w:rsidRDefault="00FC5553">
            <w:pPr>
              <w:tabs>
                <w:tab w:val="right" w:leader="dot" w:pos="4320"/>
                <w:tab w:val="right" w:leader="dot" w:pos="4320"/>
              </w:tabs>
              <w:spacing w:after="0" w:line="240" w:lineRule="auto"/>
              <w:rPr>
                <w:rFonts w:hint="eastAsia"/>
              </w:rPr>
            </w:pPr>
            <w:r>
              <w:rPr>
                <w:sz w:val="16"/>
              </w:rPr>
              <w:t>Cloning / copy-on-write</w:t>
            </w:r>
            <w:r>
              <w:tab/>
            </w:r>
            <w:r>
              <w:rPr>
                <w:color w:val="2A7F8E"/>
                <w:sz w:val="16"/>
              </w:rPr>
              <w:t>20</w:t>
            </w:r>
          </w:p>
        </w:tc>
        <w:tc>
          <w:tcPr>
            <w:tcW w:w="4723" w:type="dxa"/>
            <w:tcBorders>
              <w:top w:val="nil"/>
              <w:left w:val="nil"/>
              <w:bottom w:val="nil"/>
              <w:right w:val="nil"/>
            </w:tcBorders>
            <w:tcMar>
              <w:top w:w="38" w:type="dxa"/>
              <w:left w:w="60" w:type="dxa"/>
              <w:bottom w:w="38" w:type="dxa"/>
              <w:right w:w="60" w:type="dxa"/>
            </w:tcMar>
            <w:vAlign w:val="center"/>
          </w:tcPr>
          <w:p w14:paraId="43D890DF" w14:textId="77777777" w:rsidR="00E579F2" w:rsidRDefault="00FC5553">
            <w:pPr>
              <w:tabs>
                <w:tab w:val="right" w:leader="dot" w:pos="4320"/>
                <w:tab w:val="right" w:leader="dot" w:pos="4320"/>
              </w:tabs>
              <w:spacing w:after="0" w:line="240" w:lineRule="auto"/>
              <w:rPr>
                <w:rFonts w:hint="eastAsia"/>
              </w:rPr>
            </w:pPr>
            <w:r>
              <w:rPr>
                <w:sz w:val="16"/>
              </w:rPr>
              <w:t>Quantization</w:t>
            </w:r>
            <w:r>
              <w:tab/>
            </w:r>
            <w:r>
              <w:rPr>
                <w:color w:val="2A7F8E"/>
                <w:sz w:val="16"/>
              </w:rPr>
              <w:t>9</w:t>
            </w:r>
          </w:p>
        </w:tc>
      </w:tr>
      <w:tr w:rsidR="00E579F2" w14:paraId="08AE84D7" w14:textId="77777777">
        <w:trPr>
          <w:jc w:val="center"/>
        </w:trPr>
        <w:tc>
          <w:tcPr>
            <w:tcW w:w="4723" w:type="dxa"/>
            <w:tcBorders>
              <w:top w:val="nil"/>
              <w:left w:val="nil"/>
              <w:bottom w:val="nil"/>
              <w:right w:val="nil"/>
            </w:tcBorders>
            <w:tcMar>
              <w:top w:w="38" w:type="dxa"/>
              <w:left w:w="60" w:type="dxa"/>
              <w:bottom w:w="38" w:type="dxa"/>
              <w:right w:w="60" w:type="dxa"/>
            </w:tcMar>
            <w:vAlign w:val="center"/>
          </w:tcPr>
          <w:p w14:paraId="6EB574A7" w14:textId="77777777" w:rsidR="00E579F2" w:rsidRDefault="00FC5553">
            <w:pPr>
              <w:tabs>
                <w:tab w:val="right" w:leader="dot" w:pos="4320"/>
                <w:tab w:val="right" w:leader="dot" w:pos="4320"/>
              </w:tabs>
              <w:spacing w:after="0" w:line="240" w:lineRule="auto"/>
              <w:rPr>
                <w:rFonts w:hint="eastAsia"/>
              </w:rPr>
            </w:pPr>
            <w:r>
              <w:rPr>
                <w:sz w:val="16"/>
              </w:rPr>
              <w:t>Companion Kernel</w:t>
            </w:r>
            <w:r>
              <w:tab/>
            </w:r>
            <w:r>
              <w:rPr>
                <w:color w:val="2A7F8E"/>
                <w:sz w:val="16"/>
              </w:rPr>
              <w:t>7, 24</w:t>
            </w:r>
          </w:p>
        </w:tc>
        <w:tc>
          <w:tcPr>
            <w:tcW w:w="4723" w:type="dxa"/>
            <w:tcBorders>
              <w:top w:val="nil"/>
              <w:left w:val="nil"/>
              <w:bottom w:val="nil"/>
              <w:right w:val="nil"/>
            </w:tcBorders>
            <w:tcMar>
              <w:top w:w="38" w:type="dxa"/>
              <w:left w:w="60" w:type="dxa"/>
              <w:bottom w:w="38" w:type="dxa"/>
              <w:right w:w="60" w:type="dxa"/>
            </w:tcMar>
            <w:vAlign w:val="center"/>
          </w:tcPr>
          <w:p w14:paraId="424914C4" w14:textId="77777777" w:rsidR="00E579F2" w:rsidRDefault="00FC5553">
            <w:pPr>
              <w:tabs>
                <w:tab w:val="right" w:leader="dot" w:pos="4320"/>
                <w:tab w:val="right" w:leader="dot" w:pos="4320"/>
              </w:tabs>
              <w:spacing w:after="0" w:line="240" w:lineRule="auto"/>
              <w:rPr>
                <w:rFonts w:hint="eastAsia"/>
              </w:rPr>
            </w:pPr>
            <w:r>
              <w:rPr>
                <w:sz w:val="16"/>
              </w:rPr>
              <w:t>Replay</w:t>
            </w:r>
            <w:r>
              <w:tab/>
            </w:r>
            <w:r>
              <w:rPr>
                <w:color w:val="2A7F8E"/>
                <w:sz w:val="16"/>
              </w:rPr>
              <w:t>20</w:t>
            </w:r>
          </w:p>
        </w:tc>
      </w:tr>
      <w:tr w:rsidR="00E579F2" w14:paraId="3E57D9E7" w14:textId="77777777">
        <w:trPr>
          <w:jc w:val="center"/>
        </w:trPr>
        <w:tc>
          <w:tcPr>
            <w:tcW w:w="4723" w:type="dxa"/>
            <w:tcBorders>
              <w:top w:val="nil"/>
              <w:left w:val="nil"/>
              <w:bottom w:val="nil"/>
              <w:right w:val="nil"/>
            </w:tcBorders>
            <w:tcMar>
              <w:top w:w="38" w:type="dxa"/>
              <w:left w:w="60" w:type="dxa"/>
              <w:bottom w:w="38" w:type="dxa"/>
              <w:right w:w="60" w:type="dxa"/>
            </w:tcMar>
            <w:vAlign w:val="center"/>
          </w:tcPr>
          <w:p w14:paraId="2A2AD338" w14:textId="77777777" w:rsidR="00E579F2" w:rsidRDefault="00FC5553">
            <w:pPr>
              <w:tabs>
                <w:tab w:val="right" w:leader="dot" w:pos="4320"/>
                <w:tab w:val="right" w:leader="dot" w:pos="4320"/>
              </w:tabs>
              <w:spacing w:after="0" w:line="240" w:lineRule="auto"/>
              <w:rPr>
                <w:rFonts w:hint="eastAsia"/>
              </w:rPr>
            </w:pPr>
            <w:r>
              <w:rPr>
                <w:sz w:val="16"/>
              </w:rPr>
              <w:t>Comparator</w:t>
            </w:r>
            <w:r>
              <w:tab/>
            </w:r>
            <w:r>
              <w:rPr>
                <w:color w:val="2A7F8E"/>
                <w:sz w:val="16"/>
              </w:rPr>
              <w:t>9-12, 25</w:t>
            </w:r>
          </w:p>
        </w:tc>
        <w:tc>
          <w:tcPr>
            <w:tcW w:w="4723" w:type="dxa"/>
            <w:tcBorders>
              <w:top w:val="nil"/>
              <w:left w:val="nil"/>
              <w:bottom w:val="nil"/>
              <w:right w:val="nil"/>
            </w:tcBorders>
            <w:tcMar>
              <w:top w:w="38" w:type="dxa"/>
              <w:left w:w="60" w:type="dxa"/>
              <w:bottom w:w="38" w:type="dxa"/>
              <w:right w:w="60" w:type="dxa"/>
            </w:tcMar>
            <w:vAlign w:val="center"/>
          </w:tcPr>
          <w:p w14:paraId="47F5DE24" w14:textId="77777777" w:rsidR="00E579F2" w:rsidRDefault="00FC5553">
            <w:pPr>
              <w:tabs>
                <w:tab w:val="right" w:leader="dot" w:pos="4320"/>
                <w:tab w:val="right" w:leader="dot" w:pos="4320"/>
              </w:tabs>
              <w:spacing w:after="0" w:line="240" w:lineRule="auto"/>
              <w:rPr>
                <w:rFonts w:hint="eastAsia"/>
              </w:rPr>
            </w:pPr>
            <w:r>
              <w:rPr>
                <w:sz w:val="16"/>
              </w:rPr>
              <w:t>Rule</w:t>
            </w:r>
            <w:r>
              <w:tab/>
            </w:r>
            <w:r>
              <w:rPr>
                <w:color w:val="2A7F8E"/>
                <w:sz w:val="16"/>
              </w:rPr>
              <w:t>6, 10-14, 15-26</w:t>
            </w:r>
          </w:p>
        </w:tc>
      </w:tr>
      <w:tr w:rsidR="00E579F2" w14:paraId="059B3E63" w14:textId="77777777">
        <w:trPr>
          <w:jc w:val="center"/>
        </w:trPr>
        <w:tc>
          <w:tcPr>
            <w:tcW w:w="4723" w:type="dxa"/>
            <w:tcBorders>
              <w:top w:val="nil"/>
              <w:left w:val="nil"/>
              <w:bottom w:val="nil"/>
              <w:right w:val="nil"/>
            </w:tcBorders>
            <w:tcMar>
              <w:top w:w="38" w:type="dxa"/>
              <w:left w:w="60" w:type="dxa"/>
              <w:bottom w:w="38" w:type="dxa"/>
              <w:right w:w="60" w:type="dxa"/>
            </w:tcMar>
            <w:vAlign w:val="center"/>
          </w:tcPr>
          <w:p w14:paraId="4B4F500E" w14:textId="77777777" w:rsidR="00E579F2" w:rsidRDefault="00FC5553">
            <w:pPr>
              <w:tabs>
                <w:tab w:val="right" w:leader="dot" w:pos="4320"/>
                <w:tab w:val="right" w:leader="dot" w:pos="4320"/>
              </w:tabs>
              <w:spacing w:after="0" w:line="240" w:lineRule="auto"/>
              <w:rPr>
                <w:rFonts w:hint="eastAsia"/>
              </w:rPr>
            </w:pPr>
            <w:r>
              <w:rPr>
                <w:sz w:val="16"/>
              </w:rPr>
              <w:t>Conformance</w:t>
            </w:r>
            <w:r>
              <w:tab/>
            </w:r>
            <w:r>
              <w:rPr>
                <w:color w:val="2A7F8E"/>
                <w:sz w:val="16"/>
              </w:rPr>
              <w:t>22-23</w:t>
            </w:r>
          </w:p>
        </w:tc>
        <w:tc>
          <w:tcPr>
            <w:tcW w:w="4723" w:type="dxa"/>
            <w:tcBorders>
              <w:top w:val="nil"/>
              <w:left w:val="nil"/>
              <w:bottom w:val="nil"/>
              <w:right w:val="nil"/>
            </w:tcBorders>
            <w:tcMar>
              <w:top w:w="38" w:type="dxa"/>
              <w:left w:w="60" w:type="dxa"/>
              <w:bottom w:w="38" w:type="dxa"/>
              <w:right w:w="60" w:type="dxa"/>
            </w:tcMar>
            <w:vAlign w:val="center"/>
          </w:tcPr>
          <w:p w14:paraId="3CBEFA75" w14:textId="77777777" w:rsidR="00E579F2" w:rsidRDefault="00FC5553">
            <w:pPr>
              <w:tabs>
                <w:tab w:val="right" w:leader="dot" w:pos="4320"/>
                <w:tab w:val="right" w:leader="dot" w:pos="4320"/>
              </w:tabs>
              <w:spacing w:after="0" w:line="240" w:lineRule="auto"/>
              <w:rPr>
                <w:rFonts w:hint="eastAsia"/>
              </w:rPr>
            </w:pPr>
            <w:r>
              <w:rPr>
                <w:sz w:val="16"/>
              </w:rPr>
              <w:t>Rule</w:t>
            </w:r>
            <w:r>
              <w:tab/>
            </w:r>
            <w:r>
              <w:rPr>
                <w:color w:val="2A7F8E"/>
                <w:sz w:val="16"/>
              </w:rPr>
              <w:t>6, 10-14, 15-26</w:t>
            </w:r>
          </w:p>
        </w:tc>
      </w:tr>
      <w:tr w:rsidR="00E579F2" w14:paraId="3193FC7E" w14:textId="77777777">
        <w:trPr>
          <w:jc w:val="center"/>
        </w:trPr>
        <w:tc>
          <w:tcPr>
            <w:tcW w:w="4723" w:type="dxa"/>
            <w:tcBorders>
              <w:top w:val="nil"/>
              <w:left w:val="nil"/>
              <w:bottom w:val="nil"/>
              <w:right w:val="nil"/>
            </w:tcBorders>
            <w:tcMar>
              <w:top w:w="38" w:type="dxa"/>
              <w:left w:w="60" w:type="dxa"/>
              <w:bottom w:w="38" w:type="dxa"/>
              <w:right w:w="60" w:type="dxa"/>
            </w:tcMar>
            <w:vAlign w:val="center"/>
          </w:tcPr>
          <w:p w14:paraId="2FB51450" w14:textId="77777777" w:rsidR="00E579F2" w:rsidRDefault="00FC5553">
            <w:pPr>
              <w:tabs>
                <w:tab w:val="right" w:leader="dot" w:pos="4320"/>
                <w:tab w:val="right" w:leader="dot" w:pos="4320"/>
              </w:tabs>
              <w:spacing w:after="0" w:line="240" w:lineRule="auto"/>
              <w:rPr>
                <w:rFonts w:hint="eastAsia"/>
              </w:rPr>
            </w:pPr>
            <w:r>
              <w:rPr>
                <w:sz w:val="16"/>
              </w:rPr>
              <w:t>Cross-object parameterization</w:t>
            </w:r>
            <w:r>
              <w:tab/>
            </w:r>
            <w:r>
              <w:rPr>
                <w:color w:val="2A7F8E"/>
                <w:sz w:val="16"/>
              </w:rPr>
              <w:t>4, 10, 14-18</w:t>
            </w:r>
          </w:p>
        </w:tc>
        <w:tc>
          <w:tcPr>
            <w:tcW w:w="4723" w:type="dxa"/>
            <w:tcBorders>
              <w:top w:val="nil"/>
              <w:left w:val="nil"/>
              <w:bottom w:val="nil"/>
              <w:right w:val="nil"/>
            </w:tcBorders>
            <w:tcMar>
              <w:top w:w="38" w:type="dxa"/>
              <w:left w:w="60" w:type="dxa"/>
              <w:bottom w:w="38" w:type="dxa"/>
              <w:right w:w="60" w:type="dxa"/>
            </w:tcMar>
            <w:vAlign w:val="center"/>
          </w:tcPr>
          <w:p w14:paraId="50D90B51" w14:textId="77777777" w:rsidR="00E579F2" w:rsidRDefault="00FC5553">
            <w:pPr>
              <w:tabs>
                <w:tab w:val="right" w:leader="dot" w:pos="4320"/>
                <w:tab w:val="right" w:leader="dot" w:pos="4320"/>
              </w:tabs>
              <w:spacing w:after="0" w:line="240" w:lineRule="auto"/>
              <w:rPr>
                <w:rFonts w:hint="eastAsia"/>
              </w:rPr>
            </w:pPr>
            <w:r>
              <w:rPr>
                <w:sz w:val="16"/>
              </w:rPr>
              <w:t>Safety boundaries</w:t>
            </w:r>
            <w:r>
              <w:tab/>
            </w:r>
            <w:r>
              <w:rPr>
                <w:color w:val="2A7F8E"/>
                <w:sz w:val="16"/>
              </w:rPr>
              <w:t>24</w:t>
            </w:r>
          </w:p>
        </w:tc>
      </w:tr>
      <w:tr w:rsidR="00E579F2" w14:paraId="1117398A" w14:textId="77777777">
        <w:trPr>
          <w:jc w:val="center"/>
        </w:trPr>
        <w:tc>
          <w:tcPr>
            <w:tcW w:w="4723" w:type="dxa"/>
            <w:tcBorders>
              <w:top w:val="nil"/>
              <w:left w:val="nil"/>
              <w:bottom w:val="nil"/>
              <w:right w:val="nil"/>
            </w:tcBorders>
            <w:tcMar>
              <w:top w:w="38" w:type="dxa"/>
              <w:left w:w="60" w:type="dxa"/>
              <w:bottom w:w="38" w:type="dxa"/>
              <w:right w:w="60" w:type="dxa"/>
            </w:tcMar>
            <w:vAlign w:val="center"/>
          </w:tcPr>
          <w:p w14:paraId="154A2DFD" w14:textId="77777777" w:rsidR="00E579F2" w:rsidRDefault="00FC5553">
            <w:pPr>
              <w:tabs>
                <w:tab w:val="right" w:leader="dot" w:pos="4320"/>
                <w:tab w:val="right" w:leader="dot" w:pos="4320"/>
              </w:tabs>
              <w:spacing w:after="0" w:line="240" w:lineRule="auto"/>
              <w:rPr>
                <w:rFonts w:hint="eastAsia"/>
              </w:rPr>
            </w:pPr>
            <w:r>
              <w:rPr>
                <w:sz w:val="16"/>
              </w:rPr>
              <w:t>Culinary Thermal Chain</w:t>
            </w:r>
            <w:r>
              <w:tab/>
            </w:r>
            <w:r>
              <w:rPr>
                <w:color w:val="2A7F8E"/>
                <w:sz w:val="16"/>
              </w:rPr>
              <w:t>15-16</w:t>
            </w:r>
          </w:p>
        </w:tc>
        <w:tc>
          <w:tcPr>
            <w:tcW w:w="4723" w:type="dxa"/>
            <w:tcBorders>
              <w:top w:val="nil"/>
              <w:left w:val="nil"/>
              <w:bottom w:val="nil"/>
              <w:right w:val="nil"/>
            </w:tcBorders>
            <w:tcMar>
              <w:top w:w="38" w:type="dxa"/>
              <w:left w:w="60" w:type="dxa"/>
              <w:bottom w:w="38" w:type="dxa"/>
              <w:right w:w="60" w:type="dxa"/>
            </w:tcMar>
            <w:vAlign w:val="center"/>
          </w:tcPr>
          <w:p w14:paraId="59D30FEF" w14:textId="77777777" w:rsidR="00E579F2" w:rsidRDefault="00FC5553">
            <w:pPr>
              <w:tabs>
                <w:tab w:val="right" w:leader="dot" w:pos="4320"/>
                <w:tab w:val="right" w:leader="dot" w:pos="4320"/>
              </w:tabs>
              <w:spacing w:after="0" w:line="240" w:lineRule="auto"/>
              <w:rPr>
                <w:rFonts w:hint="eastAsia"/>
              </w:rPr>
            </w:pPr>
            <w:r>
              <w:rPr>
                <w:sz w:val="16"/>
              </w:rPr>
              <w:t>Self-Contained Bitstate Parameterization</w:t>
            </w:r>
            <w:r>
              <w:tab/>
            </w:r>
            <w:r>
              <w:rPr>
                <w:color w:val="2A7F8E"/>
                <w:sz w:val="16"/>
              </w:rPr>
              <w:t>2, 4-10, 26</w:t>
            </w:r>
          </w:p>
        </w:tc>
      </w:tr>
      <w:tr w:rsidR="00E579F2" w14:paraId="70D02B59" w14:textId="77777777">
        <w:trPr>
          <w:jc w:val="center"/>
        </w:trPr>
        <w:tc>
          <w:tcPr>
            <w:tcW w:w="4723" w:type="dxa"/>
            <w:tcBorders>
              <w:top w:val="nil"/>
              <w:left w:val="nil"/>
              <w:bottom w:val="nil"/>
              <w:right w:val="nil"/>
            </w:tcBorders>
            <w:tcMar>
              <w:top w:w="38" w:type="dxa"/>
              <w:left w:w="60" w:type="dxa"/>
              <w:bottom w:w="38" w:type="dxa"/>
              <w:right w:w="60" w:type="dxa"/>
            </w:tcMar>
            <w:vAlign w:val="center"/>
          </w:tcPr>
          <w:p w14:paraId="43072452" w14:textId="77777777" w:rsidR="00E579F2" w:rsidRDefault="00FC5553">
            <w:pPr>
              <w:tabs>
                <w:tab w:val="right" w:leader="dot" w:pos="4320"/>
                <w:tab w:val="right" w:leader="dot" w:pos="4320"/>
              </w:tabs>
              <w:spacing w:after="0" w:line="240" w:lineRule="auto"/>
              <w:rPr>
                <w:rFonts w:hint="eastAsia"/>
              </w:rPr>
            </w:pPr>
            <w:r>
              <w:rPr>
                <w:sz w:val="16"/>
              </w:rPr>
              <w:t>Cycles / feedback loops</w:t>
            </w:r>
            <w:r>
              <w:tab/>
            </w:r>
            <w:r>
              <w:rPr>
                <w:color w:val="2A7F8E"/>
                <w:sz w:val="16"/>
              </w:rPr>
              <w:t>23</w:t>
            </w:r>
          </w:p>
        </w:tc>
        <w:tc>
          <w:tcPr>
            <w:tcW w:w="4723" w:type="dxa"/>
            <w:tcBorders>
              <w:top w:val="nil"/>
              <w:left w:val="nil"/>
              <w:bottom w:val="nil"/>
              <w:right w:val="nil"/>
            </w:tcBorders>
            <w:tcMar>
              <w:top w:w="38" w:type="dxa"/>
              <w:left w:w="60" w:type="dxa"/>
              <w:bottom w:w="38" w:type="dxa"/>
              <w:right w:w="60" w:type="dxa"/>
            </w:tcMar>
            <w:vAlign w:val="center"/>
          </w:tcPr>
          <w:p w14:paraId="040938AE" w14:textId="77777777" w:rsidR="00E579F2" w:rsidRDefault="00FC5553">
            <w:pPr>
              <w:tabs>
                <w:tab w:val="right" w:leader="dot" w:pos="4320"/>
                <w:tab w:val="right" w:leader="dot" w:pos="4320"/>
              </w:tabs>
              <w:spacing w:after="0" w:line="240" w:lineRule="auto"/>
              <w:rPr>
                <w:rFonts w:hint="eastAsia"/>
              </w:rPr>
            </w:pPr>
            <w:r>
              <w:rPr>
                <w:sz w:val="16"/>
              </w:rPr>
              <w:t>Semantic Address</w:t>
            </w:r>
            <w:r>
              <w:tab/>
            </w:r>
            <w:r>
              <w:rPr>
                <w:color w:val="2A7F8E"/>
                <w:sz w:val="16"/>
              </w:rPr>
              <w:t>2, 12, 14, 18, 20-21, 25</w:t>
            </w:r>
          </w:p>
        </w:tc>
      </w:tr>
      <w:tr w:rsidR="00E579F2" w14:paraId="5AAB2740" w14:textId="77777777">
        <w:trPr>
          <w:jc w:val="center"/>
        </w:trPr>
        <w:tc>
          <w:tcPr>
            <w:tcW w:w="4723" w:type="dxa"/>
            <w:tcBorders>
              <w:top w:val="nil"/>
              <w:left w:val="nil"/>
              <w:bottom w:val="nil"/>
              <w:right w:val="nil"/>
            </w:tcBorders>
            <w:tcMar>
              <w:top w:w="38" w:type="dxa"/>
              <w:left w:w="60" w:type="dxa"/>
              <w:bottom w:w="38" w:type="dxa"/>
              <w:right w:w="60" w:type="dxa"/>
            </w:tcMar>
            <w:vAlign w:val="center"/>
          </w:tcPr>
          <w:p w14:paraId="7D1BE1C0" w14:textId="77777777" w:rsidR="00E579F2" w:rsidRDefault="00FC5553">
            <w:pPr>
              <w:tabs>
                <w:tab w:val="right" w:leader="dot" w:pos="4320"/>
                <w:tab w:val="right" w:leader="dot" w:pos="4320"/>
              </w:tabs>
              <w:spacing w:after="0" w:line="240" w:lineRule="auto"/>
              <w:rPr>
                <w:rFonts w:hint="eastAsia"/>
              </w:rPr>
            </w:pPr>
            <w:r>
              <w:rPr>
                <w:sz w:val="16"/>
              </w:rPr>
              <w:t>Delta</w:t>
            </w:r>
            <w:r>
              <w:tab/>
            </w:r>
            <w:r>
              <w:rPr>
                <w:color w:val="2A7F8E"/>
                <w:sz w:val="16"/>
              </w:rPr>
              <w:t>11, 13-14, 18-21, 25-26</w:t>
            </w:r>
          </w:p>
        </w:tc>
        <w:tc>
          <w:tcPr>
            <w:tcW w:w="4723" w:type="dxa"/>
            <w:tcBorders>
              <w:top w:val="nil"/>
              <w:left w:val="nil"/>
              <w:bottom w:val="nil"/>
              <w:right w:val="nil"/>
            </w:tcBorders>
            <w:tcMar>
              <w:top w:w="38" w:type="dxa"/>
              <w:left w:w="60" w:type="dxa"/>
              <w:bottom w:w="38" w:type="dxa"/>
              <w:right w:w="60" w:type="dxa"/>
            </w:tcMar>
            <w:vAlign w:val="center"/>
          </w:tcPr>
          <w:p w14:paraId="31B07CA9" w14:textId="77777777" w:rsidR="00E579F2" w:rsidRDefault="00FC5553">
            <w:pPr>
              <w:tabs>
                <w:tab w:val="right" w:leader="dot" w:pos="4320"/>
                <w:tab w:val="right" w:leader="dot" w:pos="4320"/>
              </w:tabs>
              <w:spacing w:after="0" w:line="240" w:lineRule="auto"/>
              <w:rPr>
                <w:rFonts w:hint="eastAsia"/>
              </w:rPr>
            </w:pPr>
            <w:r>
              <w:rPr>
                <w:sz w:val="16"/>
              </w:rPr>
              <w:t>Semantic Chaining</w:t>
            </w:r>
            <w:r>
              <w:tab/>
            </w:r>
            <w:r>
              <w:rPr>
                <w:color w:val="2A7F8E"/>
                <w:sz w:val="16"/>
              </w:rPr>
              <w:t>4-5, 14-18, 26</w:t>
            </w:r>
          </w:p>
        </w:tc>
      </w:tr>
      <w:tr w:rsidR="00E579F2" w14:paraId="4525092F" w14:textId="77777777">
        <w:trPr>
          <w:jc w:val="center"/>
        </w:trPr>
        <w:tc>
          <w:tcPr>
            <w:tcW w:w="4723" w:type="dxa"/>
            <w:tcBorders>
              <w:top w:val="nil"/>
              <w:left w:val="nil"/>
              <w:bottom w:val="nil"/>
              <w:right w:val="nil"/>
            </w:tcBorders>
            <w:tcMar>
              <w:top w:w="38" w:type="dxa"/>
              <w:left w:w="60" w:type="dxa"/>
              <w:bottom w:w="38" w:type="dxa"/>
              <w:right w:w="60" w:type="dxa"/>
            </w:tcMar>
            <w:vAlign w:val="center"/>
          </w:tcPr>
          <w:p w14:paraId="730DA381" w14:textId="77777777" w:rsidR="00E579F2" w:rsidRDefault="00FC5553">
            <w:pPr>
              <w:tabs>
                <w:tab w:val="right" w:leader="dot" w:pos="4320"/>
                <w:tab w:val="right" w:leader="dot" w:pos="4320"/>
              </w:tabs>
              <w:spacing w:after="0" w:line="240" w:lineRule="auto"/>
              <w:rPr>
                <w:rFonts w:hint="eastAsia"/>
              </w:rPr>
            </w:pPr>
            <w:r>
              <w:rPr>
                <w:sz w:val="16"/>
              </w:rPr>
              <w:t>Dependency graph</w:t>
            </w:r>
            <w:r>
              <w:tab/>
            </w:r>
            <w:r>
              <w:rPr>
                <w:color w:val="2A7F8E"/>
                <w:sz w:val="16"/>
              </w:rPr>
              <w:t>19</w:t>
            </w:r>
          </w:p>
        </w:tc>
        <w:tc>
          <w:tcPr>
            <w:tcW w:w="4723" w:type="dxa"/>
            <w:tcBorders>
              <w:top w:val="nil"/>
              <w:left w:val="nil"/>
              <w:bottom w:val="nil"/>
              <w:right w:val="nil"/>
            </w:tcBorders>
            <w:tcMar>
              <w:top w:w="38" w:type="dxa"/>
              <w:left w:w="60" w:type="dxa"/>
              <w:bottom w:w="38" w:type="dxa"/>
              <w:right w:w="60" w:type="dxa"/>
            </w:tcMar>
            <w:vAlign w:val="center"/>
          </w:tcPr>
          <w:p w14:paraId="6D468339" w14:textId="77777777" w:rsidR="00E579F2" w:rsidRDefault="00FC5553">
            <w:pPr>
              <w:tabs>
                <w:tab w:val="right" w:leader="dot" w:pos="4320"/>
                <w:tab w:val="right" w:leader="dot" w:pos="4320"/>
              </w:tabs>
              <w:spacing w:after="0" w:line="240" w:lineRule="auto"/>
              <w:rPr>
                <w:rFonts w:hint="eastAsia"/>
              </w:rPr>
            </w:pPr>
            <w:r>
              <w:rPr>
                <w:sz w:val="16"/>
              </w:rPr>
              <w:t>Semantic Kernel (SK)</w:t>
            </w:r>
            <w:r>
              <w:tab/>
            </w:r>
            <w:r>
              <w:rPr>
                <w:color w:val="2A7F8E"/>
                <w:sz w:val="16"/>
              </w:rPr>
              <w:t>2, 4-8, 13-18, 21, 24-26</w:t>
            </w:r>
          </w:p>
        </w:tc>
      </w:tr>
      <w:tr w:rsidR="00E579F2" w14:paraId="3F56F421" w14:textId="77777777">
        <w:trPr>
          <w:jc w:val="center"/>
        </w:trPr>
        <w:tc>
          <w:tcPr>
            <w:tcW w:w="4723" w:type="dxa"/>
            <w:tcBorders>
              <w:top w:val="nil"/>
              <w:left w:val="nil"/>
              <w:bottom w:val="nil"/>
              <w:right w:val="nil"/>
            </w:tcBorders>
            <w:tcMar>
              <w:top w:w="38" w:type="dxa"/>
              <w:left w:w="60" w:type="dxa"/>
              <w:bottom w:w="38" w:type="dxa"/>
              <w:right w:w="60" w:type="dxa"/>
            </w:tcMar>
            <w:vAlign w:val="center"/>
          </w:tcPr>
          <w:p w14:paraId="38DE2412" w14:textId="77777777" w:rsidR="00E579F2" w:rsidRDefault="00FC5553">
            <w:pPr>
              <w:tabs>
                <w:tab w:val="right" w:leader="dot" w:pos="4320"/>
                <w:tab w:val="right" w:leader="dot" w:pos="4320"/>
              </w:tabs>
              <w:spacing w:after="0" w:line="240" w:lineRule="auto"/>
              <w:rPr>
                <w:rFonts w:hint="eastAsia"/>
              </w:rPr>
            </w:pPr>
            <w:r>
              <w:rPr>
                <w:sz w:val="16"/>
              </w:rPr>
              <w:t>Deterministic execution</w:t>
            </w:r>
            <w:r>
              <w:tab/>
            </w:r>
            <w:r>
              <w:rPr>
                <w:color w:val="2A7F8E"/>
                <w:sz w:val="16"/>
              </w:rPr>
              <w:t>4, 11-13, 20, 22-23, 26</w:t>
            </w:r>
          </w:p>
        </w:tc>
        <w:tc>
          <w:tcPr>
            <w:tcW w:w="4723" w:type="dxa"/>
            <w:tcBorders>
              <w:top w:val="nil"/>
              <w:left w:val="nil"/>
              <w:bottom w:val="nil"/>
              <w:right w:val="nil"/>
            </w:tcBorders>
            <w:tcMar>
              <w:top w:w="38" w:type="dxa"/>
              <w:left w:w="60" w:type="dxa"/>
              <w:bottom w:w="38" w:type="dxa"/>
              <w:right w:w="60" w:type="dxa"/>
            </w:tcMar>
            <w:vAlign w:val="center"/>
          </w:tcPr>
          <w:p w14:paraId="3D1A91C4" w14:textId="77777777" w:rsidR="00E579F2" w:rsidRDefault="00FC5553">
            <w:pPr>
              <w:tabs>
                <w:tab w:val="right" w:leader="dot" w:pos="4320"/>
                <w:tab w:val="right" w:leader="dot" w:pos="4320"/>
              </w:tabs>
              <w:spacing w:after="0" w:line="240" w:lineRule="auto"/>
              <w:rPr>
                <w:rFonts w:hint="eastAsia"/>
              </w:rPr>
            </w:pPr>
            <w:r>
              <w:rPr>
                <w:sz w:val="16"/>
              </w:rPr>
              <w:t>Semantic Plasticity</w:t>
            </w:r>
            <w:r>
              <w:tab/>
            </w:r>
            <w:r>
              <w:rPr>
                <w:color w:val="2A7F8E"/>
                <w:sz w:val="16"/>
              </w:rPr>
              <w:t>5, 13-14, 26</w:t>
            </w:r>
          </w:p>
        </w:tc>
      </w:tr>
      <w:tr w:rsidR="00E579F2" w14:paraId="01B437F0" w14:textId="77777777">
        <w:trPr>
          <w:jc w:val="center"/>
        </w:trPr>
        <w:tc>
          <w:tcPr>
            <w:tcW w:w="4723" w:type="dxa"/>
            <w:tcBorders>
              <w:top w:val="nil"/>
              <w:left w:val="nil"/>
              <w:bottom w:val="nil"/>
              <w:right w:val="nil"/>
            </w:tcBorders>
            <w:tcMar>
              <w:top w:w="38" w:type="dxa"/>
              <w:left w:w="60" w:type="dxa"/>
              <w:bottom w:w="38" w:type="dxa"/>
              <w:right w:w="60" w:type="dxa"/>
            </w:tcMar>
            <w:vAlign w:val="center"/>
          </w:tcPr>
          <w:p w14:paraId="05E06D5C" w14:textId="77777777" w:rsidR="00E579F2" w:rsidRDefault="00FC5553">
            <w:pPr>
              <w:tabs>
                <w:tab w:val="right" w:leader="dot" w:pos="4320"/>
                <w:tab w:val="right" w:leader="dot" w:pos="4320"/>
              </w:tabs>
              <w:spacing w:after="0" w:line="240" w:lineRule="auto"/>
              <w:rPr>
                <w:rFonts w:hint="eastAsia"/>
              </w:rPr>
            </w:pPr>
            <w:r>
              <w:rPr>
                <w:sz w:val="16"/>
              </w:rPr>
              <w:t>Entry threshold</w:t>
            </w:r>
            <w:r>
              <w:tab/>
            </w:r>
            <w:r>
              <w:rPr>
                <w:color w:val="2A7F8E"/>
                <w:sz w:val="16"/>
              </w:rPr>
              <w:t>8-9, 12, 15-16</w:t>
            </w:r>
          </w:p>
        </w:tc>
        <w:tc>
          <w:tcPr>
            <w:tcW w:w="4723" w:type="dxa"/>
            <w:tcBorders>
              <w:top w:val="nil"/>
              <w:left w:val="nil"/>
              <w:bottom w:val="nil"/>
              <w:right w:val="nil"/>
            </w:tcBorders>
            <w:tcMar>
              <w:top w:w="38" w:type="dxa"/>
              <w:left w:w="60" w:type="dxa"/>
              <w:bottom w:w="38" w:type="dxa"/>
              <w:right w:w="60" w:type="dxa"/>
            </w:tcMar>
            <w:vAlign w:val="center"/>
          </w:tcPr>
          <w:p w14:paraId="0DD00DF5" w14:textId="77777777" w:rsidR="00E579F2" w:rsidRDefault="00FC5553">
            <w:pPr>
              <w:tabs>
                <w:tab w:val="right" w:leader="dot" w:pos="4320"/>
                <w:tab w:val="right" w:leader="dot" w:pos="4320"/>
              </w:tabs>
              <w:spacing w:after="0" w:line="240" w:lineRule="auto"/>
              <w:rPr>
                <w:rFonts w:hint="eastAsia"/>
              </w:rPr>
            </w:pPr>
            <w:r>
              <w:rPr>
                <w:sz w:val="16"/>
              </w:rPr>
              <w:t>Simulation branching</w:t>
            </w:r>
            <w:r>
              <w:tab/>
            </w:r>
            <w:r>
              <w:rPr>
                <w:color w:val="2A7F8E"/>
                <w:sz w:val="16"/>
              </w:rPr>
              <w:t>20</w:t>
            </w:r>
          </w:p>
        </w:tc>
      </w:tr>
      <w:tr w:rsidR="00E579F2" w14:paraId="212CA34A" w14:textId="77777777">
        <w:trPr>
          <w:jc w:val="center"/>
        </w:trPr>
        <w:tc>
          <w:tcPr>
            <w:tcW w:w="4723" w:type="dxa"/>
            <w:tcBorders>
              <w:top w:val="nil"/>
              <w:left w:val="nil"/>
              <w:bottom w:val="nil"/>
              <w:right w:val="nil"/>
            </w:tcBorders>
            <w:tcMar>
              <w:top w:w="38" w:type="dxa"/>
              <w:left w:w="60" w:type="dxa"/>
              <w:bottom w:w="38" w:type="dxa"/>
              <w:right w:w="60" w:type="dxa"/>
            </w:tcMar>
            <w:vAlign w:val="center"/>
          </w:tcPr>
          <w:p w14:paraId="79D2B40C" w14:textId="77777777" w:rsidR="00E579F2" w:rsidRDefault="00FC5553">
            <w:pPr>
              <w:tabs>
                <w:tab w:val="right" w:leader="dot" w:pos="4320"/>
                <w:tab w:val="right" w:leader="dot" w:pos="4320"/>
              </w:tabs>
              <w:spacing w:after="0" w:line="240" w:lineRule="auto"/>
              <w:rPr>
                <w:rFonts w:hint="eastAsia"/>
              </w:rPr>
            </w:pPr>
            <w:r>
              <w:rPr>
                <w:sz w:val="16"/>
              </w:rPr>
              <w:t>Exit threshold</w:t>
            </w:r>
            <w:r>
              <w:tab/>
            </w:r>
            <w:r>
              <w:rPr>
                <w:color w:val="2A7F8E"/>
                <w:sz w:val="16"/>
              </w:rPr>
              <w:t>8-9, 12, 15</w:t>
            </w:r>
          </w:p>
        </w:tc>
        <w:tc>
          <w:tcPr>
            <w:tcW w:w="4723" w:type="dxa"/>
            <w:tcBorders>
              <w:top w:val="nil"/>
              <w:left w:val="nil"/>
              <w:bottom w:val="nil"/>
              <w:right w:val="nil"/>
            </w:tcBorders>
            <w:tcMar>
              <w:top w:w="38" w:type="dxa"/>
              <w:left w:w="60" w:type="dxa"/>
              <w:bottom w:w="38" w:type="dxa"/>
              <w:right w:w="60" w:type="dxa"/>
            </w:tcMar>
            <w:vAlign w:val="center"/>
          </w:tcPr>
          <w:p w14:paraId="2352239A" w14:textId="77777777" w:rsidR="00E579F2" w:rsidRDefault="00FC5553">
            <w:pPr>
              <w:tabs>
                <w:tab w:val="right" w:leader="dot" w:pos="4320"/>
                <w:tab w:val="right" w:leader="dot" w:pos="4320"/>
              </w:tabs>
              <w:spacing w:after="0" w:line="240" w:lineRule="auto"/>
              <w:rPr>
                <w:rFonts w:hint="eastAsia"/>
              </w:rPr>
            </w:pPr>
            <w:r>
              <w:rPr>
                <w:sz w:val="16"/>
              </w:rPr>
              <w:t>Source Kernel</w:t>
            </w:r>
            <w:r>
              <w:tab/>
            </w:r>
            <w:r>
              <w:rPr>
                <w:color w:val="2A7F8E"/>
                <w:sz w:val="16"/>
              </w:rPr>
              <w:t>9-10, 12, 18, 23, 25</w:t>
            </w:r>
          </w:p>
        </w:tc>
      </w:tr>
      <w:tr w:rsidR="00E579F2" w14:paraId="587E3778" w14:textId="77777777">
        <w:trPr>
          <w:jc w:val="center"/>
        </w:trPr>
        <w:tc>
          <w:tcPr>
            <w:tcW w:w="4723" w:type="dxa"/>
            <w:tcBorders>
              <w:top w:val="nil"/>
              <w:left w:val="nil"/>
              <w:bottom w:val="nil"/>
              <w:right w:val="nil"/>
            </w:tcBorders>
            <w:tcMar>
              <w:top w:w="38" w:type="dxa"/>
              <w:left w:w="60" w:type="dxa"/>
              <w:bottom w:w="38" w:type="dxa"/>
              <w:right w:w="60" w:type="dxa"/>
            </w:tcMar>
            <w:vAlign w:val="center"/>
          </w:tcPr>
          <w:p w14:paraId="48810747" w14:textId="77777777" w:rsidR="00E579F2" w:rsidRDefault="00FC5553">
            <w:pPr>
              <w:tabs>
                <w:tab w:val="right" w:leader="dot" w:pos="4320"/>
                <w:tab w:val="right" w:leader="dot" w:pos="4320"/>
              </w:tabs>
              <w:spacing w:after="0" w:line="240" w:lineRule="auto"/>
              <w:rPr>
                <w:rFonts w:hint="eastAsia"/>
              </w:rPr>
            </w:pPr>
            <w:r>
              <w:rPr>
                <w:sz w:val="16"/>
              </w:rPr>
              <w:t>Extended Semantic Kernel</w:t>
            </w:r>
            <w:r>
              <w:tab/>
            </w:r>
            <w:r>
              <w:rPr>
                <w:color w:val="2A7F8E"/>
                <w:sz w:val="16"/>
              </w:rPr>
              <w:t>7-10, 15-17, 24</w:t>
            </w:r>
          </w:p>
        </w:tc>
        <w:tc>
          <w:tcPr>
            <w:tcW w:w="4723" w:type="dxa"/>
            <w:tcBorders>
              <w:top w:val="nil"/>
              <w:left w:val="nil"/>
              <w:bottom w:val="nil"/>
              <w:right w:val="nil"/>
            </w:tcBorders>
            <w:tcMar>
              <w:top w:w="38" w:type="dxa"/>
              <w:left w:w="60" w:type="dxa"/>
              <w:bottom w:w="38" w:type="dxa"/>
              <w:right w:w="60" w:type="dxa"/>
            </w:tcMar>
            <w:vAlign w:val="center"/>
          </w:tcPr>
          <w:p w14:paraId="19010DE1" w14:textId="77777777" w:rsidR="00E579F2" w:rsidRDefault="00FC5553">
            <w:pPr>
              <w:tabs>
                <w:tab w:val="right" w:leader="dot" w:pos="4320"/>
                <w:tab w:val="right" w:leader="dot" w:pos="4320"/>
              </w:tabs>
              <w:spacing w:after="0" w:line="240" w:lineRule="auto"/>
              <w:rPr>
                <w:rFonts w:hint="eastAsia"/>
              </w:rPr>
            </w:pPr>
            <w:r>
              <w:rPr>
                <w:sz w:val="16"/>
              </w:rPr>
              <w:t>State transition algorithm</w:t>
            </w:r>
            <w:r>
              <w:tab/>
            </w:r>
            <w:r>
              <w:rPr>
                <w:color w:val="2A7F8E"/>
                <w:sz w:val="16"/>
              </w:rPr>
              <w:t>12-13</w:t>
            </w:r>
          </w:p>
        </w:tc>
      </w:tr>
      <w:tr w:rsidR="00E579F2" w14:paraId="59E06CC9" w14:textId="77777777">
        <w:trPr>
          <w:jc w:val="center"/>
        </w:trPr>
        <w:tc>
          <w:tcPr>
            <w:tcW w:w="4723" w:type="dxa"/>
            <w:tcBorders>
              <w:top w:val="nil"/>
              <w:left w:val="nil"/>
              <w:bottom w:val="nil"/>
              <w:right w:val="nil"/>
            </w:tcBorders>
            <w:tcMar>
              <w:top w:w="38" w:type="dxa"/>
              <w:left w:w="60" w:type="dxa"/>
              <w:bottom w:w="38" w:type="dxa"/>
              <w:right w:w="60" w:type="dxa"/>
            </w:tcMar>
            <w:vAlign w:val="center"/>
          </w:tcPr>
          <w:p w14:paraId="7D22E26A" w14:textId="77777777" w:rsidR="00E579F2" w:rsidRDefault="00FC5553">
            <w:pPr>
              <w:tabs>
                <w:tab w:val="right" w:leader="dot" w:pos="4320"/>
                <w:tab w:val="right" w:leader="dot" w:pos="4320"/>
              </w:tabs>
              <w:spacing w:after="0" w:line="240" w:lineRule="auto"/>
              <w:rPr>
                <w:rFonts w:hint="eastAsia"/>
              </w:rPr>
            </w:pPr>
            <w:r>
              <w:rPr>
                <w:sz w:val="16"/>
              </w:rPr>
              <w:t>FIT-256</w:t>
            </w:r>
            <w:r>
              <w:tab/>
            </w:r>
            <w:r>
              <w:rPr>
                <w:color w:val="2A7F8E"/>
                <w:sz w:val="16"/>
              </w:rPr>
              <w:t>16-17</w:t>
            </w:r>
          </w:p>
        </w:tc>
        <w:tc>
          <w:tcPr>
            <w:tcW w:w="4723" w:type="dxa"/>
            <w:tcBorders>
              <w:top w:val="nil"/>
              <w:left w:val="nil"/>
              <w:bottom w:val="nil"/>
              <w:right w:val="nil"/>
            </w:tcBorders>
            <w:tcMar>
              <w:top w:w="38" w:type="dxa"/>
              <w:left w:w="60" w:type="dxa"/>
              <w:bottom w:w="38" w:type="dxa"/>
              <w:right w:w="60" w:type="dxa"/>
            </w:tcMar>
            <w:vAlign w:val="center"/>
          </w:tcPr>
          <w:p w14:paraId="3E54E4F5" w14:textId="77777777" w:rsidR="00E579F2" w:rsidRDefault="00FC5553">
            <w:pPr>
              <w:tabs>
                <w:tab w:val="right" w:leader="dot" w:pos="4320"/>
                <w:tab w:val="right" w:leader="dot" w:pos="4320"/>
              </w:tabs>
              <w:spacing w:after="0" w:line="240" w:lineRule="auto"/>
              <w:rPr>
                <w:rFonts w:hint="eastAsia"/>
              </w:rPr>
            </w:pPr>
            <w:r>
              <w:rPr>
                <w:sz w:val="16"/>
              </w:rPr>
              <w:t>State Type</w:t>
            </w:r>
            <w:r>
              <w:tab/>
            </w:r>
            <w:r>
              <w:rPr>
                <w:color w:val="2A7F8E"/>
                <w:sz w:val="16"/>
              </w:rPr>
              <w:t>19, 23</w:t>
            </w:r>
          </w:p>
        </w:tc>
      </w:tr>
      <w:tr w:rsidR="00E579F2" w14:paraId="01F92951" w14:textId="77777777">
        <w:trPr>
          <w:jc w:val="center"/>
        </w:trPr>
        <w:tc>
          <w:tcPr>
            <w:tcW w:w="4723" w:type="dxa"/>
            <w:tcBorders>
              <w:top w:val="nil"/>
              <w:left w:val="nil"/>
              <w:bottom w:val="nil"/>
              <w:right w:val="nil"/>
            </w:tcBorders>
            <w:tcMar>
              <w:top w:w="38" w:type="dxa"/>
              <w:left w:w="60" w:type="dxa"/>
              <w:bottom w:w="38" w:type="dxa"/>
              <w:right w:w="60" w:type="dxa"/>
            </w:tcMar>
            <w:vAlign w:val="center"/>
          </w:tcPr>
          <w:p w14:paraId="11BA366F" w14:textId="77777777" w:rsidR="00E579F2" w:rsidRDefault="00FC5553">
            <w:pPr>
              <w:tabs>
                <w:tab w:val="right" w:leader="dot" w:pos="4320"/>
                <w:tab w:val="right" w:leader="dot" w:pos="4320"/>
              </w:tabs>
              <w:spacing w:after="0" w:line="240" w:lineRule="auto"/>
              <w:rPr>
                <w:rFonts w:hint="eastAsia"/>
              </w:rPr>
            </w:pPr>
            <w:r>
              <w:rPr>
                <w:sz w:val="16"/>
              </w:rPr>
              <w:t>FOOD-128</w:t>
            </w:r>
            <w:r>
              <w:tab/>
            </w:r>
            <w:r>
              <w:rPr>
                <w:color w:val="2A7F8E"/>
                <w:sz w:val="16"/>
              </w:rPr>
              <w:t>6-7, 13, 15, 24</w:t>
            </w:r>
          </w:p>
        </w:tc>
        <w:tc>
          <w:tcPr>
            <w:tcW w:w="4723" w:type="dxa"/>
            <w:tcBorders>
              <w:top w:val="nil"/>
              <w:left w:val="nil"/>
              <w:bottom w:val="nil"/>
              <w:right w:val="nil"/>
            </w:tcBorders>
            <w:tcMar>
              <w:top w:w="38" w:type="dxa"/>
              <w:left w:w="60" w:type="dxa"/>
              <w:bottom w:w="38" w:type="dxa"/>
              <w:right w:w="60" w:type="dxa"/>
            </w:tcMar>
            <w:vAlign w:val="center"/>
          </w:tcPr>
          <w:p w14:paraId="2FC70AE1" w14:textId="77777777" w:rsidR="00E579F2" w:rsidRDefault="00FC5553">
            <w:pPr>
              <w:tabs>
                <w:tab w:val="right" w:leader="dot" w:pos="4320"/>
                <w:tab w:val="right" w:leader="dot" w:pos="4320"/>
              </w:tabs>
              <w:spacing w:after="0" w:line="240" w:lineRule="auto"/>
              <w:rPr>
                <w:rFonts w:hint="eastAsia"/>
              </w:rPr>
            </w:pPr>
            <w:r>
              <w:rPr>
                <w:sz w:val="16"/>
              </w:rPr>
              <w:t>Threshold crossing</w:t>
            </w:r>
            <w:r>
              <w:tab/>
            </w:r>
            <w:r>
              <w:rPr>
                <w:color w:val="2A7F8E"/>
                <w:sz w:val="16"/>
              </w:rPr>
              <w:t>11-13, 15-17, 23</w:t>
            </w:r>
          </w:p>
        </w:tc>
      </w:tr>
      <w:tr w:rsidR="00E579F2" w14:paraId="3F7C08B7" w14:textId="77777777">
        <w:trPr>
          <w:jc w:val="center"/>
        </w:trPr>
        <w:tc>
          <w:tcPr>
            <w:tcW w:w="4723" w:type="dxa"/>
            <w:tcBorders>
              <w:top w:val="nil"/>
              <w:left w:val="nil"/>
              <w:bottom w:val="nil"/>
              <w:right w:val="nil"/>
            </w:tcBorders>
            <w:tcMar>
              <w:top w:w="38" w:type="dxa"/>
              <w:left w:w="60" w:type="dxa"/>
              <w:bottom w:w="38" w:type="dxa"/>
              <w:right w:w="60" w:type="dxa"/>
            </w:tcMar>
            <w:vAlign w:val="center"/>
          </w:tcPr>
          <w:p w14:paraId="4EB2B828" w14:textId="77777777" w:rsidR="00E579F2" w:rsidRDefault="00FC5553">
            <w:pPr>
              <w:tabs>
                <w:tab w:val="right" w:leader="dot" w:pos="4320"/>
                <w:tab w:val="right" w:leader="dot" w:pos="4320"/>
              </w:tabs>
              <w:spacing w:after="0" w:line="240" w:lineRule="auto"/>
              <w:rPr>
                <w:rFonts w:hint="eastAsia"/>
              </w:rPr>
            </w:pPr>
            <w:r>
              <w:rPr>
                <w:sz w:val="16"/>
              </w:rPr>
              <w:t>FOOD-256</w:t>
            </w:r>
            <w:r>
              <w:tab/>
            </w:r>
            <w:r>
              <w:rPr>
                <w:color w:val="2A7F8E"/>
                <w:sz w:val="16"/>
              </w:rPr>
              <w:t>6-8, 24</w:t>
            </w:r>
          </w:p>
        </w:tc>
        <w:tc>
          <w:tcPr>
            <w:tcW w:w="4723" w:type="dxa"/>
            <w:tcBorders>
              <w:top w:val="nil"/>
              <w:left w:val="nil"/>
              <w:bottom w:val="nil"/>
              <w:right w:val="nil"/>
            </w:tcBorders>
            <w:tcMar>
              <w:top w:w="38" w:type="dxa"/>
              <w:left w:w="60" w:type="dxa"/>
              <w:bottom w:w="38" w:type="dxa"/>
              <w:right w:w="60" w:type="dxa"/>
            </w:tcMar>
            <w:vAlign w:val="center"/>
          </w:tcPr>
          <w:p w14:paraId="394FA50F" w14:textId="77777777" w:rsidR="00E579F2" w:rsidRDefault="00FC5553">
            <w:pPr>
              <w:tabs>
                <w:tab w:val="right" w:leader="dot" w:pos="4320"/>
                <w:tab w:val="right" w:leader="dot" w:pos="4320"/>
              </w:tabs>
              <w:spacing w:after="0" w:line="240" w:lineRule="auto"/>
              <w:rPr>
                <w:rFonts w:hint="eastAsia"/>
              </w:rPr>
            </w:pPr>
            <w:r>
              <w:rPr>
                <w:sz w:val="16"/>
              </w:rPr>
              <w:t>TIME-128</w:t>
            </w:r>
            <w:r>
              <w:tab/>
            </w:r>
            <w:r>
              <w:rPr>
                <w:color w:val="2A7F8E"/>
                <w:sz w:val="16"/>
              </w:rPr>
              <w:t>8, 16, 19, 21-22</w:t>
            </w:r>
          </w:p>
        </w:tc>
      </w:tr>
      <w:tr w:rsidR="00E579F2" w14:paraId="295EAACA" w14:textId="77777777">
        <w:trPr>
          <w:jc w:val="center"/>
        </w:trPr>
        <w:tc>
          <w:tcPr>
            <w:tcW w:w="4723" w:type="dxa"/>
            <w:tcBorders>
              <w:top w:val="nil"/>
              <w:left w:val="nil"/>
              <w:bottom w:val="nil"/>
              <w:right w:val="nil"/>
            </w:tcBorders>
            <w:tcMar>
              <w:top w:w="38" w:type="dxa"/>
              <w:left w:w="60" w:type="dxa"/>
              <w:bottom w:w="38" w:type="dxa"/>
              <w:right w:w="60" w:type="dxa"/>
            </w:tcMar>
            <w:vAlign w:val="center"/>
          </w:tcPr>
          <w:p w14:paraId="14672D46" w14:textId="77777777" w:rsidR="00E579F2" w:rsidRDefault="00FC5553">
            <w:pPr>
              <w:tabs>
                <w:tab w:val="right" w:leader="dot" w:pos="4320"/>
                <w:tab w:val="right" w:leader="dot" w:pos="4320"/>
              </w:tabs>
              <w:spacing w:after="0" w:line="240" w:lineRule="auto"/>
              <w:rPr>
                <w:rFonts w:hint="eastAsia"/>
              </w:rPr>
            </w:pPr>
            <w:r>
              <w:rPr>
                <w:sz w:val="16"/>
              </w:rPr>
              <w:t>Hysteresis</w:t>
            </w:r>
            <w:r>
              <w:tab/>
            </w:r>
            <w:r>
              <w:rPr>
                <w:color w:val="2A7F8E"/>
                <w:sz w:val="16"/>
              </w:rPr>
              <w:t>8-9, 12, 15</w:t>
            </w:r>
          </w:p>
        </w:tc>
        <w:tc>
          <w:tcPr>
            <w:tcW w:w="4723" w:type="dxa"/>
            <w:tcBorders>
              <w:top w:val="nil"/>
              <w:left w:val="nil"/>
              <w:bottom w:val="nil"/>
              <w:right w:val="nil"/>
            </w:tcBorders>
            <w:tcMar>
              <w:top w:w="38" w:type="dxa"/>
              <w:left w:w="60" w:type="dxa"/>
              <w:bottom w:w="38" w:type="dxa"/>
              <w:right w:w="60" w:type="dxa"/>
            </w:tcMar>
            <w:vAlign w:val="center"/>
          </w:tcPr>
          <w:p w14:paraId="55409345" w14:textId="77777777" w:rsidR="00E579F2" w:rsidRDefault="00FC5553">
            <w:pPr>
              <w:tabs>
                <w:tab w:val="right" w:leader="dot" w:pos="4320"/>
                <w:tab w:val="right" w:leader="dot" w:pos="4320"/>
              </w:tabs>
              <w:spacing w:after="0" w:line="240" w:lineRule="auto"/>
              <w:rPr>
                <w:rFonts w:hint="eastAsia"/>
              </w:rPr>
            </w:pPr>
            <w:r>
              <w:rPr>
                <w:sz w:val="16"/>
              </w:rPr>
              <w:t>Transition Event</w:t>
            </w:r>
            <w:r>
              <w:tab/>
            </w:r>
            <w:r>
              <w:rPr>
                <w:color w:val="2A7F8E"/>
                <w:sz w:val="16"/>
              </w:rPr>
              <w:t>6, 12, 14, 16, 19, 22, 24</w:t>
            </w:r>
          </w:p>
        </w:tc>
      </w:tr>
      <w:tr w:rsidR="00E579F2" w14:paraId="5F0A663A" w14:textId="77777777">
        <w:trPr>
          <w:jc w:val="center"/>
        </w:trPr>
        <w:tc>
          <w:tcPr>
            <w:tcW w:w="4723" w:type="dxa"/>
            <w:tcBorders>
              <w:top w:val="nil"/>
              <w:left w:val="nil"/>
              <w:bottom w:val="nil"/>
              <w:right w:val="nil"/>
            </w:tcBorders>
            <w:tcMar>
              <w:top w:w="38" w:type="dxa"/>
              <w:left w:w="60" w:type="dxa"/>
              <w:bottom w:w="38" w:type="dxa"/>
              <w:right w:w="60" w:type="dxa"/>
            </w:tcMar>
            <w:vAlign w:val="center"/>
          </w:tcPr>
          <w:p w14:paraId="2FCAD05D" w14:textId="77777777" w:rsidR="00E579F2" w:rsidRDefault="00FC5553">
            <w:pPr>
              <w:tabs>
                <w:tab w:val="right" w:leader="dot" w:pos="4320"/>
                <w:tab w:val="right" w:leader="dot" w:pos="4320"/>
              </w:tabs>
              <w:spacing w:after="0" w:line="240" w:lineRule="auto"/>
              <w:rPr>
                <w:rFonts w:hint="eastAsia"/>
              </w:rPr>
            </w:pPr>
            <w:r>
              <w:rPr>
                <w:sz w:val="16"/>
              </w:rPr>
              <w:t>Inspectable causality</w:t>
            </w:r>
            <w:r>
              <w:tab/>
            </w:r>
            <w:r>
              <w:rPr>
                <w:color w:val="2A7F8E"/>
                <w:sz w:val="16"/>
              </w:rPr>
              <w:t>14, 20</w:t>
            </w:r>
          </w:p>
        </w:tc>
        <w:tc>
          <w:tcPr>
            <w:tcW w:w="4723" w:type="dxa"/>
            <w:tcBorders>
              <w:top w:val="nil"/>
              <w:left w:val="nil"/>
              <w:bottom w:val="nil"/>
              <w:right w:val="nil"/>
            </w:tcBorders>
            <w:tcMar>
              <w:top w:w="38" w:type="dxa"/>
              <w:left w:w="60" w:type="dxa"/>
              <w:bottom w:w="38" w:type="dxa"/>
              <w:right w:w="60" w:type="dxa"/>
            </w:tcMar>
            <w:vAlign w:val="center"/>
          </w:tcPr>
          <w:p w14:paraId="12A8567B" w14:textId="77777777" w:rsidR="00E579F2" w:rsidRDefault="00FC5553">
            <w:pPr>
              <w:tabs>
                <w:tab w:val="right" w:leader="dot" w:pos="4320"/>
                <w:tab w:val="right" w:leader="dot" w:pos="4320"/>
              </w:tabs>
              <w:spacing w:after="0" w:line="240" w:lineRule="auto"/>
              <w:rPr>
                <w:rFonts w:hint="eastAsia"/>
              </w:rPr>
            </w:pPr>
            <w:r>
              <w:rPr>
                <w:sz w:val="16"/>
              </w:rPr>
              <w:t>Translation</w:t>
            </w:r>
            <w:r>
              <w:tab/>
            </w:r>
            <w:r>
              <w:rPr>
                <w:color w:val="2A7F8E"/>
                <w:sz w:val="16"/>
              </w:rPr>
              <w:t>7, 10, 18-19, 21-26</w:t>
            </w:r>
          </w:p>
        </w:tc>
      </w:tr>
      <w:tr w:rsidR="00E579F2" w14:paraId="057184D4" w14:textId="77777777">
        <w:trPr>
          <w:jc w:val="center"/>
        </w:trPr>
        <w:tc>
          <w:tcPr>
            <w:tcW w:w="4723" w:type="dxa"/>
            <w:tcBorders>
              <w:top w:val="nil"/>
              <w:left w:val="nil"/>
              <w:bottom w:val="nil"/>
              <w:right w:val="nil"/>
            </w:tcBorders>
            <w:tcMar>
              <w:top w:w="38" w:type="dxa"/>
              <w:left w:w="60" w:type="dxa"/>
              <w:bottom w:w="38" w:type="dxa"/>
              <w:right w:w="60" w:type="dxa"/>
            </w:tcMar>
            <w:vAlign w:val="center"/>
          </w:tcPr>
          <w:p w14:paraId="2D00AC18" w14:textId="77777777" w:rsidR="00E579F2" w:rsidRDefault="00FC5553">
            <w:pPr>
              <w:tabs>
                <w:tab w:val="right" w:leader="dot" w:pos="4320"/>
                <w:tab w:val="right" w:leader="dot" w:pos="4320"/>
              </w:tabs>
              <w:spacing w:after="0" w:line="240" w:lineRule="auto"/>
              <w:rPr>
                <w:rFonts w:hint="eastAsia"/>
              </w:rPr>
            </w:pPr>
            <w:r>
              <w:rPr>
                <w:sz w:val="16"/>
              </w:rPr>
              <w:t>Interoperable world simulation</w:t>
            </w:r>
            <w:r>
              <w:tab/>
            </w:r>
            <w:r>
              <w:rPr>
                <w:color w:val="2A7F8E"/>
                <w:sz w:val="16"/>
              </w:rPr>
              <w:t>18, 26</w:t>
            </w:r>
          </w:p>
        </w:tc>
        <w:tc>
          <w:tcPr>
            <w:tcW w:w="4723" w:type="dxa"/>
            <w:tcBorders>
              <w:top w:val="nil"/>
              <w:left w:val="nil"/>
              <w:bottom w:val="nil"/>
              <w:right w:val="nil"/>
            </w:tcBorders>
            <w:tcMar>
              <w:top w:w="38" w:type="dxa"/>
              <w:left w:w="60" w:type="dxa"/>
              <w:bottom w:w="38" w:type="dxa"/>
              <w:right w:w="60" w:type="dxa"/>
            </w:tcMar>
            <w:vAlign w:val="center"/>
          </w:tcPr>
          <w:p w14:paraId="0DD6D336" w14:textId="77777777" w:rsidR="00E579F2" w:rsidRDefault="00FC5553">
            <w:pPr>
              <w:tabs>
                <w:tab w:val="right" w:leader="dot" w:pos="4320"/>
                <w:tab w:val="right" w:leader="dot" w:pos="4320"/>
              </w:tabs>
              <w:spacing w:after="0" w:line="240" w:lineRule="auto"/>
              <w:rPr>
                <w:rFonts w:hint="eastAsia"/>
              </w:rPr>
            </w:pPr>
            <w:r>
              <w:rPr>
                <w:sz w:val="16"/>
              </w:rPr>
              <w:t>Typed Delta</w:t>
            </w:r>
            <w:r>
              <w:tab/>
            </w:r>
            <w:r>
              <w:rPr>
                <w:color w:val="2A7F8E"/>
                <w:sz w:val="16"/>
              </w:rPr>
              <w:t>10-11, 13, 26</w:t>
            </w:r>
          </w:p>
        </w:tc>
      </w:tr>
      <w:tr w:rsidR="00E579F2" w14:paraId="74D588D5" w14:textId="77777777">
        <w:trPr>
          <w:jc w:val="center"/>
        </w:trPr>
        <w:tc>
          <w:tcPr>
            <w:tcW w:w="4723" w:type="dxa"/>
            <w:tcBorders>
              <w:top w:val="nil"/>
              <w:left w:val="nil"/>
              <w:bottom w:val="nil"/>
              <w:right w:val="nil"/>
            </w:tcBorders>
            <w:tcMar>
              <w:top w:w="38" w:type="dxa"/>
              <w:left w:w="60" w:type="dxa"/>
              <w:bottom w:w="38" w:type="dxa"/>
              <w:right w:w="60" w:type="dxa"/>
            </w:tcMar>
            <w:vAlign w:val="center"/>
          </w:tcPr>
          <w:p w14:paraId="6F01740E" w14:textId="77777777" w:rsidR="00E579F2" w:rsidRDefault="00FC5553">
            <w:pPr>
              <w:tabs>
                <w:tab w:val="right" w:leader="dot" w:pos="4320"/>
                <w:tab w:val="right" w:leader="dot" w:pos="4320"/>
              </w:tabs>
              <w:spacing w:after="0" w:line="240" w:lineRule="auto"/>
              <w:rPr>
                <w:rFonts w:hint="eastAsia"/>
              </w:rPr>
            </w:pPr>
            <w:r>
              <w:rPr>
                <w:sz w:val="16"/>
              </w:rPr>
              <w:t>Kernel Instance</w:t>
            </w:r>
            <w:r>
              <w:tab/>
            </w:r>
            <w:r>
              <w:rPr>
                <w:color w:val="2A7F8E"/>
                <w:sz w:val="16"/>
              </w:rPr>
              <w:t>5-6</w:t>
            </w:r>
          </w:p>
        </w:tc>
        <w:tc>
          <w:tcPr>
            <w:tcW w:w="4723" w:type="dxa"/>
            <w:tcBorders>
              <w:top w:val="nil"/>
              <w:left w:val="nil"/>
              <w:bottom w:val="nil"/>
              <w:right w:val="nil"/>
            </w:tcBorders>
            <w:tcMar>
              <w:top w:w="38" w:type="dxa"/>
              <w:left w:w="60" w:type="dxa"/>
              <w:bottom w:w="38" w:type="dxa"/>
              <w:right w:w="60" w:type="dxa"/>
            </w:tcMar>
            <w:vAlign w:val="center"/>
          </w:tcPr>
          <w:p w14:paraId="25CE4263" w14:textId="77777777" w:rsidR="00E579F2" w:rsidRDefault="00FC5553">
            <w:pPr>
              <w:tabs>
                <w:tab w:val="right" w:leader="dot" w:pos="4320"/>
                <w:tab w:val="right" w:leader="dot" w:pos="4320"/>
              </w:tabs>
              <w:spacing w:after="0" w:line="240" w:lineRule="auto"/>
              <w:rPr>
                <w:rFonts w:hint="eastAsia"/>
              </w:rPr>
            </w:pPr>
            <w:r>
              <w:rPr>
                <w:sz w:val="16"/>
              </w:rPr>
              <w:t>Units and basis</w:t>
            </w:r>
            <w:r>
              <w:tab/>
            </w:r>
            <w:r>
              <w:rPr>
                <w:color w:val="2A7F8E"/>
                <w:sz w:val="16"/>
              </w:rPr>
              <w:t>7, 9, 11, 18, 21-23</w:t>
            </w:r>
          </w:p>
        </w:tc>
      </w:tr>
      <w:tr w:rsidR="00E579F2" w14:paraId="7CA2A367" w14:textId="77777777">
        <w:trPr>
          <w:jc w:val="center"/>
        </w:trPr>
        <w:tc>
          <w:tcPr>
            <w:tcW w:w="4723" w:type="dxa"/>
            <w:tcBorders>
              <w:top w:val="nil"/>
              <w:left w:val="nil"/>
              <w:bottom w:val="nil"/>
              <w:right w:val="nil"/>
            </w:tcBorders>
            <w:tcMar>
              <w:top w:w="38" w:type="dxa"/>
              <w:left w:w="60" w:type="dxa"/>
              <w:bottom w:w="38" w:type="dxa"/>
              <w:right w:w="60" w:type="dxa"/>
            </w:tcMar>
            <w:vAlign w:val="center"/>
          </w:tcPr>
          <w:p w14:paraId="3EEF4E69" w14:textId="77777777" w:rsidR="00E579F2" w:rsidRDefault="00FC5553">
            <w:pPr>
              <w:tabs>
                <w:tab w:val="right" w:leader="dot" w:pos="4320"/>
                <w:tab w:val="right" w:leader="dot" w:pos="4320"/>
              </w:tabs>
              <w:spacing w:after="0" w:line="240" w:lineRule="auto"/>
              <w:rPr>
                <w:rFonts w:hint="eastAsia"/>
              </w:rPr>
            </w:pPr>
            <w:r>
              <w:rPr>
                <w:sz w:val="16"/>
              </w:rPr>
              <w:t>Local source</w:t>
            </w:r>
            <w:r>
              <w:tab/>
            </w:r>
            <w:r>
              <w:rPr>
                <w:color w:val="2A7F8E"/>
                <w:sz w:val="16"/>
              </w:rPr>
              <w:t>10</w:t>
            </w:r>
          </w:p>
        </w:tc>
        <w:tc>
          <w:tcPr>
            <w:tcW w:w="4723" w:type="dxa"/>
            <w:tcBorders>
              <w:top w:val="nil"/>
              <w:left w:val="nil"/>
              <w:bottom w:val="nil"/>
              <w:right w:val="nil"/>
            </w:tcBorders>
            <w:tcMar>
              <w:top w:w="38" w:type="dxa"/>
              <w:left w:w="60" w:type="dxa"/>
              <w:bottom w:w="38" w:type="dxa"/>
              <w:right w:w="60" w:type="dxa"/>
            </w:tcMar>
            <w:vAlign w:val="center"/>
          </w:tcPr>
          <w:p w14:paraId="7D9FF5B9" w14:textId="77777777" w:rsidR="00E579F2" w:rsidRDefault="00FC5553">
            <w:pPr>
              <w:tabs>
                <w:tab w:val="right" w:leader="dot" w:pos="4320"/>
                <w:tab w:val="right" w:leader="dot" w:pos="4320"/>
              </w:tabs>
              <w:spacing w:after="0" w:line="240" w:lineRule="auto"/>
              <w:rPr>
                <w:rFonts w:hint="eastAsia"/>
              </w:rPr>
            </w:pPr>
            <w:r>
              <w:rPr>
                <w:sz w:val="16"/>
              </w:rPr>
              <w:t>Versioning and evolution</w:t>
            </w:r>
            <w:r>
              <w:tab/>
            </w:r>
            <w:r>
              <w:rPr>
                <w:color w:val="2A7F8E"/>
                <w:sz w:val="16"/>
              </w:rPr>
              <w:t>7, 23-24</w:t>
            </w:r>
          </w:p>
        </w:tc>
      </w:tr>
      <w:tr w:rsidR="00E579F2" w14:paraId="03069947" w14:textId="77777777">
        <w:trPr>
          <w:jc w:val="center"/>
        </w:trPr>
        <w:tc>
          <w:tcPr>
            <w:tcW w:w="4723" w:type="dxa"/>
            <w:tcBorders>
              <w:top w:val="nil"/>
              <w:left w:val="nil"/>
              <w:bottom w:val="nil"/>
              <w:right w:val="nil"/>
            </w:tcBorders>
            <w:tcMar>
              <w:top w:w="38" w:type="dxa"/>
              <w:left w:w="60" w:type="dxa"/>
              <w:bottom w:w="38" w:type="dxa"/>
              <w:right w:w="60" w:type="dxa"/>
            </w:tcMar>
            <w:vAlign w:val="center"/>
          </w:tcPr>
          <w:p w14:paraId="0663A786" w14:textId="77777777" w:rsidR="00E579F2" w:rsidRDefault="00FC5553">
            <w:pPr>
              <w:tabs>
                <w:tab w:val="right" w:leader="dot" w:pos="4320"/>
                <w:tab w:val="right" w:leader="dot" w:pos="4320"/>
              </w:tabs>
              <w:spacing w:after="0" w:line="240" w:lineRule="auto"/>
              <w:rPr>
                <w:rFonts w:hint="eastAsia"/>
              </w:rPr>
            </w:pPr>
            <w:r>
              <w:rPr>
                <w:sz w:val="16"/>
              </w:rPr>
              <w:t>Machining-to-culinary chain</w:t>
            </w:r>
            <w:r>
              <w:tab/>
            </w:r>
            <w:r>
              <w:rPr>
                <w:color w:val="2A7F8E"/>
                <w:sz w:val="16"/>
              </w:rPr>
              <w:t>17-18</w:t>
            </w:r>
          </w:p>
        </w:tc>
        <w:tc>
          <w:tcPr>
            <w:tcW w:w="4723" w:type="dxa"/>
            <w:tcBorders>
              <w:top w:val="nil"/>
              <w:left w:val="nil"/>
              <w:bottom w:val="nil"/>
              <w:right w:val="nil"/>
            </w:tcBorders>
            <w:tcMar>
              <w:top w:w="38" w:type="dxa"/>
              <w:left w:w="60" w:type="dxa"/>
              <w:bottom w:w="38" w:type="dxa"/>
              <w:right w:w="60" w:type="dxa"/>
            </w:tcMar>
            <w:vAlign w:val="center"/>
          </w:tcPr>
          <w:p w14:paraId="381E71F5" w14:textId="77777777" w:rsidR="00E579F2" w:rsidRDefault="00FC5553">
            <w:pPr>
              <w:tabs>
                <w:tab w:val="right" w:leader="dot" w:pos="4320"/>
                <w:tab w:val="right" w:leader="dot" w:pos="4320"/>
              </w:tabs>
              <w:spacing w:after="0" w:line="240" w:lineRule="auto"/>
              <w:rPr>
                <w:rFonts w:hint="eastAsia"/>
              </w:rPr>
            </w:pPr>
            <w:r>
              <w:rPr>
                <w:sz w:val="16"/>
              </w:rPr>
              <w:t>Word Family</w:t>
            </w:r>
            <w:r>
              <w:tab/>
            </w:r>
            <w:r>
              <w:rPr>
                <w:color w:val="2A7F8E"/>
                <w:sz w:val="16"/>
              </w:rPr>
              <w:t>6-7, 24</w:t>
            </w:r>
          </w:p>
        </w:tc>
      </w:tr>
      <w:tr w:rsidR="00E579F2" w14:paraId="00780B75" w14:textId="77777777">
        <w:trPr>
          <w:jc w:val="center"/>
        </w:trPr>
        <w:tc>
          <w:tcPr>
            <w:tcW w:w="4723" w:type="dxa"/>
            <w:tcBorders>
              <w:top w:val="nil"/>
              <w:left w:val="nil"/>
              <w:bottom w:val="nil"/>
              <w:right w:val="nil"/>
            </w:tcBorders>
            <w:tcMar>
              <w:top w:w="38" w:type="dxa"/>
              <w:left w:w="60" w:type="dxa"/>
              <w:bottom w:w="38" w:type="dxa"/>
              <w:right w:w="60" w:type="dxa"/>
            </w:tcMar>
            <w:vAlign w:val="center"/>
          </w:tcPr>
          <w:p w14:paraId="2F32E108" w14:textId="77777777" w:rsidR="00E579F2" w:rsidRDefault="00FC5553">
            <w:pPr>
              <w:tabs>
                <w:tab w:val="right" w:leader="dot" w:pos="4320"/>
                <w:tab w:val="right" w:leader="dot" w:pos="4320"/>
              </w:tabs>
              <w:spacing w:after="0" w:line="240" w:lineRule="auto"/>
              <w:rPr>
                <w:rFonts w:hint="eastAsia"/>
              </w:rPr>
            </w:pPr>
            <w:r>
              <w:rPr>
                <w:sz w:val="16"/>
              </w:rPr>
              <w:t>Model</w:t>
            </w:r>
            <w:r>
              <w:tab/>
            </w:r>
            <w:r>
              <w:rPr>
                <w:color w:val="2A7F8E"/>
                <w:sz w:val="16"/>
              </w:rPr>
              <w:t>6, 8-10, 12, 15-20, 25-26</w:t>
            </w:r>
          </w:p>
        </w:tc>
        <w:tc>
          <w:tcPr>
            <w:tcW w:w="4723" w:type="dxa"/>
            <w:tcBorders>
              <w:top w:val="nil"/>
              <w:left w:val="nil"/>
              <w:bottom w:val="nil"/>
              <w:right w:val="nil"/>
            </w:tcBorders>
            <w:tcMar>
              <w:top w:w="38" w:type="dxa"/>
              <w:left w:w="60" w:type="dxa"/>
              <w:bottom w:w="38" w:type="dxa"/>
              <w:right w:w="60" w:type="dxa"/>
            </w:tcMar>
            <w:vAlign w:val="center"/>
          </w:tcPr>
          <w:p w14:paraId="4DEFB824" w14:textId="77777777" w:rsidR="00E579F2" w:rsidRDefault="00FC5553">
            <w:pPr>
              <w:tabs>
                <w:tab w:val="right" w:leader="dot" w:pos="4320"/>
                <w:tab w:val="right" w:leader="dot" w:pos="4320"/>
              </w:tabs>
              <w:spacing w:after="0" w:line="240" w:lineRule="auto"/>
              <w:rPr>
                <w:rFonts w:hint="eastAsia"/>
              </w:rPr>
            </w:pPr>
            <w:r>
              <w:rPr>
                <w:sz w:val="16"/>
              </w:rPr>
              <w:t>Workout progression</w:t>
            </w:r>
            <w:r>
              <w:tab/>
            </w:r>
            <w:r>
              <w:rPr>
                <w:color w:val="2A7F8E"/>
                <w:sz w:val="16"/>
              </w:rPr>
              <w:t>16-17, 20</w:t>
            </w:r>
          </w:p>
        </w:tc>
      </w:tr>
    </w:tbl>
    <w:p w14:paraId="185C3AD5" w14:textId="77777777" w:rsidR="00FC5553" w:rsidRDefault="00FC5553"/>
    <w:sectPr w:rsidR="00000000" w:rsidSect="00034616">
      <w:footerReference w:type="default" r:id="rId8"/>
      <w:pgSz w:w="12240" w:h="15840"/>
      <w:pgMar w:top="1037" w:right="1224" w:bottom="1037" w:left="1224" w:header="432" w:footer="50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70CD87" w14:textId="77777777" w:rsidR="00FC5553" w:rsidRDefault="00FC5553">
      <w:pPr>
        <w:spacing w:after="0" w:line="240" w:lineRule="auto"/>
        <w:rPr>
          <w:rFonts w:hint="eastAsia"/>
        </w:rPr>
      </w:pPr>
      <w:r>
        <w:separator/>
      </w:r>
    </w:p>
  </w:endnote>
  <w:endnote w:type="continuationSeparator" w:id="0">
    <w:p w14:paraId="55F0387E" w14:textId="77777777" w:rsidR="00FC5553" w:rsidRDefault="00FC5553">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Inter">
    <w:altName w:val="Noto Serif Yezidi"/>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Liberation Mono">
    <w:altName w:val="Noto Serif Yezidi"/>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BF631" w14:textId="77777777" w:rsidR="00E579F2" w:rsidRDefault="00E579F2">
    <w:pPr>
      <w:pStyle w:val="Footer"/>
      <w:rPr>
        <w:rFonts w:hint="eastAsia"/>
      </w:rPr>
    </w:pPr>
  </w:p>
  <w:tbl>
    <w:tblPr>
      <w:tblW w:w="0" w:type="auto"/>
      <w:jc w:val="center"/>
      <w:tblLook w:val="04A0" w:firstRow="1" w:lastRow="0" w:firstColumn="1" w:lastColumn="0" w:noHBand="0" w:noVBand="1"/>
    </w:tblPr>
    <w:tblGrid>
      <w:gridCol w:w="1920"/>
      <w:gridCol w:w="6004"/>
      <w:gridCol w:w="1908"/>
    </w:tblGrid>
    <w:tr w:rsidR="00E579F2" w14:paraId="1EB59E86" w14:textId="77777777">
      <w:trPr>
        <w:jc w:val="center"/>
      </w:trPr>
      <w:tc>
        <w:tcPr>
          <w:tcW w:w="1944" w:type="dxa"/>
          <w:tcBorders>
            <w:top w:val="nil"/>
            <w:left w:val="nil"/>
            <w:bottom w:val="nil"/>
            <w:right w:val="nil"/>
          </w:tcBorders>
          <w:tcMar>
            <w:top w:w="20" w:type="dxa"/>
            <w:left w:w="20" w:type="dxa"/>
            <w:bottom w:w="20" w:type="dxa"/>
            <w:right w:w="20" w:type="dxa"/>
          </w:tcMar>
        </w:tcPr>
        <w:p w14:paraId="6220A31F" w14:textId="77777777" w:rsidR="00E579F2" w:rsidRDefault="00FC5553">
          <w:pPr>
            <w:rPr>
              <w:rFonts w:hint="eastAsia"/>
            </w:rPr>
          </w:pPr>
          <w:r>
            <w:rPr>
              <w:b/>
              <w:color w:val="2A7F8E"/>
              <w:sz w:val="16"/>
            </w:rPr>
            <w:t>CERBERUS</w:t>
          </w:r>
        </w:p>
      </w:tc>
      <w:tc>
        <w:tcPr>
          <w:tcW w:w="6120" w:type="dxa"/>
          <w:tcBorders>
            <w:top w:val="nil"/>
            <w:left w:val="nil"/>
            <w:bottom w:val="nil"/>
            <w:right w:val="nil"/>
          </w:tcBorders>
          <w:tcMar>
            <w:top w:w="20" w:type="dxa"/>
            <w:left w:w="20" w:type="dxa"/>
            <w:bottom w:w="20" w:type="dxa"/>
            <w:right w:w="20" w:type="dxa"/>
          </w:tcMar>
        </w:tcPr>
        <w:p w14:paraId="191EB6A1" w14:textId="77777777" w:rsidR="00E579F2" w:rsidRDefault="00FC5553">
          <w:pPr>
            <w:spacing w:after="0"/>
            <w:jc w:val="center"/>
            <w:rPr>
              <w:rFonts w:hint="eastAsia"/>
            </w:rPr>
          </w:pPr>
          <w:r>
            <w:rPr>
              <w:color w:val="5D6B78"/>
              <w:sz w:val="15"/>
            </w:rPr>
            <w:t>Self-Contained Bitstate Parameterization v1.0</w:t>
          </w:r>
        </w:p>
      </w:tc>
      <w:tc>
        <w:tcPr>
          <w:tcW w:w="1944" w:type="dxa"/>
          <w:tcBorders>
            <w:top w:val="nil"/>
            <w:left w:val="nil"/>
            <w:bottom w:val="nil"/>
            <w:right w:val="nil"/>
          </w:tcBorders>
          <w:tcMar>
            <w:top w:w="20" w:type="dxa"/>
            <w:left w:w="20" w:type="dxa"/>
            <w:bottom w:w="20" w:type="dxa"/>
            <w:right w:w="20" w:type="dxa"/>
          </w:tcMar>
        </w:tcPr>
        <w:p w14:paraId="4A50F436" w14:textId="77777777" w:rsidR="00E579F2" w:rsidRDefault="00FC5553">
          <w:pPr>
            <w:jc w:val="right"/>
            <w:rPr>
              <w:rFonts w:hint="eastAsia"/>
            </w:rPr>
          </w:pPr>
          <w:r>
            <w:rPr>
              <w:color w:val="5D6B78"/>
              <w:sz w:val="16"/>
            </w:rPr>
            <w:t xml:space="preserve">Page </w:t>
          </w:r>
          <w:r>
            <w:rPr>
              <w:color w:val="5D6B78"/>
              <w:sz w:val="17"/>
            </w:rPr>
            <w:fldChar w:fldCharType="begin"/>
          </w:r>
          <w:r>
            <w:rPr>
              <w:color w:val="5D6B78"/>
              <w:sz w:val="17"/>
            </w:rPr>
            <w:instrText xml:space="preserve"> PAGE </w:instrText>
          </w:r>
          <w:r>
            <w:rPr>
              <w:color w:val="5D6B78"/>
              <w:sz w:val="17"/>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8262AC" w14:textId="77777777" w:rsidR="00FC5553" w:rsidRDefault="00FC5553">
      <w:pPr>
        <w:spacing w:after="0" w:line="240" w:lineRule="auto"/>
        <w:rPr>
          <w:rFonts w:hint="eastAsia"/>
        </w:rPr>
      </w:pPr>
      <w:r>
        <w:separator/>
      </w:r>
    </w:p>
  </w:footnote>
  <w:footnote w:type="continuationSeparator" w:id="0">
    <w:p w14:paraId="16324219" w14:textId="77777777" w:rsidR="00FC5553" w:rsidRDefault="00FC5553">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174805783">
    <w:abstractNumId w:val="8"/>
  </w:num>
  <w:num w:numId="2" w16cid:durableId="908659222">
    <w:abstractNumId w:val="6"/>
  </w:num>
  <w:num w:numId="3" w16cid:durableId="830802096">
    <w:abstractNumId w:val="5"/>
  </w:num>
  <w:num w:numId="4" w16cid:durableId="155154928">
    <w:abstractNumId w:val="4"/>
  </w:num>
  <w:num w:numId="5" w16cid:durableId="883758977">
    <w:abstractNumId w:val="7"/>
  </w:num>
  <w:num w:numId="6" w16cid:durableId="1151290944">
    <w:abstractNumId w:val="3"/>
  </w:num>
  <w:num w:numId="7" w16cid:durableId="1951088708">
    <w:abstractNumId w:val="2"/>
  </w:num>
  <w:num w:numId="8" w16cid:durableId="1769111497">
    <w:abstractNumId w:val="1"/>
  </w:num>
  <w:num w:numId="9" w16cid:durableId="15843352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64DF7"/>
    <w:rsid w:val="0015074B"/>
    <w:rsid w:val="0029639D"/>
    <w:rsid w:val="00326F90"/>
    <w:rsid w:val="00AA1D8D"/>
    <w:rsid w:val="00B47730"/>
    <w:rsid w:val="00CB0664"/>
    <w:rsid w:val="00E579F2"/>
    <w:rsid w:val="00FC555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4DB31F1"/>
  <w14:defaultImageDpi w14:val="300"/>
  <w15:docId w15:val="{59C8A25A-6701-1C40-BDAB-C9D392FFC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71" w:lineRule="auto"/>
    </w:pPr>
    <w:rPr>
      <w:rFonts w:ascii="Inter" w:hAnsi="Inter"/>
      <w:color w:val="18232E"/>
      <w:sz w:val="20"/>
    </w:rPr>
  </w:style>
  <w:style w:type="paragraph" w:styleId="Heading1">
    <w:name w:val="heading 1"/>
    <w:basedOn w:val="Normal"/>
    <w:next w:val="Normal"/>
    <w:link w:val="Heading1Char"/>
    <w:uiPriority w:val="9"/>
    <w:qFormat/>
    <w:rsid w:val="00FC693F"/>
    <w:pPr>
      <w:keepNext/>
      <w:keepLines/>
      <w:spacing w:before="320" w:after="160"/>
      <w:outlineLvl w:val="0"/>
    </w:pPr>
    <w:rPr>
      <w:rFonts w:asciiTheme="majorHAnsi" w:eastAsiaTheme="majorEastAsia" w:hAnsiTheme="majorHAnsi" w:cstheme="majorBidi"/>
      <w:b/>
      <w:bCs/>
      <w:color w:val="17324D"/>
      <w:sz w:val="36"/>
      <w:szCs w:val="28"/>
    </w:rPr>
  </w:style>
  <w:style w:type="paragraph" w:styleId="Heading2">
    <w:name w:val="heading 2"/>
    <w:basedOn w:val="Normal"/>
    <w:next w:val="Normal"/>
    <w:link w:val="Heading2Char"/>
    <w:uiPriority w:val="9"/>
    <w:unhideWhenUsed/>
    <w:qFormat/>
    <w:rsid w:val="00FC693F"/>
    <w:pPr>
      <w:keepNext/>
      <w:keepLines/>
      <w:spacing w:before="240" w:after="100"/>
      <w:outlineLvl w:val="1"/>
    </w:pPr>
    <w:rPr>
      <w:rFonts w:asciiTheme="majorHAnsi" w:eastAsiaTheme="majorEastAsia" w:hAnsiTheme="majorHAnsi" w:cstheme="majorBidi"/>
      <w:b/>
      <w:bCs/>
      <w:color w:val="2A7F8E"/>
      <w:sz w:val="27"/>
      <w:szCs w:val="26"/>
    </w:rPr>
  </w:style>
  <w:style w:type="paragraph" w:styleId="Heading3">
    <w:name w:val="heading 3"/>
    <w:basedOn w:val="Normal"/>
    <w:next w:val="Normal"/>
    <w:link w:val="Heading3Char"/>
    <w:uiPriority w:val="9"/>
    <w:unhideWhenUsed/>
    <w:qFormat/>
    <w:rsid w:val="00FC693F"/>
    <w:pPr>
      <w:keepNext/>
      <w:keepLines/>
      <w:spacing w:before="180" w:after="60"/>
      <w:outlineLvl w:val="2"/>
    </w:pPr>
    <w:rPr>
      <w:rFonts w:asciiTheme="majorHAnsi" w:eastAsiaTheme="majorEastAsia" w:hAnsiTheme="majorHAnsi" w:cstheme="majorBidi"/>
      <w:b/>
      <w:bCs/>
      <w:color w:val="17324D"/>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spacing w:after="240" w:line="240" w:lineRule="auto"/>
      <w:contextualSpacing/>
    </w:pPr>
    <w:rPr>
      <w:rFonts w:asciiTheme="majorHAnsi" w:eastAsiaTheme="majorEastAsia" w:hAnsiTheme="majorHAnsi" w:cstheme="majorBidi"/>
      <w:b/>
      <w:color w:val="17324D"/>
      <w:spacing w:val="5"/>
      <w:kern w:val="28"/>
      <w:sz w:val="5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keepNext/>
      <w:numPr>
        <w:ilvl w:val="1"/>
      </w:numPr>
      <w:spacing w:after="240"/>
    </w:pPr>
    <w:rPr>
      <w:rFonts w:asciiTheme="majorHAnsi" w:eastAsiaTheme="majorEastAsia" w:hAnsiTheme="majorHAnsi" w:cstheme="majorBidi"/>
      <w:i/>
      <w:iCs/>
      <w:color w:val="5D6B78"/>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Kicker">
    <w:name w:val="Kicker"/>
    <w:pPr>
      <w:spacing w:after="80" w:line="259" w:lineRule="auto"/>
    </w:pPr>
    <w:rPr>
      <w:rFonts w:ascii="Inter" w:hAnsi="Inter"/>
      <w:b/>
      <w:color w:val="2A7F8E"/>
      <w:sz w:val="18"/>
    </w:rPr>
  </w:style>
  <w:style w:type="paragraph" w:customStyle="1" w:styleId="Small">
    <w:name w:val="Small"/>
    <w:pPr>
      <w:spacing w:after="80" w:line="259" w:lineRule="auto"/>
    </w:pPr>
    <w:rPr>
      <w:rFonts w:ascii="Inter" w:hAnsi="Inter"/>
      <w:color w:val="5D6B78"/>
      <w:sz w:val="17"/>
    </w:rPr>
  </w:style>
  <w:style w:type="paragraph" w:customStyle="1" w:styleId="FigureCaption">
    <w:name w:val="Figure Caption"/>
    <w:pPr>
      <w:keepNext/>
      <w:spacing w:after="80" w:line="259" w:lineRule="auto"/>
    </w:pPr>
    <w:rPr>
      <w:rFonts w:ascii="Inter" w:hAnsi="Inter"/>
      <w:b/>
      <w:color w:val="5D6B78"/>
      <w:sz w:val="17"/>
    </w:rPr>
  </w:style>
  <w:style w:type="paragraph" w:customStyle="1" w:styleId="CodeBlock">
    <w:name w:val="CodeBlock"/>
    <w:pPr>
      <w:keepLines/>
      <w:spacing w:after="80" w:line="259" w:lineRule="auto"/>
    </w:pPr>
    <w:rPr>
      <w:rFonts w:ascii="Liberation Mono" w:hAnsi="Liberation Mono"/>
      <w:color w:val="18232E"/>
      <w:sz w:val="17"/>
    </w:rPr>
  </w:style>
  <w:style w:type="paragraph" w:customStyle="1" w:styleId="CalloutTitle">
    <w:name w:val="CalloutTitle"/>
    <w:pPr>
      <w:spacing w:after="80" w:line="259" w:lineRule="auto"/>
    </w:pPr>
    <w:rPr>
      <w:rFonts w:ascii="Inter" w:hAnsi="Inter"/>
      <w:b/>
      <w:color w:val="17324D"/>
      <w:sz w:val="20"/>
    </w:rPr>
  </w:style>
  <w:style w:type="paragraph" w:customStyle="1" w:styleId="IndexEntry">
    <w:name w:val="IndexEntry"/>
    <w:pPr>
      <w:spacing w:after="80" w:line="259" w:lineRule="auto"/>
    </w:pPr>
    <w:rPr>
      <w:rFonts w:ascii="Inter" w:hAnsi="Inter"/>
      <w:color w:val="18232E"/>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8468</Words>
  <Characters>48274</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56629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Self-Contained Bitstate Parameterization</dc:title>
  <dc:subject>Formal Specification for ModelKey-Extended Semantic Kernels and Semantic Chaining</dc:subject>
  <dc:creator/>
  <cp:keywords>CERBERUS, Semantic Kernel, bitstate, ModelKey, parameterization, operators, rules, semantic chaining</cp:keywords>
  <dc:description/>
  <cp:lastModifiedBy>Shane Conrad</cp:lastModifiedBy>
  <cp:revision>2</cp:revision>
  <dcterms:created xsi:type="dcterms:W3CDTF">2026-08-10T04:18:00Z</dcterms:created>
  <dcterms:modified xsi:type="dcterms:W3CDTF">2026-08-10T04:18:00Z</dcterms:modified>
  <cp:category/>
</cp:coreProperties>
</file>