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A6595" w14:textId="77777777" w:rsidR="00360219" w:rsidRDefault="003015F4">
      <w:pPr>
        <w:spacing w:before="1400"/>
      </w:pPr>
      <w:r>
        <w:rPr>
          <w:b/>
          <w:color w:val="1E5AA8"/>
          <w:sz w:val="30"/>
        </w:rPr>
        <w:t>CERBERUS</w:t>
      </w:r>
    </w:p>
    <w:p w14:paraId="7127EEC6" w14:textId="77777777" w:rsidR="00360219" w:rsidRDefault="003015F4">
      <w:pPr>
        <w:spacing w:before="200" w:after="240" w:line="230" w:lineRule="auto"/>
      </w:pPr>
      <w:r>
        <w:rPr>
          <w:b/>
          <w:color w:val="172033"/>
          <w:sz w:val="62"/>
        </w:rPr>
        <w:t>Sensory Detection,</w:t>
      </w:r>
      <w:r>
        <w:rPr>
          <w:b/>
          <w:color w:val="172033"/>
          <w:sz w:val="62"/>
        </w:rPr>
        <w:br/>
        <w:t>Normalization &amp; Perception</w:t>
      </w:r>
      <w:r>
        <w:rPr>
          <w:b/>
          <w:color w:val="172033"/>
          <w:sz w:val="62"/>
        </w:rPr>
        <w:br/>
        <w:t>Bitmapping Guide</w:t>
      </w:r>
    </w:p>
    <w:p w14:paraId="2400267B" w14:textId="77777777" w:rsidR="00360219" w:rsidRDefault="003015F4">
      <w:pPr>
        <w:spacing w:after="480" w:line="264" w:lineRule="auto"/>
      </w:pPr>
      <w:r>
        <w:rPr>
          <w:color w:val="5B6577"/>
          <w:sz w:val="26"/>
        </w:rPr>
        <w:t>Normalization Tables, Normalized Perception States, Transform Matrix Routing, and Human Semantic Variability</w:t>
      </w:r>
    </w:p>
    <w:tbl>
      <w:tblPr>
        <w:tblW w:w="0" w:type="auto"/>
        <w:jc w:val="center"/>
        <w:tblLayout w:type="fixed"/>
        <w:tblLook w:val="04A0" w:firstRow="1" w:lastRow="0" w:firstColumn="1" w:lastColumn="0" w:noHBand="0" w:noVBand="1"/>
      </w:tblPr>
      <w:tblGrid>
        <w:gridCol w:w="9720"/>
      </w:tblGrid>
      <w:tr w:rsidR="00360219" w14:paraId="0C6F0BEB" w14:textId="77777777">
        <w:trPr>
          <w:cantSplit/>
          <w:jc w:val="center"/>
        </w:trPr>
        <w:tc>
          <w:tcPr>
            <w:tcW w:w="9720" w:type="dxa"/>
            <w:tcBorders>
              <w:top w:val="single" w:sz="16" w:space="0" w:color="1E5AA8"/>
              <w:left w:val="single" w:sz="16" w:space="0" w:color="1E5AA8"/>
              <w:bottom w:val="single" w:sz="16" w:space="0" w:color="1E5AA8"/>
              <w:right w:val="single" w:sz="16" w:space="0" w:color="1E5AA8"/>
            </w:tcBorders>
            <w:shd w:val="clear" w:color="auto" w:fill="EAF1FA"/>
            <w:tcMar>
              <w:top w:w="150" w:type="dxa"/>
              <w:left w:w="170" w:type="dxa"/>
              <w:bottom w:w="150" w:type="dxa"/>
              <w:right w:w="170" w:type="dxa"/>
            </w:tcMar>
          </w:tcPr>
          <w:p w14:paraId="34D0FC99" w14:textId="77777777" w:rsidR="00360219" w:rsidRDefault="003015F4">
            <w:pPr>
              <w:spacing w:after="80" w:line="240" w:lineRule="auto"/>
            </w:pPr>
            <w:r>
              <w:rPr>
                <w:b/>
                <w:color w:val="1E5AA8"/>
                <w:sz w:val="19"/>
              </w:rPr>
              <w:t>CORE SYSTEM STATEMENT</w:t>
            </w:r>
          </w:p>
          <w:p w14:paraId="50775119" w14:textId="77777777" w:rsidR="00360219" w:rsidRDefault="003015F4">
            <w:pPr>
              <w:spacing w:after="0"/>
            </w:pPr>
            <w:r>
              <w:rPr>
                <w:b/>
                <w:color w:val="172033"/>
                <w:sz w:val="21"/>
              </w:rPr>
              <w:t>Any mathematically measurable state may expose a registered Normalization Contract that converts its native quantitative domain into the 0-100 coordinate of a specific Normalized Perception Record. Once normalized, the state can participate in the Transform Matrix and route through registered mathematical relationships into other detectable or expressible perceptions.</w:t>
            </w:r>
          </w:p>
        </w:tc>
      </w:tr>
    </w:tbl>
    <w:p w14:paraId="1B28F610" w14:textId="77777777" w:rsidR="00360219" w:rsidRDefault="00360219">
      <w:pPr>
        <w:spacing w:after="40"/>
      </w:pPr>
    </w:p>
    <w:p w14:paraId="0D74866D" w14:textId="77777777" w:rsidR="00360219" w:rsidRDefault="003015F4">
      <w:pPr>
        <w:spacing w:before="640"/>
      </w:pPr>
      <w:r>
        <w:rPr>
          <w:b/>
          <w:color w:val="5B6577"/>
        </w:rPr>
        <w:t>FORMAL ARCHITECTURE GUIDE</w:t>
      </w:r>
    </w:p>
    <w:p w14:paraId="4A55C96E" w14:textId="77777777" w:rsidR="00360219" w:rsidRDefault="003015F4">
      <w:r>
        <w:rPr>
          <w:b/>
          <w:color w:val="172033"/>
          <w:sz w:val="22"/>
        </w:rPr>
        <w:t>Version v0.1  |  23 August 2026</w:t>
      </w:r>
    </w:p>
    <w:p w14:paraId="581D65E3" w14:textId="77777777" w:rsidR="00360219" w:rsidRDefault="003015F4">
      <w:r>
        <w:rPr>
          <w:i/>
          <w:color w:val="2B7A5E"/>
          <w:sz w:val="22"/>
        </w:rPr>
        <w:t>Short form: Measure locally. Normalize explicitly. Transform commonly. Mask variability.</w:t>
      </w:r>
    </w:p>
    <w:p w14:paraId="7ADAA900" w14:textId="77777777" w:rsidR="00360219" w:rsidRDefault="003015F4">
      <w:r>
        <w:br w:type="page"/>
      </w:r>
    </w:p>
    <w:p w14:paraId="319268A6" w14:textId="77777777" w:rsidR="00360219" w:rsidRDefault="003015F4">
      <w:pPr>
        <w:pStyle w:val="Heading1"/>
        <w:spacing w:before="200" w:after="100" w:line="240" w:lineRule="auto"/>
      </w:pPr>
      <w:r>
        <w:rPr>
          <w:rFonts w:ascii="Arial" w:hAnsi="Arial"/>
        </w:rPr>
        <w:t>Document Control</w:t>
      </w:r>
    </w:p>
    <w:tbl>
      <w:tblPr>
        <w:tblStyle w:val="TableGrid"/>
        <w:tblW w:w="0" w:type="auto"/>
        <w:jc w:val="center"/>
        <w:tblLayout w:type="fixed"/>
        <w:tblLook w:val="04A0" w:firstRow="1" w:lastRow="0" w:firstColumn="1" w:lastColumn="0" w:noHBand="0" w:noVBand="1"/>
      </w:tblPr>
      <w:tblGrid>
        <w:gridCol w:w="2376"/>
        <w:gridCol w:w="7272"/>
      </w:tblGrid>
      <w:tr w:rsidR="00360219" w14:paraId="0CF2A8D6" w14:textId="77777777">
        <w:trPr>
          <w:tblHeader/>
          <w:jc w:val="center"/>
        </w:trPr>
        <w:tc>
          <w:tcPr>
            <w:tcW w:w="2376" w:type="dxa"/>
            <w:shd w:val="clear" w:color="auto" w:fill="172033"/>
            <w:tcMar>
              <w:top w:w="100" w:type="dxa"/>
              <w:left w:w="110" w:type="dxa"/>
              <w:bottom w:w="100" w:type="dxa"/>
              <w:right w:w="110" w:type="dxa"/>
            </w:tcMar>
            <w:vAlign w:val="center"/>
          </w:tcPr>
          <w:p w14:paraId="58C587B0" w14:textId="77777777" w:rsidR="00360219" w:rsidRDefault="003015F4">
            <w:pPr>
              <w:jc w:val="center"/>
            </w:pPr>
            <w:r>
              <w:rPr>
                <w:b/>
                <w:color w:val="FFFFFF"/>
                <w:sz w:val="18"/>
              </w:rPr>
              <w:t>Control</w:t>
            </w:r>
          </w:p>
        </w:tc>
        <w:tc>
          <w:tcPr>
            <w:tcW w:w="7272" w:type="dxa"/>
            <w:shd w:val="clear" w:color="auto" w:fill="172033"/>
            <w:tcMar>
              <w:top w:w="100" w:type="dxa"/>
              <w:left w:w="110" w:type="dxa"/>
              <w:bottom w:w="100" w:type="dxa"/>
              <w:right w:w="110" w:type="dxa"/>
            </w:tcMar>
            <w:vAlign w:val="center"/>
          </w:tcPr>
          <w:p w14:paraId="2CF34D8B" w14:textId="77777777" w:rsidR="00360219" w:rsidRDefault="003015F4">
            <w:pPr>
              <w:jc w:val="center"/>
            </w:pPr>
            <w:r>
              <w:rPr>
                <w:b/>
                <w:color w:val="FFFFFF"/>
                <w:sz w:val="18"/>
              </w:rPr>
              <w:t>Specification</w:t>
            </w:r>
          </w:p>
        </w:tc>
      </w:tr>
      <w:tr w:rsidR="00360219" w14:paraId="5F7DF455" w14:textId="77777777">
        <w:trPr>
          <w:cantSplit/>
          <w:jc w:val="center"/>
        </w:trPr>
        <w:tc>
          <w:tcPr>
            <w:tcW w:w="2376" w:type="dxa"/>
            <w:shd w:val="clear" w:color="auto" w:fill="F4F6F8"/>
            <w:tcMar>
              <w:top w:w="100" w:type="dxa"/>
              <w:left w:w="110" w:type="dxa"/>
              <w:bottom w:w="100" w:type="dxa"/>
              <w:right w:w="110" w:type="dxa"/>
            </w:tcMar>
            <w:vAlign w:val="center"/>
          </w:tcPr>
          <w:p w14:paraId="5443DD54" w14:textId="77777777" w:rsidR="00360219" w:rsidRDefault="003015F4">
            <w:pPr>
              <w:spacing w:after="0" w:line="252" w:lineRule="auto"/>
              <w:jc w:val="center"/>
            </w:pPr>
            <w:r>
              <w:rPr>
                <w:b/>
                <w:color w:val="172033"/>
                <w:sz w:val="18"/>
              </w:rPr>
              <w:t>Specification</w:t>
            </w:r>
          </w:p>
        </w:tc>
        <w:tc>
          <w:tcPr>
            <w:tcW w:w="7272" w:type="dxa"/>
            <w:tcMar>
              <w:top w:w="100" w:type="dxa"/>
              <w:left w:w="110" w:type="dxa"/>
              <w:bottom w:w="100" w:type="dxa"/>
              <w:right w:w="110" w:type="dxa"/>
            </w:tcMar>
            <w:vAlign w:val="center"/>
          </w:tcPr>
          <w:p w14:paraId="4A8EB336" w14:textId="77777777" w:rsidR="00360219" w:rsidRDefault="003015F4">
            <w:pPr>
              <w:spacing w:after="0" w:line="252" w:lineRule="auto"/>
            </w:pPr>
            <w:r>
              <w:rPr>
                <w:color w:val="172033"/>
                <w:sz w:val="18"/>
              </w:rPr>
              <w:t>CERBERUS Sensory Detection, Normalization &amp; Perception Bitmapping Guide</w:t>
            </w:r>
          </w:p>
        </w:tc>
      </w:tr>
      <w:tr w:rsidR="00360219" w14:paraId="2CC842BC" w14:textId="77777777">
        <w:trPr>
          <w:cantSplit/>
          <w:jc w:val="center"/>
        </w:trPr>
        <w:tc>
          <w:tcPr>
            <w:tcW w:w="2376" w:type="dxa"/>
            <w:shd w:val="clear" w:color="auto" w:fill="F4F6F8"/>
            <w:tcMar>
              <w:top w:w="100" w:type="dxa"/>
              <w:left w:w="110" w:type="dxa"/>
              <w:bottom w:w="100" w:type="dxa"/>
              <w:right w:w="110" w:type="dxa"/>
            </w:tcMar>
            <w:vAlign w:val="center"/>
          </w:tcPr>
          <w:p w14:paraId="7E135949" w14:textId="77777777" w:rsidR="00360219" w:rsidRDefault="003015F4">
            <w:pPr>
              <w:spacing w:after="0" w:line="252" w:lineRule="auto"/>
              <w:jc w:val="center"/>
            </w:pPr>
            <w:r>
              <w:rPr>
                <w:b/>
                <w:color w:val="172033"/>
                <w:sz w:val="18"/>
              </w:rPr>
              <w:t>Version</w:t>
            </w:r>
          </w:p>
        </w:tc>
        <w:tc>
          <w:tcPr>
            <w:tcW w:w="7272" w:type="dxa"/>
            <w:tcMar>
              <w:top w:w="100" w:type="dxa"/>
              <w:left w:w="110" w:type="dxa"/>
              <w:bottom w:w="100" w:type="dxa"/>
              <w:right w:w="110" w:type="dxa"/>
            </w:tcMar>
            <w:vAlign w:val="center"/>
          </w:tcPr>
          <w:p w14:paraId="475541C0" w14:textId="77777777" w:rsidR="00360219" w:rsidRDefault="003015F4">
            <w:pPr>
              <w:spacing w:after="0" w:line="252" w:lineRule="auto"/>
            </w:pPr>
            <w:r>
              <w:rPr>
                <w:color w:val="172033"/>
                <w:sz w:val="18"/>
              </w:rPr>
              <w:t>v0.1</w:t>
            </w:r>
          </w:p>
        </w:tc>
      </w:tr>
      <w:tr w:rsidR="00360219" w14:paraId="3853132D" w14:textId="77777777">
        <w:trPr>
          <w:cantSplit/>
          <w:jc w:val="center"/>
        </w:trPr>
        <w:tc>
          <w:tcPr>
            <w:tcW w:w="2376" w:type="dxa"/>
            <w:shd w:val="clear" w:color="auto" w:fill="F4F6F8"/>
            <w:tcMar>
              <w:top w:w="100" w:type="dxa"/>
              <w:left w:w="110" w:type="dxa"/>
              <w:bottom w:w="100" w:type="dxa"/>
              <w:right w:w="110" w:type="dxa"/>
            </w:tcMar>
            <w:vAlign w:val="center"/>
          </w:tcPr>
          <w:p w14:paraId="19B4F3ED" w14:textId="77777777" w:rsidR="00360219" w:rsidRDefault="003015F4">
            <w:pPr>
              <w:spacing w:after="0" w:line="252" w:lineRule="auto"/>
              <w:jc w:val="center"/>
            </w:pPr>
            <w:r>
              <w:rPr>
                <w:b/>
                <w:color w:val="172033"/>
                <w:sz w:val="18"/>
              </w:rPr>
              <w:t>Status</w:t>
            </w:r>
          </w:p>
        </w:tc>
        <w:tc>
          <w:tcPr>
            <w:tcW w:w="7272" w:type="dxa"/>
            <w:tcMar>
              <w:top w:w="100" w:type="dxa"/>
              <w:left w:w="110" w:type="dxa"/>
              <w:bottom w:w="100" w:type="dxa"/>
              <w:right w:w="110" w:type="dxa"/>
            </w:tcMar>
            <w:vAlign w:val="center"/>
          </w:tcPr>
          <w:p w14:paraId="4DFE8577" w14:textId="77777777" w:rsidR="00360219" w:rsidRDefault="003015F4">
            <w:pPr>
              <w:spacing w:after="0" w:line="252" w:lineRule="auto"/>
            </w:pPr>
            <w:r>
              <w:rPr>
                <w:color w:val="172033"/>
                <w:sz w:val="18"/>
              </w:rPr>
              <w:t>Formal architecture guide for implementation and review</w:t>
            </w:r>
          </w:p>
        </w:tc>
      </w:tr>
      <w:tr w:rsidR="00360219" w14:paraId="77B42FA7" w14:textId="77777777">
        <w:trPr>
          <w:cantSplit/>
          <w:jc w:val="center"/>
        </w:trPr>
        <w:tc>
          <w:tcPr>
            <w:tcW w:w="2376" w:type="dxa"/>
            <w:shd w:val="clear" w:color="auto" w:fill="F4F6F8"/>
            <w:tcMar>
              <w:top w:w="100" w:type="dxa"/>
              <w:left w:w="110" w:type="dxa"/>
              <w:bottom w:w="100" w:type="dxa"/>
              <w:right w:w="110" w:type="dxa"/>
            </w:tcMar>
            <w:vAlign w:val="center"/>
          </w:tcPr>
          <w:p w14:paraId="6613833B" w14:textId="77777777" w:rsidR="00360219" w:rsidRDefault="003015F4">
            <w:pPr>
              <w:spacing w:after="0" w:line="252" w:lineRule="auto"/>
              <w:jc w:val="center"/>
            </w:pPr>
            <w:r>
              <w:rPr>
                <w:b/>
                <w:color w:val="172033"/>
                <w:sz w:val="18"/>
              </w:rPr>
              <w:t>System role</w:t>
            </w:r>
          </w:p>
        </w:tc>
        <w:tc>
          <w:tcPr>
            <w:tcW w:w="7272" w:type="dxa"/>
            <w:tcMar>
              <w:top w:w="100" w:type="dxa"/>
              <w:left w:w="110" w:type="dxa"/>
              <w:bottom w:w="100" w:type="dxa"/>
              <w:right w:w="110" w:type="dxa"/>
            </w:tcMar>
            <w:vAlign w:val="center"/>
          </w:tcPr>
          <w:p w14:paraId="159E5F21" w14:textId="77777777" w:rsidR="00360219" w:rsidRDefault="003015F4">
            <w:pPr>
              <w:spacing w:after="0" w:line="252" w:lineRule="auto"/>
            </w:pPr>
            <w:r>
              <w:rPr>
                <w:color w:val="172033"/>
                <w:sz w:val="18"/>
              </w:rPr>
              <w:t>Standardized measurable-state ingress into Normalized Perception Records and Transform Matrix correspondence.</w:t>
            </w:r>
          </w:p>
        </w:tc>
      </w:tr>
      <w:tr w:rsidR="00360219" w14:paraId="17021165" w14:textId="77777777">
        <w:trPr>
          <w:cantSplit/>
          <w:jc w:val="center"/>
        </w:trPr>
        <w:tc>
          <w:tcPr>
            <w:tcW w:w="2376" w:type="dxa"/>
            <w:shd w:val="clear" w:color="auto" w:fill="F4F6F8"/>
            <w:tcMar>
              <w:top w:w="100" w:type="dxa"/>
              <w:left w:w="110" w:type="dxa"/>
              <w:bottom w:w="100" w:type="dxa"/>
              <w:right w:w="110" w:type="dxa"/>
            </w:tcMar>
            <w:vAlign w:val="center"/>
          </w:tcPr>
          <w:p w14:paraId="5695227C" w14:textId="77777777" w:rsidR="00360219" w:rsidRDefault="003015F4">
            <w:pPr>
              <w:spacing w:after="0" w:line="252" w:lineRule="auto"/>
              <w:jc w:val="center"/>
            </w:pPr>
            <w:r>
              <w:rPr>
                <w:b/>
                <w:color w:val="172033"/>
                <w:sz w:val="18"/>
              </w:rPr>
              <w:t>Primary unit</w:t>
            </w:r>
          </w:p>
        </w:tc>
        <w:tc>
          <w:tcPr>
            <w:tcW w:w="7272" w:type="dxa"/>
            <w:tcMar>
              <w:top w:w="100" w:type="dxa"/>
              <w:left w:w="110" w:type="dxa"/>
              <w:bottom w:w="100" w:type="dxa"/>
              <w:right w:w="110" w:type="dxa"/>
            </w:tcMar>
            <w:vAlign w:val="center"/>
          </w:tcPr>
          <w:p w14:paraId="3258E2D0" w14:textId="77777777" w:rsidR="00360219" w:rsidRDefault="003015F4">
            <w:pPr>
              <w:spacing w:after="0" w:line="252" w:lineRule="auto"/>
            </w:pPr>
            <w:r>
              <w:rPr>
                <w:color w:val="172033"/>
                <w:sz w:val="18"/>
              </w:rPr>
              <w:t>One measurable state resolved through one registered Normalization Scale to one Normalized Perception value.</w:t>
            </w:r>
          </w:p>
        </w:tc>
      </w:tr>
      <w:tr w:rsidR="00360219" w14:paraId="3EE6BAB2" w14:textId="77777777">
        <w:trPr>
          <w:cantSplit/>
          <w:jc w:val="center"/>
        </w:trPr>
        <w:tc>
          <w:tcPr>
            <w:tcW w:w="2376" w:type="dxa"/>
            <w:shd w:val="clear" w:color="auto" w:fill="F4F6F8"/>
            <w:tcMar>
              <w:top w:w="100" w:type="dxa"/>
              <w:left w:w="110" w:type="dxa"/>
              <w:bottom w:w="100" w:type="dxa"/>
              <w:right w:w="110" w:type="dxa"/>
            </w:tcMar>
            <w:vAlign w:val="center"/>
          </w:tcPr>
          <w:p w14:paraId="4561FC46" w14:textId="77777777" w:rsidR="00360219" w:rsidRDefault="003015F4">
            <w:pPr>
              <w:spacing w:after="0" w:line="252" w:lineRule="auto"/>
              <w:jc w:val="center"/>
            </w:pPr>
            <w:r>
              <w:rPr>
                <w:b/>
                <w:color w:val="172033"/>
                <w:sz w:val="18"/>
              </w:rPr>
              <w:t>Core output</w:t>
            </w:r>
          </w:p>
        </w:tc>
        <w:tc>
          <w:tcPr>
            <w:tcW w:w="7272" w:type="dxa"/>
            <w:tcMar>
              <w:top w:w="100" w:type="dxa"/>
              <w:left w:w="110" w:type="dxa"/>
              <w:bottom w:w="100" w:type="dxa"/>
              <w:right w:w="110" w:type="dxa"/>
            </w:tcMar>
            <w:vAlign w:val="center"/>
          </w:tcPr>
          <w:p w14:paraId="5B17E631" w14:textId="77777777" w:rsidR="00360219" w:rsidRDefault="003015F4">
            <w:pPr>
              <w:spacing w:after="0" w:line="252" w:lineRule="auto"/>
            </w:pPr>
            <w:r>
              <w:rPr>
                <w:color w:val="172033"/>
                <w:sz w:val="18"/>
              </w:rPr>
              <w:t>Traceable normalized state, Scale/Step state, validity and provenance sufficient for Transform Matrix routing.</w:t>
            </w:r>
          </w:p>
        </w:tc>
      </w:tr>
      <w:tr w:rsidR="00360219" w14:paraId="20E66C6C" w14:textId="77777777">
        <w:trPr>
          <w:cantSplit/>
          <w:jc w:val="center"/>
        </w:trPr>
        <w:tc>
          <w:tcPr>
            <w:tcW w:w="2376" w:type="dxa"/>
            <w:shd w:val="clear" w:color="auto" w:fill="F4F6F8"/>
            <w:tcMar>
              <w:top w:w="100" w:type="dxa"/>
              <w:left w:w="110" w:type="dxa"/>
              <w:bottom w:w="100" w:type="dxa"/>
              <w:right w:w="110" w:type="dxa"/>
            </w:tcMar>
            <w:vAlign w:val="center"/>
          </w:tcPr>
          <w:p w14:paraId="349510C9" w14:textId="77777777" w:rsidR="00360219" w:rsidRDefault="003015F4">
            <w:pPr>
              <w:spacing w:after="0" w:line="252" w:lineRule="auto"/>
              <w:jc w:val="center"/>
            </w:pPr>
            <w:r>
              <w:rPr>
                <w:b/>
                <w:color w:val="172033"/>
                <w:sz w:val="18"/>
              </w:rPr>
              <w:t>Primary design boundary</w:t>
            </w:r>
          </w:p>
        </w:tc>
        <w:tc>
          <w:tcPr>
            <w:tcW w:w="7272" w:type="dxa"/>
            <w:tcMar>
              <w:top w:w="100" w:type="dxa"/>
              <w:left w:w="110" w:type="dxa"/>
              <w:bottom w:w="100" w:type="dxa"/>
              <w:right w:w="110" w:type="dxa"/>
            </w:tcMar>
            <w:vAlign w:val="center"/>
          </w:tcPr>
          <w:p w14:paraId="55B1CBDB" w14:textId="77777777" w:rsidR="00360219" w:rsidRDefault="003015F4">
            <w:pPr>
              <w:spacing w:after="0" w:line="252" w:lineRule="auto"/>
            </w:pPr>
            <w:r>
              <w:rPr>
                <w:color w:val="172033"/>
                <w:sz w:val="18"/>
              </w:rPr>
              <w:t>Normalization Table owns raw-to-normalized ingress. Transform Matrix owns declared normalized correspondence.</w:t>
            </w:r>
          </w:p>
        </w:tc>
      </w:tr>
      <w:tr w:rsidR="00360219" w14:paraId="50EB7511" w14:textId="77777777">
        <w:trPr>
          <w:cantSplit/>
          <w:jc w:val="center"/>
        </w:trPr>
        <w:tc>
          <w:tcPr>
            <w:tcW w:w="2376" w:type="dxa"/>
            <w:shd w:val="clear" w:color="auto" w:fill="F4F6F8"/>
            <w:tcMar>
              <w:top w:w="100" w:type="dxa"/>
              <w:left w:w="110" w:type="dxa"/>
              <w:bottom w:w="100" w:type="dxa"/>
              <w:right w:w="110" w:type="dxa"/>
            </w:tcMar>
            <w:vAlign w:val="center"/>
          </w:tcPr>
          <w:p w14:paraId="42DA393C" w14:textId="77777777" w:rsidR="00360219" w:rsidRDefault="003015F4">
            <w:pPr>
              <w:spacing w:after="0" w:line="252" w:lineRule="auto"/>
              <w:jc w:val="center"/>
            </w:pPr>
            <w:r>
              <w:rPr>
                <w:b/>
                <w:color w:val="172033"/>
                <w:sz w:val="18"/>
              </w:rPr>
              <w:t>Companion architecture</w:t>
            </w:r>
          </w:p>
        </w:tc>
        <w:tc>
          <w:tcPr>
            <w:tcW w:w="7272" w:type="dxa"/>
            <w:tcMar>
              <w:top w:w="100" w:type="dxa"/>
              <w:left w:w="110" w:type="dxa"/>
              <w:bottom w:w="100" w:type="dxa"/>
              <w:right w:w="110" w:type="dxa"/>
            </w:tcMar>
            <w:vAlign w:val="center"/>
          </w:tcPr>
          <w:p w14:paraId="48D29002" w14:textId="77777777" w:rsidR="00360219" w:rsidRDefault="003015F4">
            <w:pPr>
              <w:spacing w:after="0" w:line="252" w:lineRule="auto"/>
            </w:pPr>
            <w:r>
              <w:rPr>
                <w:color w:val="172033"/>
                <w:sz w:val="18"/>
              </w:rPr>
              <w:t>Personal Perceptual Languages / MRMM v1.0; CERBERUS Multimodal Expressive Environments v0.1.</w:t>
            </w:r>
          </w:p>
        </w:tc>
      </w:tr>
    </w:tbl>
    <w:p w14:paraId="73F6ECEE" w14:textId="77777777" w:rsidR="00360219" w:rsidRDefault="00360219">
      <w:pPr>
        <w:spacing w:after="40"/>
      </w:pPr>
    </w:p>
    <w:p w14:paraId="62EC6BE8" w14:textId="77777777" w:rsidR="00360219" w:rsidRDefault="003015F4">
      <w:pPr>
        <w:pStyle w:val="Heading1"/>
        <w:spacing w:before="200" w:after="100" w:line="240" w:lineRule="auto"/>
      </w:pPr>
      <w:r>
        <w:rPr>
          <w:rFonts w:ascii="Arial" w:hAnsi="Arial"/>
        </w:rPr>
        <w:t>Source Basis and Companion Architecture</w:t>
      </w:r>
    </w:p>
    <w:p w14:paraId="22F49074" w14:textId="77777777" w:rsidR="00360219" w:rsidRDefault="003015F4">
      <w:pPr>
        <w:pStyle w:val="BodyText"/>
      </w:pPr>
      <w:r>
        <w:rPr>
          <w:color w:val="172033"/>
        </w:rPr>
        <w:t>This guide extends two existing CERBERUS architectures without replacing them. Personal Perceptual Languages / Mathematical Relationship Modality Modeling (PPL/MRMM) defines explicit, inspectable mappings from canonical data and mathematical relationships into sensory and symbolic modalities. Multimodal Expressive Environments (MEE) defines the governed downstream path from source state and Expression Events through MRMM Projection Contracts into renderers and perceptual scenes.</w:t>
      </w:r>
    </w:p>
    <w:tbl>
      <w:tblPr>
        <w:tblStyle w:val="TableGrid"/>
        <w:tblW w:w="0" w:type="auto"/>
        <w:jc w:val="center"/>
        <w:tblLayout w:type="fixed"/>
        <w:tblLook w:val="04A0" w:firstRow="1" w:lastRow="0" w:firstColumn="1" w:lastColumn="0" w:noHBand="0" w:noVBand="1"/>
      </w:tblPr>
      <w:tblGrid>
        <w:gridCol w:w="3888"/>
        <w:gridCol w:w="5760"/>
      </w:tblGrid>
      <w:tr w:rsidR="00360219" w14:paraId="6E29B984" w14:textId="77777777">
        <w:trPr>
          <w:tblHeader/>
          <w:jc w:val="center"/>
        </w:trPr>
        <w:tc>
          <w:tcPr>
            <w:tcW w:w="3888" w:type="dxa"/>
            <w:shd w:val="clear" w:color="auto" w:fill="172033"/>
            <w:tcMar>
              <w:top w:w="100" w:type="dxa"/>
              <w:left w:w="110" w:type="dxa"/>
              <w:bottom w:w="100" w:type="dxa"/>
              <w:right w:w="110" w:type="dxa"/>
            </w:tcMar>
            <w:vAlign w:val="center"/>
          </w:tcPr>
          <w:p w14:paraId="1B567E92" w14:textId="77777777" w:rsidR="00360219" w:rsidRDefault="003015F4">
            <w:pPr>
              <w:jc w:val="center"/>
            </w:pPr>
            <w:r>
              <w:rPr>
                <w:b/>
                <w:color w:val="FFFFFF"/>
                <w:sz w:val="18"/>
              </w:rPr>
              <w:t>Reference</w:t>
            </w:r>
          </w:p>
        </w:tc>
        <w:tc>
          <w:tcPr>
            <w:tcW w:w="5760" w:type="dxa"/>
            <w:shd w:val="clear" w:color="auto" w:fill="172033"/>
            <w:tcMar>
              <w:top w:w="100" w:type="dxa"/>
              <w:left w:w="110" w:type="dxa"/>
              <w:bottom w:w="100" w:type="dxa"/>
              <w:right w:w="110" w:type="dxa"/>
            </w:tcMar>
            <w:vAlign w:val="center"/>
          </w:tcPr>
          <w:p w14:paraId="60426501" w14:textId="77777777" w:rsidR="00360219" w:rsidRDefault="003015F4">
            <w:pPr>
              <w:jc w:val="center"/>
            </w:pPr>
            <w:r>
              <w:rPr>
                <w:b/>
                <w:color w:val="FFFFFF"/>
                <w:sz w:val="18"/>
              </w:rPr>
              <w:t>Role in this guide</w:t>
            </w:r>
          </w:p>
        </w:tc>
      </w:tr>
      <w:tr w:rsidR="00360219" w14:paraId="7B63F7FD" w14:textId="77777777">
        <w:trPr>
          <w:cantSplit/>
          <w:jc w:val="center"/>
        </w:trPr>
        <w:tc>
          <w:tcPr>
            <w:tcW w:w="3888" w:type="dxa"/>
            <w:shd w:val="clear" w:color="auto" w:fill="F4F6F8"/>
            <w:tcMar>
              <w:top w:w="100" w:type="dxa"/>
              <w:left w:w="110" w:type="dxa"/>
              <w:bottom w:w="100" w:type="dxa"/>
              <w:right w:w="110" w:type="dxa"/>
            </w:tcMar>
            <w:vAlign w:val="center"/>
          </w:tcPr>
          <w:p w14:paraId="51BEFB35" w14:textId="77777777" w:rsidR="00360219" w:rsidRDefault="003015F4">
            <w:pPr>
              <w:spacing w:after="0" w:line="252" w:lineRule="auto"/>
              <w:jc w:val="center"/>
            </w:pPr>
            <w:r>
              <w:rPr>
                <w:b/>
                <w:color w:val="172033"/>
                <w:sz w:val="18"/>
              </w:rPr>
              <w:t>[1] Personal Perceptual Languages: Mathematical Relationship Modality Modeling, v1.0</w:t>
            </w:r>
          </w:p>
        </w:tc>
        <w:tc>
          <w:tcPr>
            <w:tcW w:w="5760" w:type="dxa"/>
            <w:tcMar>
              <w:top w:w="100" w:type="dxa"/>
              <w:left w:w="110" w:type="dxa"/>
              <w:bottom w:w="100" w:type="dxa"/>
              <w:right w:w="110" w:type="dxa"/>
            </w:tcMar>
            <w:vAlign w:val="center"/>
          </w:tcPr>
          <w:p w14:paraId="26B7FCA4" w14:textId="77777777" w:rsidR="00360219" w:rsidRDefault="003015F4">
            <w:pPr>
              <w:spacing w:after="0" w:line="252" w:lineRule="auto"/>
            </w:pPr>
            <w:r>
              <w:rPr>
                <w:color w:val="172033"/>
                <w:sz w:val="18"/>
              </w:rPr>
              <w:t>Supplies the explicit normalization, transform, projection, personalization, accessibility, reversibility, and source-traceability principles that this guide formalizes into a reusable registered 0-100 ingress layer.</w:t>
            </w:r>
          </w:p>
        </w:tc>
      </w:tr>
      <w:tr w:rsidR="00360219" w14:paraId="32869EB6" w14:textId="77777777">
        <w:trPr>
          <w:cantSplit/>
          <w:jc w:val="center"/>
        </w:trPr>
        <w:tc>
          <w:tcPr>
            <w:tcW w:w="3888" w:type="dxa"/>
            <w:shd w:val="clear" w:color="auto" w:fill="F4F6F8"/>
            <w:tcMar>
              <w:top w:w="100" w:type="dxa"/>
              <w:left w:w="110" w:type="dxa"/>
              <w:bottom w:w="100" w:type="dxa"/>
              <w:right w:w="110" w:type="dxa"/>
            </w:tcMar>
            <w:vAlign w:val="center"/>
          </w:tcPr>
          <w:p w14:paraId="452DB200" w14:textId="77777777" w:rsidR="00360219" w:rsidRDefault="003015F4">
            <w:pPr>
              <w:spacing w:after="0" w:line="252" w:lineRule="auto"/>
              <w:jc w:val="center"/>
            </w:pPr>
            <w:r>
              <w:rPr>
                <w:b/>
                <w:color w:val="172033"/>
                <w:sz w:val="18"/>
              </w:rPr>
              <w:t>[2] CERBERUS Multimodal Expressive Environments, Formal Specification v0.1, 15 August 2026</w:t>
            </w:r>
          </w:p>
        </w:tc>
        <w:tc>
          <w:tcPr>
            <w:tcW w:w="5760" w:type="dxa"/>
            <w:tcMar>
              <w:top w:w="100" w:type="dxa"/>
              <w:left w:w="110" w:type="dxa"/>
              <w:bottom w:w="100" w:type="dxa"/>
              <w:right w:w="110" w:type="dxa"/>
            </w:tcMar>
            <w:vAlign w:val="center"/>
          </w:tcPr>
          <w:p w14:paraId="0512850B" w14:textId="77777777" w:rsidR="00360219" w:rsidRDefault="003015F4">
            <w:pPr>
              <w:spacing w:after="0" w:line="252" w:lineRule="auto"/>
            </w:pPr>
            <w:r>
              <w:rPr>
                <w:color w:val="172033"/>
                <w:sz w:val="18"/>
              </w:rPr>
              <w:t>Supplies the source/projection ownership boundary, MRMM Projection Contract role, renderer separation, provenance discipline, hysteresis precedent, failure visibility, accessibility, and actuation boundary.</w:t>
            </w:r>
          </w:p>
        </w:tc>
      </w:tr>
    </w:tbl>
    <w:p w14:paraId="718369EE" w14:textId="77777777" w:rsidR="00360219" w:rsidRDefault="00360219">
      <w:pPr>
        <w:spacing w:after="40"/>
      </w:pPr>
    </w:p>
    <w:tbl>
      <w:tblPr>
        <w:tblW w:w="0" w:type="auto"/>
        <w:jc w:val="center"/>
        <w:tblLayout w:type="fixed"/>
        <w:tblLook w:val="04A0" w:firstRow="1" w:lastRow="0" w:firstColumn="1" w:lastColumn="0" w:noHBand="0" w:noVBand="1"/>
      </w:tblPr>
      <w:tblGrid>
        <w:gridCol w:w="9720"/>
      </w:tblGrid>
      <w:tr w:rsidR="00360219" w14:paraId="61D8158D" w14:textId="77777777">
        <w:trPr>
          <w:cantSplit/>
          <w:jc w:val="center"/>
        </w:trPr>
        <w:tc>
          <w:tcPr>
            <w:tcW w:w="9720" w:type="dxa"/>
            <w:tcBorders>
              <w:top w:val="single" w:sz="16" w:space="0" w:color="2B7A5E"/>
              <w:left w:val="single" w:sz="16" w:space="0" w:color="2B7A5E"/>
              <w:bottom w:val="single" w:sz="16" w:space="0" w:color="2B7A5E"/>
              <w:right w:val="single" w:sz="16" w:space="0" w:color="2B7A5E"/>
            </w:tcBorders>
            <w:shd w:val="clear" w:color="auto" w:fill="EAF5F0"/>
            <w:tcMar>
              <w:top w:w="150" w:type="dxa"/>
              <w:left w:w="170" w:type="dxa"/>
              <w:bottom w:w="150" w:type="dxa"/>
              <w:right w:w="170" w:type="dxa"/>
            </w:tcMar>
          </w:tcPr>
          <w:p w14:paraId="5983CA0B" w14:textId="77777777" w:rsidR="00360219" w:rsidRDefault="003015F4">
            <w:pPr>
              <w:spacing w:after="80" w:line="240" w:lineRule="auto"/>
            </w:pPr>
            <w:r>
              <w:rPr>
                <w:b/>
                <w:color w:val="2B7A5E"/>
                <w:sz w:val="19"/>
              </w:rPr>
              <w:t>FOUNDATIONAL RELATION</w:t>
            </w:r>
          </w:p>
          <w:p w14:paraId="2FEAE821" w14:textId="77777777" w:rsidR="00360219" w:rsidRDefault="003015F4">
            <w:pPr>
              <w:spacing w:after="0"/>
            </w:pPr>
            <w:r>
              <w:rPr>
                <w:b/>
                <w:color w:val="172033"/>
                <w:sz w:val="21"/>
              </w:rPr>
              <w:t>Measured state owns what was measured. A Normalization Scale owns how that state enters a bounded 0-100 coordinate. A Normalized Perception Record owns the stable perception identity. The Transform Matrix owns declared correspondence among normalized perceptions. Models and Masks own scoped interpretation. MRMM and MEE own downstream projection and expression.</w:t>
            </w:r>
          </w:p>
        </w:tc>
      </w:tr>
    </w:tbl>
    <w:p w14:paraId="39BF9AB7" w14:textId="77777777" w:rsidR="00360219" w:rsidRDefault="00360219">
      <w:pPr>
        <w:spacing w:after="40"/>
      </w:pPr>
    </w:p>
    <w:p w14:paraId="069F25D1" w14:textId="77777777" w:rsidR="00360219" w:rsidRDefault="003015F4">
      <w:pPr>
        <w:pStyle w:val="Heading1"/>
        <w:spacing w:before="200" w:after="100" w:line="240" w:lineRule="auto"/>
      </w:pPr>
      <w:r>
        <w:rPr>
          <w:rFonts w:ascii="Arial" w:hAnsi="Arial"/>
        </w:rPr>
        <w:t>Contents</w:t>
      </w:r>
    </w:p>
    <w:p w14:paraId="227A7368" w14:textId="77777777" w:rsidR="00360219" w:rsidRDefault="003015F4">
      <w:pPr>
        <w:pStyle w:val="ListBullet"/>
        <w:spacing w:after="60" w:line="259" w:lineRule="auto"/>
        <w:ind w:hanging="202"/>
      </w:pPr>
      <w:r>
        <w:rPr>
          <w:color w:val="172033"/>
        </w:rPr>
        <w:t>Part I - Foundation and Architecture</w:t>
      </w:r>
    </w:p>
    <w:p w14:paraId="4EAA2443" w14:textId="77777777" w:rsidR="00360219" w:rsidRDefault="003015F4">
      <w:pPr>
        <w:pStyle w:val="ListBullet"/>
        <w:spacing w:after="60" w:line="259" w:lineRule="auto"/>
        <w:ind w:hanging="202"/>
      </w:pPr>
      <w:r>
        <w:rPr>
          <w:color w:val="172033"/>
        </w:rPr>
        <w:t>Part II - Measurable State and Detection</w:t>
      </w:r>
    </w:p>
    <w:p w14:paraId="703E031E" w14:textId="77777777" w:rsidR="00360219" w:rsidRDefault="003015F4">
      <w:pPr>
        <w:pStyle w:val="ListBullet"/>
        <w:spacing w:after="60" w:line="259" w:lineRule="auto"/>
        <w:ind w:hanging="202"/>
      </w:pPr>
      <w:r>
        <w:rPr>
          <w:color w:val="172033"/>
        </w:rPr>
        <w:t>Part III - The Normalization Table</w:t>
      </w:r>
    </w:p>
    <w:p w14:paraId="160A7B81" w14:textId="77777777" w:rsidR="00360219" w:rsidRDefault="003015F4">
      <w:pPr>
        <w:pStyle w:val="ListBullet"/>
        <w:spacing w:after="60" w:line="259" w:lineRule="auto"/>
        <w:ind w:hanging="202"/>
      </w:pPr>
      <w:r>
        <w:rPr>
          <w:color w:val="172033"/>
        </w:rPr>
        <w:t>Part IV - Normalized Perceptions and the Transform Matrix</w:t>
      </w:r>
    </w:p>
    <w:p w14:paraId="2B30C308" w14:textId="77777777" w:rsidR="00360219" w:rsidRDefault="003015F4">
      <w:pPr>
        <w:pStyle w:val="ListBullet"/>
        <w:spacing w:after="60" w:line="259" w:lineRule="auto"/>
        <w:ind w:hanging="202"/>
      </w:pPr>
      <w:r>
        <w:rPr>
          <w:color w:val="172033"/>
        </w:rPr>
        <w:t>Part V - Bitmapping and Human Variability</w:t>
      </w:r>
    </w:p>
    <w:p w14:paraId="08B6C21B" w14:textId="77777777" w:rsidR="00360219" w:rsidRDefault="003015F4">
      <w:pPr>
        <w:pStyle w:val="ListBullet"/>
        <w:spacing w:after="60" w:line="259" w:lineRule="auto"/>
        <w:ind w:hanging="202"/>
      </w:pPr>
      <w:r>
        <w:rPr>
          <w:color w:val="172033"/>
        </w:rPr>
        <w:t>Part VI - Multimodal Projection and Worked Examples</w:t>
      </w:r>
    </w:p>
    <w:p w14:paraId="66414220" w14:textId="77777777" w:rsidR="00360219" w:rsidRDefault="003015F4">
      <w:pPr>
        <w:pStyle w:val="ListBullet"/>
        <w:spacing w:after="60" w:line="259" w:lineRule="auto"/>
        <w:ind w:hanging="202"/>
      </w:pPr>
      <w:r>
        <w:rPr>
          <w:color w:val="172033"/>
        </w:rPr>
        <w:t>Part VII - Runtime, Conformance, and Extension</w:t>
      </w:r>
    </w:p>
    <w:p w14:paraId="7092A7EE" w14:textId="77777777" w:rsidR="00360219" w:rsidRDefault="003015F4">
      <w:pPr>
        <w:pStyle w:val="ListBullet"/>
        <w:spacing w:after="60" w:line="259" w:lineRule="auto"/>
        <w:ind w:hanging="202"/>
      </w:pPr>
      <w:r>
        <w:rPr>
          <w:color w:val="172033"/>
        </w:rPr>
        <w:t>Appendix A - Governing Laws</w:t>
      </w:r>
    </w:p>
    <w:p w14:paraId="45413B4A" w14:textId="77777777" w:rsidR="00360219" w:rsidRDefault="003015F4">
      <w:pPr>
        <w:pStyle w:val="ListBullet"/>
        <w:spacing w:after="60" w:line="259" w:lineRule="auto"/>
        <w:ind w:hanging="202"/>
      </w:pPr>
      <w:r>
        <w:rPr>
          <w:color w:val="172033"/>
        </w:rPr>
        <w:t>Appendix B - Reference Data Contracts</w:t>
      </w:r>
    </w:p>
    <w:p w14:paraId="728C5A06" w14:textId="77777777" w:rsidR="00360219" w:rsidRDefault="003015F4">
      <w:pPr>
        <w:pStyle w:val="ListBullet"/>
        <w:spacing w:after="60" w:line="259" w:lineRule="auto"/>
        <w:ind w:hanging="202"/>
      </w:pPr>
      <w:r>
        <w:rPr>
          <w:color w:val="172033"/>
        </w:rPr>
        <w:t>Appendix C - Conformance Test Matrix</w:t>
      </w:r>
    </w:p>
    <w:p w14:paraId="0D6697B6" w14:textId="77777777" w:rsidR="00360219" w:rsidRDefault="003015F4">
      <w:pPr>
        <w:pStyle w:val="ListBullet"/>
        <w:spacing w:after="60" w:line="259" w:lineRule="auto"/>
        <w:ind w:hanging="202"/>
      </w:pPr>
      <w:r>
        <w:rPr>
          <w:color w:val="172033"/>
        </w:rPr>
        <w:t>Appendix D - References and Glossary</w:t>
      </w:r>
    </w:p>
    <w:p w14:paraId="33D6DA70" w14:textId="77777777" w:rsidR="00360219" w:rsidRDefault="003015F4">
      <w:pPr>
        <w:pStyle w:val="Heading1"/>
        <w:spacing w:before="200" w:after="100" w:line="240" w:lineRule="auto"/>
      </w:pPr>
      <w:r>
        <w:rPr>
          <w:rFonts w:ascii="Arial" w:hAnsi="Arial"/>
        </w:rPr>
        <w:t>Executive Summary</w:t>
      </w:r>
    </w:p>
    <w:p w14:paraId="5486D2CD" w14:textId="77777777" w:rsidR="00360219" w:rsidRDefault="003015F4">
      <w:pPr>
        <w:pStyle w:val="BodyText"/>
      </w:pPr>
      <w:r>
        <w:rPr>
          <w:color w:val="172033"/>
        </w:rPr>
        <w:t>CERBERUS needs a common mathematical ingress for values that originate in very different domains. Temperature, pressure, light, acceleration, vibration, odor concentration, humidity, and other measurable quantities use different units, scales, instruments, and formulas. The Normalization Table resolves that heterogeneity before the state enters the Transform Matrix.</w:t>
      </w:r>
    </w:p>
    <w:p w14:paraId="5351F3B0" w14:textId="77777777" w:rsidR="00360219" w:rsidRDefault="003015F4">
      <w:pPr>
        <w:pStyle w:val="BodyText"/>
      </w:pPr>
      <w:r>
        <w:rPr>
          <w:color w:val="172033"/>
        </w:rPr>
        <w:t>A measurable item exposes a NormalizationContractRef. That exact reference selects a registered Normalization Scale. The Scale declares the input Quantity and raw unit, raw minimum and maximum, formula or FormulaRef, resolution mode, up to ten ordered Steps, optional Step colors or a default color treatment, gates or hysteresis when required, failure behavior, provenance, and the exact NormalizedPerceptionRef it targets. The Scale then resolves the raw state into a 0-100 coordinate while retaining sufficien</w:t>
      </w:r>
      <w:r>
        <w:rPr>
          <w:color w:val="172033"/>
        </w:rPr>
        <w:t>t metadata to reconstruct how the result was produced.</w:t>
      </w:r>
    </w:p>
    <w:p w14:paraId="09FE9263" w14:textId="77777777" w:rsidR="00360219" w:rsidRDefault="003015F4">
      <w:pPr>
        <w:pStyle w:val="BodyText"/>
      </w:pPr>
      <w:r>
        <w:rPr>
          <w:color w:val="172033"/>
        </w:rPr>
        <w:t>The Transform Matrix operates on Normalized Perception Records rather than arbitrary raw units. TEMPERATURE, BRIGHTNESS, PRESSURE, VIBRATION, ROUGHNESS, AIRFLOW, SCENT INTENSITY, LOUDNESS, and future perception dimensions can therefore share a stable 0-100 interface without being treated as semantically identical. A registered Transform determines correspondence. Numeric similarity alone never does.</w:t>
      </w:r>
    </w:p>
    <w:p w14:paraId="0642A594" w14:textId="77777777" w:rsidR="00360219" w:rsidRDefault="003015F4">
      <w:pPr>
        <w:pStyle w:val="BodyText"/>
      </w:pPr>
      <w:r>
        <w:rPr>
          <w:color w:val="172033"/>
        </w:rPr>
        <w:t>When a human semantic distinction cannot yet be defended as a quantitative Model, the architecture uses a scoped Mask rather than manufactured precision. This preserves the distinction between measurable state, normalized state, modeled perceptual response, personal or cultural interpretation, and perceptual projection. The result is a reusable foundation for sensory SKs, Personal Perceptual Languages, accessibility substitutions, multimodal analytical interfaces, simulation, robotics, and expressive enviro</w:t>
      </w:r>
      <w:r>
        <w:rPr>
          <w:color w:val="172033"/>
        </w:rPr>
        <w:t>nments.</w:t>
      </w:r>
    </w:p>
    <w:tbl>
      <w:tblPr>
        <w:tblW w:w="0" w:type="auto"/>
        <w:jc w:val="center"/>
        <w:tblLayout w:type="fixed"/>
        <w:tblLook w:val="04A0" w:firstRow="1" w:lastRow="0" w:firstColumn="1" w:lastColumn="0" w:noHBand="0" w:noVBand="1"/>
      </w:tblPr>
      <w:tblGrid>
        <w:gridCol w:w="9864"/>
      </w:tblGrid>
      <w:tr w:rsidR="00360219" w14:paraId="68F135E0"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45D6C86D" w14:textId="77777777" w:rsidR="00360219" w:rsidRDefault="003015F4">
            <w:pPr>
              <w:spacing w:after="80" w:line="240" w:lineRule="auto"/>
              <w:jc w:val="center"/>
            </w:pPr>
            <w:r>
              <w:rPr>
                <w:noProof/>
              </w:rPr>
              <w:drawing>
                <wp:inline distT="0" distB="0" distL="0" distR="0" wp14:anchorId="24552B1B" wp14:editId="72636759">
                  <wp:extent cx="6126480" cy="3446145"/>
                  <wp:effectExtent l="0" t="0" r="0" b="0"/>
                  <wp:docPr id="1" name="Picture 1" descr="Figure 1. Complete normalized perception architecture from source state through normalization, Transform Matrix correspondence, and downstream expression."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01_Complete_Architecture.png"/>
                          <pic:cNvPicPr/>
                        </pic:nvPicPr>
                        <pic:blipFill>
                          <a:blip r:embed="rId8"/>
                          <a:stretch>
                            <a:fillRect/>
                          </a:stretch>
                        </pic:blipFill>
                        <pic:spPr>
                          <a:xfrm>
                            <a:off x="0" y="0"/>
                            <a:ext cx="6126480" cy="3446145"/>
                          </a:xfrm>
                          <a:prstGeom prst="rect">
                            <a:avLst/>
                          </a:prstGeom>
                        </pic:spPr>
                      </pic:pic>
                    </a:graphicData>
                  </a:graphic>
                </wp:inline>
              </w:drawing>
            </w:r>
          </w:p>
          <w:p w14:paraId="5BD3D723" w14:textId="77777777" w:rsidR="00360219" w:rsidRDefault="003015F4">
            <w:pPr>
              <w:spacing w:before="40" w:after="0" w:line="252" w:lineRule="auto"/>
              <w:jc w:val="center"/>
            </w:pPr>
            <w:r>
              <w:rPr>
                <w:b/>
                <w:color w:val="172033"/>
                <w:sz w:val="18"/>
              </w:rPr>
              <w:t xml:space="preserve">Figure 1. </w:t>
            </w:r>
            <w:r>
              <w:rPr>
                <w:color w:val="5B6577"/>
                <w:sz w:val="18"/>
              </w:rPr>
              <w:t>Complete normalized perception architecture from source state through normalization, Transform Matrix correspondence, and downstream expression.</w:t>
            </w:r>
          </w:p>
        </w:tc>
      </w:tr>
    </w:tbl>
    <w:p w14:paraId="08ACBC41" w14:textId="77777777" w:rsidR="00360219" w:rsidRDefault="00360219">
      <w:pPr>
        <w:spacing w:after="60"/>
      </w:pPr>
    </w:p>
    <w:p w14:paraId="65BEAFF9" w14:textId="77777777" w:rsidR="00360219" w:rsidRDefault="003015F4">
      <w:pPr>
        <w:pageBreakBefore/>
        <w:spacing w:before="2200"/>
      </w:pPr>
      <w:r>
        <w:rPr>
          <w:b/>
          <w:color w:val="1E5AA8"/>
          <w:sz w:val="26"/>
        </w:rPr>
        <w:t>PART I</w:t>
      </w:r>
    </w:p>
    <w:p w14:paraId="5F71E3A8" w14:textId="77777777" w:rsidR="00360219" w:rsidRDefault="003015F4">
      <w:pPr>
        <w:spacing w:before="160" w:after="240" w:line="240" w:lineRule="auto"/>
      </w:pPr>
      <w:r>
        <w:rPr>
          <w:b/>
          <w:color w:val="172033"/>
          <w:sz w:val="56"/>
        </w:rPr>
        <w:t>Foundation and Architecture</w:t>
      </w:r>
    </w:p>
    <w:p w14:paraId="2F379C11" w14:textId="77777777" w:rsidR="00360219" w:rsidRDefault="003015F4">
      <w:pPr>
        <w:spacing w:after="0" w:line="276" w:lineRule="auto"/>
      </w:pPr>
      <w:r>
        <w:rPr>
          <w:color w:val="5B6577"/>
          <w:sz w:val="25"/>
        </w:rPr>
        <w:t>Defines the bounded question, architectural position, ownership model, quantifiability boundary, and laws that govern the entire system.</w:t>
      </w:r>
    </w:p>
    <w:tbl>
      <w:tblPr>
        <w:tblW w:w="0" w:type="auto"/>
        <w:tblLayout w:type="fixed"/>
        <w:tblLook w:val="04A0" w:firstRow="1" w:lastRow="0" w:firstColumn="1" w:lastColumn="0" w:noHBand="0" w:noVBand="1"/>
      </w:tblPr>
      <w:tblGrid>
        <w:gridCol w:w="1440"/>
      </w:tblGrid>
      <w:tr w:rsidR="00360219" w14:paraId="3D8DB5E7" w14:textId="77777777">
        <w:tc>
          <w:tcPr>
            <w:tcW w:w="1440" w:type="dxa"/>
            <w:shd w:val="clear" w:color="auto" w:fill="1E5AA8"/>
            <w:tcMar>
              <w:top w:w="20" w:type="dxa"/>
              <w:left w:w="20" w:type="dxa"/>
              <w:bottom w:w="20" w:type="dxa"/>
              <w:right w:w="20" w:type="dxa"/>
            </w:tcMar>
          </w:tcPr>
          <w:p w14:paraId="036B1192" w14:textId="77777777" w:rsidR="00360219" w:rsidRDefault="00360219"/>
        </w:tc>
      </w:tr>
    </w:tbl>
    <w:p w14:paraId="00882AAD" w14:textId="77777777" w:rsidR="00360219" w:rsidRDefault="003015F4">
      <w:r>
        <w:br w:type="page"/>
      </w:r>
    </w:p>
    <w:p w14:paraId="02D9D477" w14:textId="77777777" w:rsidR="00360219" w:rsidRDefault="003015F4">
      <w:pPr>
        <w:pStyle w:val="Heading1"/>
        <w:spacing w:before="200" w:after="100" w:line="240" w:lineRule="auto"/>
      </w:pPr>
      <w:r>
        <w:rPr>
          <w:rFonts w:ascii="Arial" w:hAnsi="Arial"/>
        </w:rPr>
        <w:t>1. Purpose and Scope</w:t>
      </w:r>
    </w:p>
    <w:p w14:paraId="79B893BF" w14:textId="77777777" w:rsidR="00360219" w:rsidRDefault="003015F4">
      <w:pPr>
        <w:pStyle w:val="BodyText"/>
      </w:pPr>
      <w:r>
        <w:rPr>
          <w:color w:val="172033"/>
        </w:rPr>
        <w:t>The purpose of this guide is to define how CERBERUS converts heterogeneous measurable states into standardized 0-100 Normalized Perception states that can participate in a shared Transform Matrix. The architecture is intentionally strict at semantic boundaries and permissive at composition boundaries: measured quantities keep their native meaning and provenance, while registered normalization and Transform contracts make those quantities mathematically interoperable.</w:t>
      </w:r>
    </w:p>
    <w:p w14:paraId="39090CC5" w14:textId="77777777" w:rsidR="00360219" w:rsidRDefault="003015F4">
      <w:pPr>
        <w:pStyle w:val="Heading2"/>
        <w:spacing w:before="140" w:after="100" w:line="240" w:lineRule="auto"/>
      </w:pPr>
      <w:r>
        <w:rPr>
          <w:rFonts w:ascii="Arial" w:hAnsi="Arial"/>
        </w:rPr>
        <w:t>1.1 Bounded Question</w:t>
      </w:r>
    </w:p>
    <w:tbl>
      <w:tblPr>
        <w:tblW w:w="0" w:type="auto"/>
        <w:jc w:val="center"/>
        <w:tblLayout w:type="fixed"/>
        <w:tblLook w:val="04A0" w:firstRow="1" w:lastRow="0" w:firstColumn="1" w:lastColumn="0" w:noHBand="0" w:noVBand="1"/>
      </w:tblPr>
      <w:tblGrid>
        <w:gridCol w:w="9720"/>
      </w:tblGrid>
      <w:tr w:rsidR="00360219" w14:paraId="5D78FBE6" w14:textId="77777777">
        <w:trPr>
          <w:cantSplit/>
          <w:jc w:val="center"/>
        </w:trPr>
        <w:tc>
          <w:tcPr>
            <w:tcW w:w="9720" w:type="dxa"/>
            <w:tcBorders>
              <w:top w:val="single" w:sz="16" w:space="0" w:color="1E5AA8"/>
              <w:left w:val="single" w:sz="16" w:space="0" w:color="1E5AA8"/>
              <w:bottom w:val="single" w:sz="16" w:space="0" w:color="1E5AA8"/>
              <w:right w:val="single" w:sz="16" w:space="0" w:color="1E5AA8"/>
            </w:tcBorders>
            <w:shd w:val="clear" w:color="auto" w:fill="EAF1FA"/>
            <w:tcMar>
              <w:top w:w="150" w:type="dxa"/>
              <w:left w:w="170" w:type="dxa"/>
              <w:bottom w:w="150" w:type="dxa"/>
              <w:right w:w="170" w:type="dxa"/>
            </w:tcMar>
          </w:tcPr>
          <w:p w14:paraId="2B3BAED2" w14:textId="77777777" w:rsidR="00360219" w:rsidRDefault="003015F4">
            <w:pPr>
              <w:spacing w:after="80" w:line="240" w:lineRule="auto"/>
            </w:pPr>
            <w:r>
              <w:rPr>
                <w:b/>
                <w:color w:val="1E5AA8"/>
                <w:sz w:val="19"/>
              </w:rPr>
              <w:t>BOUNDED QUESTION</w:t>
            </w:r>
          </w:p>
          <w:p w14:paraId="2BAE6C2E" w14:textId="77777777" w:rsidR="00360219" w:rsidRDefault="003015F4">
            <w:pPr>
              <w:spacing w:after="0"/>
            </w:pPr>
            <w:r>
              <w:rPr>
                <w:b/>
                <w:color w:val="172033"/>
                <w:sz w:val="21"/>
              </w:rPr>
              <w:t>How does CERBERUS convert heterogeneous measurable states into standardized 0-100 Normalized Perception states so they can participate in a shared Transform Matrix while preserving raw measurements, formulas, domain-specific ranges, GRADED/GRADIENT behavior, hysteresis, provenance, and human semantic variability?</w:t>
            </w:r>
          </w:p>
        </w:tc>
      </w:tr>
    </w:tbl>
    <w:p w14:paraId="05648292" w14:textId="77777777" w:rsidR="00360219" w:rsidRDefault="00360219">
      <w:pPr>
        <w:spacing w:after="40"/>
      </w:pPr>
    </w:p>
    <w:p w14:paraId="7BF1D09C" w14:textId="77777777" w:rsidR="00360219" w:rsidRDefault="003015F4">
      <w:pPr>
        <w:pStyle w:val="Heading2"/>
        <w:spacing w:before="140" w:after="100" w:line="240" w:lineRule="auto"/>
      </w:pPr>
      <w:r>
        <w:rPr>
          <w:rFonts w:ascii="Arial" w:hAnsi="Arial"/>
        </w:rPr>
        <w:t>1.2 In Scope</w:t>
      </w:r>
    </w:p>
    <w:p w14:paraId="06DCEC02" w14:textId="77777777" w:rsidR="00360219" w:rsidRDefault="003015F4">
      <w:pPr>
        <w:pStyle w:val="ListBullet"/>
        <w:spacing w:after="60" w:line="259" w:lineRule="auto"/>
        <w:ind w:hanging="202"/>
      </w:pPr>
      <w:r>
        <w:rPr>
          <w:color w:val="172033"/>
        </w:rPr>
        <w:t>Measurable-state ingress and exact Normalization Contract linking.</w:t>
      </w:r>
    </w:p>
    <w:p w14:paraId="6456BB73" w14:textId="77777777" w:rsidR="00360219" w:rsidRDefault="003015F4">
      <w:pPr>
        <w:pStyle w:val="ListBullet"/>
        <w:spacing w:after="60" w:line="259" w:lineRule="auto"/>
        <w:ind w:hanging="202"/>
      </w:pPr>
      <w:r>
        <w:rPr>
          <w:color w:val="172033"/>
        </w:rPr>
        <w:t>Normalization Table responsibilities and Normalization Scale semantics.</w:t>
      </w:r>
    </w:p>
    <w:p w14:paraId="6E6229DA" w14:textId="77777777" w:rsidR="00360219" w:rsidRDefault="003015F4">
      <w:pPr>
        <w:pStyle w:val="ListBullet"/>
        <w:spacing w:after="60" w:line="259" w:lineRule="auto"/>
        <w:ind w:hanging="202"/>
      </w:pPr>
      <w:r>
        <w:rPr>
          <w:color w:val="172033"/>
        </w:rPr>
        <w:t>Formula transparency, raw bounds, common 0-100 output, and reversibility declarations.</w:t>
      </w:r>
    </w:p>
    <w:p w14:paraId="46EC92CC" w14:textId="77777777" w:rsidR="00360219" w:rsidRDefault="003015F4">
      <w:pPr>
        <w:pStyle w:val="ListBullet"/>
        <w:spacing w:after="60" w:line="259" w:lineRule="auto"/>
        <w:ind w:hanging="202"/>
      </w:pPr>
      <w:r>
        <w:rPr>
          <w:color w:val="172033"/>
        </w:rPr>
        <w:t>GRADED and GRADIENT Step resolution, with one to ten Steps per Scale.</w:t>
      </w:r>
    </w:p>
    <w:p w14:paraId="7CC866A9" w14:textId="77777777" w:rsidR="00360219" w:rsidRDefault="003015F4">
      <w:pPr>
        <w:pStyle w:val="ListBullet"/>
        <w:spacing w:after="60" w:line="259" w:lineRule="auto"/>
        <w:ind w:hanging="202"/>
      </w:pPr>
      <w:r>
        <w:rPr>
          <w:color w:val="172033"/>
        </w:rPr>
        <w:t>Custom per-Step colors or a registered default color treatment.</w:t>
      </w:r>
    </w:p>
    <w:p w14:paraId="2F175755" w14:textId="77777777" w:rsidR="00360219" w:rsidRDefault="003015F4">
      <w:pPr>
        <w:pStyle w:val="ListBullet"/>
        <w:spacing w:after="60" w:line="259" w:lineRule="auto"/>
        <w:ind w:hanging="202"/>
      </w:pPr>
      <w:r>
        <w:rPr>
          <w:color w:val="172033"/>
        </w:rPr>
        <w:t>Gating, hysteresis, null, overflow, saturation, precision, and provenance behavior.</w:t>
      </w:r>
    </w:p>
    <w:p w14:paraId="2D7E2DF9" w14:textId="77777777" w:rsidR="00360219" w:rsidRDefault="003015F4">
      <w:pPr>
        <w:pStyle w:val="ListBullet"/>
        <w:spacing w:after="60" w:line="259" w:lineRule="auto"/>
        <w:ind w:hanging="202"/>
      </w:pPr>
      <w:r>
        <w:rPr>
          <w:color w:val="172033"/>
        </w:rPr>
        <w:t>Normalized Perception Records and normalized Transform Matrix interoperability.</w:t>
      </w:r>
    </w:p>
    <w:p w14:paraId="5CB677FB" w14:textId="77777777" w:rsidR="00360219" w:rsidRDefault="003015F4">
      <w:pPr>
        <w:pStyle w:val="ListBullet"/>
        <w:spacing w:after="60" w:line="259" w:lineRule="auto"/>
        <w:ind w:hanging="202"/>
      </w:pPr>
      <w:r>
        <w:rPr>
          <w:color w:val="172033"/>
        </w:rPr>
        <w:t>Quantitative Models, Semantic Masks, and the boundary between them.</w:t>
      </w:r>
    </w:p>
    <w:p w14:paraId="5F25BFCF" w14:textId="77777777" w:rsidR="00360219" w:rsidRDefault="003015F4">
      <w:pPr>
        <w:pStyle w:val="ListBullet"/>
        <w:spacing w:after="60" w:line="259" w:lineRule="auto"/>
        <w:ind w:hanging="202"/>
      </w:pPr>
      <w:r>
        <w:rPr>
          <w:color w:val="172033"/>
        </w:rPr>
        <w:t>Sensory Bitmapping and downstream MRMM / MEE integration.</w:t>
      </w:r>
    </w:p>
    <w:p w14:paraId="463C4A0E" w14:textId="77777777" w:rsidR="00360219" w:rsidRDefault="003015F4">
      <w:pPr>
        <w:pStyle w:val="Heading2"/>
        <w:spacing w:before="140" w:after="100" w:line="240" w:lineRule="auto"/>
      </w:pPr>
      <w:r>
        <w:rPr>
          <w:rFonts w:ascii="Arial" w:hAnsi="Arial"/>
        </w:rPr>
        <w:t>1.3 Explicit Non-Goals</w:t>
      </w:r>
    </w:p>
    <w:p w14:paraId="11F1DD78" w14:textId="77777777" w:rsidR="00360219" w:rsidRDefault="003015F4">
      <w:pPr>
        <w:pStyle w:val="ListBullet"/>
        <w:spacing w:after="60" w:line="259" w:lineRule="auto"/>
        <w:ind w:hanging="202"/>
      </w:pPr>
      <w:r>
        <w:rPr>
          <w:color w:val="172033"/>
        </w:rPr>
        <w:t>This guide does not define universal physics, sensor hardware, or domain-specific scientific thresholds.</w:t>
      </w:r>
    </w:p>
    <w:p w14:paraId="06CA0B08" w14:textId="77777777" w:rsidR="00360219" w:rsidRDefault="003015F4">
      <w:pPr>
        <w:pStyle w:val="ListBullet"/>
        <w:spacing w:after="60" w:line="259" w:lineRule="auto"/>
        <w:ind w:hanging="202"/>
      </w:pPr>
      <w:r>
        <w:rPr>
          <w:color w:val="172033"/>
        </w:rPr>
        <w:t>It does not define final physical Airtable schemas for the Normalization Table or Transform Matrix.</w:t>
      </w:r>
    </w:p>
    <w:p w14:paraId="1015DB7F" w14:textId="77777777" w:rsidR="00360219" w:rsidRDefault="003015F4">
      <w:pPr>
        <w:pStyle w:val="ListBullet"/>
        <w:spacing w:after="60" w:line="259" w:lineRule="auto"/>
        <w:ind w:hanging="202"/>
      </w:pPr>
      <w:r>
        <w:rPr>
          <w:color w:val="172033"/>
        </w:rPr>
        <w:t>It does not define every future Normalized Perception identity or every sensory SK.</w:t>
      </w:r>
    </w:p>
    <w:p w14:paraId="31924358" w14:textId="77777777" w:rsidR="00360219" w:rsidRDefault="003015F4">
      <w:pPr>
        <w:pStyle w:val="ListBullet"/>
        <w:spacing w:after="60" w:line="259" w:lineRule="auto"/>
        <w:ind w:hanging="202"/>
      </w:pPr>
      <w:r>
        <w:rPr>
          <w:color w:val="172033"/>
        </w:rPr>
        <w:t>It does not define renderer technology, device actuation authority, or universal human interpretation.</w:t>
      </w:r>
    </w:p>
    <w:p w14:paraId="532E6740" w14:textId="77777777" w:rsidR="00360219" w:rsidRDefault="003015F4">
      <w:pPr>
        <w:pStyle w:val="ListBullet"/>
        <w:spacing w:after="60" w:line="259" w:lineRule="auto"/>
        <w:ind w:hanging="202"/>
      </w:pPr>
      <w:r>
        <w:rPr>
          <w:color w:val="172033"/>
        </w:rPr>
        <w:t>It does not treat a convenient 0-100 coordinate as proof that two perceptions are semantically equivalent.</w:t>
      </w:r>
    </w:p>
    <w:p w14:paraId="363BEBC0" w14:textId="77777777" w:rsidR="00360219" w:rsidRDefault="003015F4">
      <w:pPr>
        <w:pStyle w:val="Heading1"/>
        <w:spacing w:before="200" w:after="100" w:line="240" w:lineRule="auto"/>
      </w:pPr>
      <w:r>
        <w:rPr>
          <w:rFonts w:ascii="Arial" w:hAnsi="Arial"/>
        </w:rPr>
        <w:t>2. Core Proposition and Primary Invariant</w:t>
      </w:r>
    </w:p>
    <w:tbl>
      <w:tblPr>
        <w:tblW w:w="0" w:type="auto"/>
        <w:jc w:val="center"/>
        <w:tblLayout w:type="fixed"/>
        <w:tblLook w:val="04A0" w:firstRow="1" w:lastRow="0" w:firstColumn="1" w:lastColumn="0" w:noHBand="0" w:noVBand="1"/>
      </w:tblPr>
      <w:tblGrid>
        <w:gridCol w:w="9720"/>
      </w:tblGrid>
      <w:tr w:rsidR="00360219" w14:paraId="558CFA6D" w14:textId="77777777">
        <w:trPr>
          <w:cantSplit/>
          <w:jc w:val="center"/>
        </w:trPr>
        <w:tc>
          <w:tcPr>
            <w:tcW w:w="9720" w:type="dxa"/>
            <w:tcBorders>
              <w:top w:val="single" w:sz="16" w:space="0" w:color="2B7A5E"/>
              <w:left w:val="single" w:sz="16" w:space="0" w:color="2B7A5E"/>
              <w:bottom w:val="single" w:sz="16" w:space="0" w:color="2B7A5E"/>
              <w:right w:val="single" w:sz="16" w:space="0" w:color="2B7A5E"/>
            </w:tcBorders>
            <w:shd w:val="clear" w:color="auto" w:fill="EAF5F0"/>
            <w:tcMar>
              <w:top w:w="150" w:type="dxa"/>
              <w:left w:w="170" w:type="dxa"/>
              <w:bottom w:w="150" w:type="dxa"/>
              <w:right w:w="170" w:type="dxa"/>
            </w:tcMar>
          </w:tcPr>
          <w:p w14:paraId="33CFF500" w14:textId="77777777" w:rsidR="00360219" w:rsidRDefault="003015F4">
            <w:pPr>
              <w:spacing w:after="80" w:line="240" w:lineRule="auto"/>
            </w:pPr>
            <w:r>
              <w:rPr>
                <w:b/>
                <w:color w:val="2B7A5E"/>
                <w:sz w:val="19"/>
              </w:rPr>
              <w:t>CORE PROPOSITION</w:t>
            </w:r>
          </w:p>
          <w:p w14:paraId="4BF6C915" w14:textId="77777777" w:rsidR="00360219" w:rsidRDefault="003015F4">
            <w:pPr>
              <w:spacing w:after="0"/>
            </w:pPr>
            <w:r>
              <w:rPr>
                <w:b/>
                <w:color w:val="172033"/>
                <w:sz w:val="21"/>
              </w:rPr>
              <w:t>Measure locally. Normalize explicitly. Transform commonly. Mask variability.</w:t>
            </w:r>
          </w:p>
        </w:tc>
      </w:tr>
    </w:tbl>
    <w:p w14:paraId="1C701299" w14:textId="77777777" w:rsidR="00360219" w:rsidRDefault="00360219">
      <w:pPr>
        <w:spacing w:after="40"/>
      </w:pPr>
    </w:p>
    <w:p w14:paraId="128639BF" w14:textId="77777777" w:rsidR="00360219" w:rsidRDefault="003015F4">
      <w:pPr>
        <w:pStyle w:val="BodyText"/>
      </w:pPr>
      <w:r>
        <w:rPr>
          <w:color w:val="172033"/>
        </w:rPr>
        <w:t>A measurable item owns the native value and unit. A Normalization Scale owns the bounded mathematical question used to translate that value into a 0-100 coordinate. A Normalized Perception Record owns the stable semantic dimension that participates in the Transform Matrix. A Transform owns one declared correspondence between source and target perceptions. A Mask owns observer- or context-scoped semantic interpretation where quantitative evidence is insufficient.</w:t>
      </w:r>
    </w:p>
    <w:tbl>
      <w:tblPr>
        <w:tblW w:w="0" w:type="auto"/>
        <w:jc w:val="center"/>
        <w:tblLayout w:type="fixed"/>
        <w:tblLook w:val="04A0" w:firstRow="1" w:lastRow="0" w:firstColumn="1" w:lastColumn="0" w:noHBand="0" w:noVBand="1"/>
      </w:tblPr>
      <w:tblGrid>
        <w:gridCol w:w="9864"/>
      </w:tblGrid>
      <w:tr w:rsidR="00360219" w14:paraId="3C3A32A3"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426216C6" w14:textId="77777777" w:rsidR="00360219" w:rsidRDefault="003015F4">
            <w:pPr>
              <w:spacing w:after="80" w:line="240" w:lineRule="auto"/>
              <w:jc w:val="center"/>
            </w:pPr>
            <w:r>
              <w:rPr>
                <w:noProof/>
              </w:rPr>
              <w:drawing>
                <wp:inline distT="0" distB="0" distL="0" distR="0" wp14:anchorId="6A80B88A" wp14:editId="67348609">
                  <wp:extent cx="6126480" cy="3446145"/>
                  <wp:effectExtent l="0" t="0" r="0" b="0"/>
                  <wp:docPr id="2" name="Picture 2" descr="Figure 2. Measurement, Normalization Scale, Normalized Perception, Transform, semantic interpretation, and perceptual projection remain distinct."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02_Six_Things_Not_To_Collapse.png"/>
                          <pic:cNvPicPr/>
                        </pic:nvPicPr>
                        <pic:blipFill>
                          <a:blip r:embed="rId9"/>
                          <a:stretch>
                            <a:fillRect/>
                          </a:stretch>
                        </pic:blipFill>
                        <pic:spPr>
                          <a:xfrm>
                            <a:off x="0" y="0"/>
                            <a:ext cx="6126480" cy="3446145"/>
                          </a:xfrm>
                          <a:prstGeom prst="rect">
                            <a:avLst/>
                          </a:prstGeom>
                        </pic:spPr>
                      </pic:pic>
                    </a:graphicData>
                  </a:graphic>
                </wp:inline>
              </w:drawing>
            </w:r>
          </w:p>
          <w:p w14:paraId="48108139" w14:textId="77777777" w:rsidR="00360219" w:rsidRDefault="003015F4">
            <w:pPr>
              <w:spacing w:before="40" w:after="0" w:line="252" w:lineRule="auto"/>
              <w:jc w:val="center"/>
            </w:pPr>
            <w:r>
              <w:rPr>
                <w:b/>
                <w:color w:val="172033"/>
                <w:sz w:val="18"/>
              </w:rPr>
              <w:t xml:space="preserve">Figure 2. </w:t>
            </w:r>
            <w:r>
              <w:rPr>
                <w:color w:val="5B6577"/>
                <w:sz w:val="18"/>
              </w:rPr>
              <w:t>Measurement, Normalization Scale, Normalized Perception, Transform, semantic interpretation, and perceptual projection remain distinct.</w:t>
            </w:r>
          </w:p>
        </w:tc>
      </w:tr>
    </w:tbl>
    <w:p w14:paraId="1FB56345" w14:textId="77777777" w:rsidR="00360219" w:rsidRDefault="00360219">
      <w:pPr>
        <w:spacing w:after="60"/>
      </w:pPr>
    </w:p>
    <w:p w14:paraId="0CAE0F8F" w14:textId="77777777" w:rsidR="00360219" w:rsidRDefault="003015F4">
      <w:pPr>
        <w:pStyle w:val="Heading1"/>
        <w:spacing w:before="200" w:after="100" w:line="240" w:lineRule="auto"/>
      </w:pPr>
      <w:r>
        <w:rPr>
          <w:rFonts w:ascii="Arial" w:hAnsi="Arial"/>
        </w:rPr>
        <w:t>3. Architectural Position</w:t>
      </w:r>
    </w:p>
    <w:p w14:paraId="0C978AFD" w14:textId="77777777" w:rsidR="00360219" w:rsidRDefault="003015F4">
      <w:pPr>
        <w:pStyle w:val="BodyText"/>
      </w:pPr>
      <w:r>
        <w:rPr>
          <w:color w:val="172033"/>
        </w:rPr>
        <w:t>PPL/MRMM already defines a source -&gt; normalization -&gt; operator chain -&gt; projection model -&gt; renderer architecture and requires projection contracts to declare inputs, transforms, output parameters, scale, bounds, null behavior, version, and explanation [1]. MEE extends that discipline into a governed expressive pipeline in which source state remains authoritative, MRMM defines mapping, and renderers determine local presentation [2].</w:t>
      </w:r>
    </w:p>
    <w:p w14:paraId="2CBBBB91" w14:textId="77777777" w:rsidR="00360219" w:rsidRDefault="003015F4">
      <w:pPr>
        <w:pStyle w:val="BodyText"/>
      </w:pPr>
      <w:r>
        <w:rPr>
          <w:color w:val="172033"/>
        </w:rPr>
        <w:t>This guide formalizes the raw-to-normalized portion as a shared registered layer. It places the Normalization Table between measurable state and the Transform Matrix, then hands normalized state forward to MRMM and MEE rather than creating a competing projection system.</w:t>
      </w:r>
    </w:p>
    <w:tbl>
      <w:tblPr>
        <w:tblW w:w="0" w:type="auto"/>
        <w:jc w:val="center"/>
        <w:tblLayout w:type="fixed"/>
        <w:tblLook w:val="04A0" w:firstRow="1" w:lastRow="0" w:firstColumn="1" w:lastColumn="0" w:noHBand="0" w:noVBand="1"/>
      </w:tblPr>
      <w:tblGrid>
        <w:gridCol w:w="9864"/>
      </w:tblGrid>
      <w:tr w:rsidR="00360219" w14:paraId="1DC25632"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3917713C" w14:textId="77777777" w:rsidR="00360219" w:rsidRDefault="003015F4">
            <w:pPr>
              <w:spacing w:after="80" w:line="240" w:lineRule="auto"/>
              <w:jc w:val="center"/>
            </w:pPr>
            <w:r>
              <w:rPr>
                <w:noProof/>
              </w:rPr>
              <w:drawing>
                <wp:inline distT="0" distB="0" distL="0" distR="0" wp14:anchorId="6506E36E" wp14:editId="544FDCD5">
                  <wp:extent cx="6126480" cy="3446145"/>
                  <wp:effectExtent l="0" t="0" r="0" b="0"/>
                  <wp:docPr id="3" name="Picture 3" descr="Figure 4. Detection and expression are opposite directional routes around the common Normalized Perception layer."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04_Detection_vs_Expression.png"/>
                          <pic:cNvPicPr/>
                        </pic:nvPicPr>
                        <pic:blipFill>
                          <a:blip r:embed="rId10"/>
                          <a:stretch>
                            <a:fillRect/>
                          </a:stretch>
                        </pic:blipFill>
                        <pic:spPr>
                          <a:xfrm>
                            <a:off x="0" y="0"/>
                            <a:ext cx="6126480" cy="3446145"/>
                          </a:xfrm>
                          <a:prstGeom prst="rect">
                            <a:avLst/>
                          </a:prstGeom>
                        </pic:spPr>
                      </pic:pic>
                    </a:graphicData>
                  </a:graphic>
                </wp:inline>
              </w:drawing>
            </w:r>
          </w:p>
          <w:p w14:paraId="535FD02E" w14:textId="77777777" w:rsidR="00360219" w:rsidRDefault="003015F4">
            <w:pPr>
              <w:spacing w:before="40" w:after="0" w:line="252" w:lineRule="auto"/>
              <w:jc w:val="center"/>
            </w:pPr>
            <w:r>
              <w:rPr>
                <w:b/>
                <w:color w:val="172033"/>
                <w:sz w:val="18"/>
              </w:rPr>
              <w:t xml:space="preserve">Figure 4. </w:t>
            </w:r>
            <w:r>
              <w:rPr>
                <w:color w:val="5B6577"/>
                <w:sz w:val="18"/>
              </w:rPr>
              <w:t>Detection and expression are opposite directional routes around the common Normalized Perception layer.</w:t>
            </w:r>
          </w:p>
        </w:tc>
      </w:tr>
    </w:tbl>
    <w:p w14:paraId="43717BB4" w14:textId="77777777" w:rsidR="00360219" w:rsidRDefault="00360219">
      <w:pPr>
        <w:spacing w:after="60"/>
      </w:pPr>
    </w:p>
    <w:p w14:paraId="73A3836D" w14:textId="77777777" w:rsidR="00360219" w:rsidRDefault="003015F4">
      <w:pPr>
        <w:pStyle w:val="Heading1"/>
        <w:spacing w:before="200" w:after="100" w:line="240" w:lineRule="auto"/>
      </w:pPr>
      <w:r>
        <w:rPr>
          <w:rFonts w:ascii="Arial" w:hAnsi="Arial"/>
        </w:rPr>
        <w:t>4. Ownership Across the Chain</w:t>
      </w:r>
    </w:p>
    <w:p w14:paraId="62F5E109" w14:textId="77777777" w:rsidR="00360219" w:rsidRDefault="003015F4">
      <w:pPr>
        <w:pStyle w:val="BodyText"/>
      </w:pPr>
      <w:r>
        <w:rPr>
          <w:color w:val="172033"/>
        </w:rPr>
        <w:t>Every stage may consume the output of the previous stage without inheriting its authority. Normalization is allowed to interpret a raw value inside a declared Scale, but it does not redefine the underlying physical Quantity. The Transform Matrix may compute a target perception, but it does not authorize actuation. A renderer may emit sound, light, motion, or force as presentation, but it does not become a shortcut into canonical world-state mutation.</w:t>
      </w:r>
    </w:p>
    <w:tbl>
      <w:tblPr>
        <w:tblW w:w="0" w:type="auto"/>
        <w:jc w:val="center"/>
        <w:tblLayout w:type="fixed"/>
        <w:tblLook w:val="04A0" w:firstRow="1" w:lastRow="0" w:firstColumn="1" w:lastColumn="0" w:noHBand="0" w:noVBand="1"/>
      </w:tblPr>
      <w:tblGrid>
        <w:gridCol w:w="9864"/>
      </w:tblGrid>
      <w:tr w:rsidR="00360219" w14:paraId="2924D3C5"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0DC6FA74" w14:textId="77777777" w:rsidR="00360219" w:rsidRDefault="003015F4">
            <w:pPr>
              <w:spacing w:after="80" w:line="240" w:lineRule="auto"/>
              <w:jc w:val="center"/>
            </w:pPr>
            <w:r>
              <w:rPr>
                <w:noProof/>
              </w:rPr>
              <w:drawing>
                <wp:inline distT="0" distB="0" distL="0" distR="0" wp14:anchorId="16D7CA79" wp14:editId="6F7F376E">
                  <wp:extent cx="6126480" cy="3446145"/>
                  <wp:effectExtent l="0" t="0" r="0" b="0"/>
                  <wp:docPr id="4" name="Picture 4" descr="Figure 3. Ownership across measurable source, Normalization Table, Normalized Perception, Transform Matrix, Model or Mask, MRMM/MEE, and endpoint."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03_Ownership_Chain.png"/>
                          <pic:cNvPicPr/>
                        </pic:nvPicPr>
                        <pic:blipFill>
                          <a:blip r:embed="rId11"/>
                          <a:stretch>
                            <a:fillRect/>
                          </a:stretch>
                        </pic:blipFill>
                        <pic:spPr>
                          <a:xfrm>
                            <a:off x="0" y="0"/>
                            <a:ext cx="6126480" cy="3446145"/>
                          </a:xfrm>
                          <a:prstGeom prst="rect">
                            <a:avLst/>
                          </a:prstGeom>
                        </pic:spPr>
                      </pic:pic>
                    </a:graphicData>
                  </a:graphic>
                </wp:inline>
              </w:drawing>
            </w:r>
          </w:p>
          <w:p w14:paraId="2582E200" w14:textId="77777777" w:rsidR="00360219" w:rsidRDefault="003015F4">
            <w:pPr>
              <w:spacing w:before="40" w:after="0" w:line="252" w:lineRule="auto"/>
              <w:jc w:val="center"/>
            </w:pPr>
            <w:r>
              <w:rPr>
                <w:b/>
                <w:color w:val="172033"/>
                <w:sz w:val="18"/>
              </w:rPr>
              <w:t xml:space="preserve">Figure 3. </w:t>
            </w:r>
            <w:r>
              <w:rPr>
                <w:color w:val="5B6577"/>
                <w:sz w:val="18"/>
              </w:rPr>
              <w:t>Ownership across measurable source, Normalization Table, Normalized Perception, Transform Matrix, Model or Mask, MRMM/MEE, and endpoint.</w:t>
            </w:r>
          </w:p>
        </w:tc>
      </w:tr>
    </w:tbl>
    <w:p w14:paraId="04DD0822" w14:textId="77777777" w:rsidR="00360219" w:rsidRDefault="00360219">
      <w:pPr>
        <w:spacing w:after="60"/>
      </w:pPr>
    </w:p>
    <w:p w14:paraId="2E8DB27B" w14:textId="77777777" w:rsidR="00360219" w:rsidRDefault="003015F4">
      <w:pPr>
        <w:pStyle w:val="Heading1"/>
        <w:spacing w:before="200" w:after="100" w:line="240" w:lineRule="auto"/>
      </w:pPr>
      <w:r>
        <w:rPr>
          <w:rFonts w:ascii="Arial" w:hAnsi="Arial"/>
        </w:rPr>
        <w:t>5. Quantifiability Gate</w:t>
      </w:r>
    </w:p>
    <w:p w14:paraId="0D04E005" w14:textId="77777777" w:rsidR="00360219" w:rsidRDefault="003015F4">
      <w:pPr>
        <w:pStyle w:val="BodyText"/>
      </w:pPr>
      <w:r>
        <w:rPr>
          <w:color w:val="172033"/>
        </w:rPr>
        <w:t>Before a candidate perceptual dimension becomes a normalized Transform Matrix dimension, the architecture classifies what kind of claim is being made. The objective is not to force every human experience into mathematics. It is to quantify what can be defended, retain explicit Models where calibrated relationships exist, and leave semantic variability masked or unresolved when evidence does not justify a numeric claim.</w:t>
      </w:r>
    </w:p>
    <w:tbl>
      <w:tblPr>
        <w:tblStyle w:val="TableGrid"/>
        <w:tblW w:w="0" w:type="auto"/>
        <w:jc w:val="center"/>
        <w:tblLayout w:type="fixed"/>
        <w:tblLook w:val="04A0" w:firstRow="1" w:lastRow="0" w:firstColumn="1" w:lastColumn="0" w:noHBand="0" w:noVBand="1"/>
      </w:tblPr>
      <w:tblGrid>
        <w:gridCol w:w="936"/>
        <w:gridCol w:w="4320"/>
        <w:gridCol w:w="4392"/>
      </w:tblGrid>
      <w:tr w:rsidR="00360219" w14:paraId="7D826BF3" w14:textId="77777777">
        <w:trPr>
          <w:tblHeader/>
          <w:jc w:val="center"/>
        </w:trPr>
        <w:tc>
          <w:tcPr>
            <w:tcW w:w="936" w:type="dxa"/>
            <w:shd w:val="clear" w:color="auto" w:fill="172033"/>
            <w:tcMar>
              <w:top w:w="100" w:type="dxa"/>
              <w:left w:w="110" w:type="dxa"/>
              <w:bottom w:w="100" w:type="dxa"/>
              <w:right w:w="110" w:type="dxa"/>
            </w:tcMar>
            <w:vAlign w:val="center"/>
          </w:tcPr>
          <w:p w14:paraId="0F12D04C" w14:textId="77777777" w:rsidR="00360219" w:rsidRDefault="003015F4">
            <w:pPr>
              <w:jc w:val="center"/>
            </w:pPr>
            <w:r>
              <w:rPr>
                <w:b/>
                <w:color w:val="FFFFFF"/>
                <w:sz w:val="18"/>
              </w:rPr>
              <w:t>Class</w:t>
            </w:r>
          </w:p>
        </w:tc>
        <w:tc>
          <w:tcPr>
            <w:tcW w:w="4320" w:type="dxa"/>
            <w:shd w:val="clear" w:color="auto" w:fill="172033"/>
            <w:tcMar>
              <w:top w:w="100" w:type="dxa"/>
              <w:left w:w="110" w:type="dxa"/>
              <w:bottom w:w="100" w:type="dxa"/>
              <w:right w:w="110" w:type="dxa"/>
            </w:tcMar>
            <w:vAlign w:val="center"/>
          </w:tcPr>
          <w:p w14:paraId="5FCDBB17" w14:textId="77777777" w:rsidR="00360219" w:rsidRDefault="003015F4">
            <w:pPr>
              <w:jc w:val="center"/>
            </w:pPr>
            <w:r>
              <w:rPr>
                <w:b/>
                <w:color w:val="FFFFFF"/>
                <w:sz w:val="18"/>
              </w:rPr>
              <w:t>Meaning</w:t>
            </w:r>
          </w:p>
        </w:tc>
        <w:tc>
          <w:tcPr>
            <w:tcW w:w="4392" w:type="dxa"/>
            <w:shd w:val="clear" w:color="auto" w:fill="172033"/>
            <w:tcMar>
              <w:top w:w="100" w:type="dxa"/>
              <w:left w:w="110" w:type="dxa"/>
              <w:bottom w:w="100" w:type="dxa"/>
              <w:right w:w="110" w:type="dxa"/>
            </w:tcMar>
            <w:vAlign w:val="center"/>
          </w:tcPr>
          <w:p w14:paraId="728F4622" w14:textId="77777777" w:rsidR="00360219" w:rsidRDefault="003015F4">
            <w:pPr>
              <w:jc w:val="center"/>
            </w:pPr>
            <w:r>
              <w:rPr>
                <w:b/>
                <w:color w:val="FFFFFF"/>
                <w:sz w:val="18"/>
              </w:rPr>
              <w:t>Default treatment</w:t>
            </w:r>
          </w:p>
        </w:tc>
      </w:tr>
      <w:tr w:rsidR="00360219" w14:paraId="42030C86" w14:textId="77777777">
        <w:trPr>
          <w:cantSplit/>
          <w:jc w:val="center"/>
        </w:trPr>
        <w:tc>
          <w:tcPr>
            <w:tcW w:w="936" w:type="dxa"/>
            <w:tcMar>
              <w:top w:w="100" w:type="dxa"/>
              <w:left w:w="110" w:type="dxa"/>
              <w:bottom w:w="100" w:type="dxa"/>
              <w:right w:w="110" w:type="dxa"/>
            </w:tcMar>
            <w:vAlign w:val="center"/>
          </w:tcPr>
          <w:p w14:paraId="0F74552C" w14:textId="77777777" w:rsidR="00360219" w:rsidRDefault="003015F4">
            <w:pPr>
              <w:spacing w:after="0" w:line="252" w:lineRule="auto"/>
              <w:jc w:val="center"/>
            </w:pPr>
            <w:r>
              <w:rPr>
                <w:b/>
                <w:color w:val="172033"/>
                <w:sz w:val="18"/>
              </w:rPr>
              <w:t>Q0</w:t>
            </w:r>
          </w:p>
        </w:tc>
        <w:tc>
          <w:tcPr>
            <w:tcW w:w="4320" w:type="dxa"/>
            <w:tcMar>
              <w:top w:w="100" w:type="dxa"/>
              <w:left w:w="110" w:type="dxa"/>
              <w:bottom w:w="100" w:type="dxa"/>
              <w:right w:w="110" w:type="dxa"/>
            </w:tcMar>
            <w:vAlign w:val="center"/>
          </w:tcPr>
          <w:p w14:paraId="7CF43141" w14:textId="77777777" w:rsidR="00360219" w:rsidRDefault="003015F4">
            <w:pPr>
              <w:spacing w:after="0" w:line="252" w:lineRule="auto"/>
            </w:pPr>
            <w:r>
              <w:rPr>
                <w:color w:val="172033"/>
                <w:sz w:val="18"/>
              </w:rPr>
              <w:t>Directly measurable quantitative state</w:t>
            </w:r>
          </w:p>
        </w:tc>
        <w:tc>
          <w:tcPr>
            <w:tcW w:w="4392" w:type="dxa"/>
            <w:tcMar>
              <w:top w:w="100" w:type="dxa"/>
              <w:left w:w="110" w:type="dxa"/>
              <w:bottom w:w="100" w:type="dxa"/>
              <w:right w:w="110" w:type="dxa"/>
            </w:tcMar>
            <w:vAlign w:val="center"/>
          </w:tcPr>
          <w:p w14:paraId="3F127443" w14:textId="77777777" w:rsidR="00360219" w:rsidRDefault="003015F4">
            <w:pPr>
              <w:spacing w:after="0" w:line="252" w:lineRule="auto"/>
            </w:pPr>
            <w:r>
              <w:rPr>
                <w:color w:val="172033"/>
                <w:sz w:val="18"/>
              </w:rPr>
              <w:t>Normalize directly through a registered Scale.</w:t>
            </w:r>
          </w:p>
        </w:tc>
      </w:tr>
      <w:tr w:rsidR="00360219" w14:paraId="2A4949A8" w14:textId="77777777">
        <w:trPr>
          <w:cantSplit/>
          <w:jc w:val="center"/>
        </w:trPr>
        <w:tc>
          <w:tcPr>
            <w:tcW w:w="936" w:type="dxa"/>
            <w:tcMar>
              <w:top w:w="100" w:type="dxa"/>
              <w:left w:w="110" w:type="dxa"/>
              <w:bottom w:w="100" w:type="dxa"/>
              <w:right w:w="110" w:type="dxa"/>
            </w:tcMar>
            <w:vAlign w:val="center"/>
          </w:tcPr>
          <w:p w14:paraId="0A0456E3" w14:textId="77777777" w:rsidR="00360219" w:rsidRDefault="003015F4">
            <w:pPr>
              <w:spacing w:after="0" w:line="252" w:lineRule="auto"/>
              <w:jc w:val="center"/>
            </w:pPr>
            <w:r>
              <w:rPr>
                <w:b/>
                <w:color w:val="172033"/>
                <w:sz w:val="18"/>
              </w:rPr>
              <w:t>Q1</w:t>
            </w:r>
          </w:p>
        </w:tc>
        <w:tc>
          <w:tcPr>
            <w:tcW w:w="4320" w:type="dxa"/>
            <w:tcMar>
              <w:top w:w="100" w:type="dxa"/>
              <w:left w:w="110" w:type="dxa"/>
              <w:bottom w:w="100" w:type="dxa"/>
              <w:right w:w="110" w:type="dxa"/>
            </w:tcMar>
            <w:vAlign w:val="center"/>
          </w:tcPr>
          <w:p w14:paraId="6385ECA6" w14:textId="77777777" w:rsidR="00360219" w:rsidRDefault="003015F4">
            <w:pPr>
              <w:spacing w:after="0" w:line="252" w:lineRule="auto"/>
            </w:pPr>
            <w:r>
              <w:rPr>
                <w:color w:val="172033"/>
                <w:sz w:val="18"/>
              </w:rPr>
              <w:t>Deterministically derived quantitative state</w:t>
            </w:r>
          </w:p>
        </w:tc>
        <w:tc>
          <w:tcPr>
            <w:tcW w:w="4392" w:type="dxa"/>
            <w:tcMar>
              <w:top w:w="100" w:type="dxa"/>
              <w:left w:w="110" w:type="dxa"/>
              <w:bottom w:w="100" w:type="dxa"/>
              <w:right w:w="110" w:type="dxa"/>
            </w:tcMar>
            <w:vAlign w:val="center"/>
          </w:tcPr>
          <w:p w14:paraId="23D48043" w14:textId="77777777" w:rsidR="00360219" w:rsidRDefault="003015F4">
            <w:pPr>
              <w:spacing w:after="0" w:line="252" w:lineRule="auto"/>
            </w:pPr>
            <w:r>
              <w:rPr>
                <w:color w:val="172033"/>
                <w:sz w:val="18"/>
              </w:rPr>
              <w:t>Compute the declared formula, then normalize.</w:t>
            </w:r>
          </w:p>
        </w:tc>
      </w:tr>
      <w:tr w:rsidR="00360219" w14:paraId="6FE3C9A0" w14:textId="77777777">
        <w:trPr>
          <w:cantSplit/>
          <w:jc w:val="center"/>
        </w:trPr>
        <w:tc>
          <w:tcPr>
            <w:tcW w:w="936" w:type="dxa"/>
            <w:tcMar>
              <w:top w:w="100" w:type="dxa"/>
              <w:left w:w="110" w:type="dxa"/>
              <w:bottom w:w="100" w:type="dxa"/>
              <w:right w:w="110" w:type="dxa"/>
            </w:tcMar>
            <w:vAlign w:val="center"/>
          </w:tcPr>
          <w:p w14:paraId="589B782A" w14:textId="77777777" w:rsidR="00360219" w:rsidRDefault="003015F4">
            <w:pPr>
              <w:spacing w:after="0" w:line="252" w:lineRule="auto"/>
              <w:jc w:val="center"/>
            </w:pPr>
            <w:r>
              <w:rPr>
                <w:b/>
                <w:color w:val="172033"/>
                <w:sz w:val="18"/>
              </w:rPr>
              <w:t>Q2</w:t>
            </w:r>
          </w:p>
        </w:tc>
        <w:tc>
          <w:tcPr>
            <w:tcW w:w="4320" w:type="dxa"/>
            <w:tcMar>
              <w:top w:w="100" w:type="dxa"/>
              <w:left w:w="110" w:type="dxa"/>
              <w:bottom w:w="100" w:type="dxa"/>
              <w:right w:w="110" w:type="dxa"/>
            </w:tcMar>
            <w:vAlign w:val="center"/>
          </w:tcPr>
          <w:p w14:paraId="5F5DBDB2" w14:textId="77777777" w:rsidR="00360219" w:rsidRDefault="003015F4">
            <w:pPr>
              <w:spacing w:after="0" w:line="252" w:lineRule="auto"/>
            </w:pPr>
            <w:r>
              <w:rPr>
                <w:color w:val="172033"/>
                <w:sz w:val="18"/>
              </w:rPr>
              <w:t>Quantitatively modeled or calibrated perceptual state</w:t>
            </w:r>
          </w:p>
        </w:tc>
        <w:tc>
          <w:tcPr>
            <w:tcW w:w="4392" w:type="dxa"/>
            <w:tcMar>
              <w:top w:w="100" w:type="dxa"/>
              <w:left w:w="110" w:type="dxa"/>
              <w:bottom w:w="100" w:type="dxa"/>
              <w:right w:w="110" w:type="dxa"/>
            </w:tcMar>
            <w:vAlign w:val="center"/>
          </w:tcPr>
          <w:p w14:paraId="2A4338B9" w14:textId="77777777" w:rsidR="00360219" w:rsidRDefault="003015F4">
            <w:pPr>
              <w:spacing w:after="0" w:line="252" w:lineRule="auto"/>
            </w:pPr>
            <w:r>
              <w:rPr>
                <w:color w:val="172033"/>
                <w:sz w:val="18"/>
              </w:rPr>
              <w:t>Apply the declared Model and calibration, then normalize.</w:t>
            </w:r>
          </w:p>
        </w:tc>
      </w:tr>
      <w:tr w:rsidR="00360219" w14:paraId="2841D0ED" w14:textId="77777777">
        <w:trPr>
          <w:cantSplit/>
          <w:jc w:val="center"/>
        </w:trPr>
        <w:tc>
          <w:tcPr>
            <w:tcW w:w="936" w:type="dxa"/>
            <w:tcMar>
              <w:top w:w="100" w:type="dxa"/>
              <w:left w:w="110" w:type="dxa"/>
              <w:bottom w:w="100" w:type="dxa"/>
              <w:right w:w="110" w:type="dxa"/>
            </w:tcMar>
            <w:vAlign w:val="center"/>
          </w:tcPr>
          <w:p w14:paraId="10BAF6B7" w14:textId="77777777" w:rsidR="00360219" w:rsidRDefault="003015F4">
            <w:pPr>
              <w:spacing w:after="0" w:line="252" w:lineRule="auto"/>
              <w:jc w:val="center"/>
            </w:pPr>
            <w:r>
              <w:rPr>
                <w:b/>
                <w:color w:val="172033"/>
                <w:sz w:val="18"/>
              </w:rPr>
              <w:t>S</w:t>
            </w:r>
          </w:p>
        </w:tc>
        <w:tc>
          <w:tcPr>
            <w:tcW w:w="4320" w:type="dxa"/>
            <w:tcMar>
              <w:top w:w="100" w:type="dxa"/>
              <w:left w:w="110" w:type="dxa"/>
              <w:bottom w:w="100" w:type="dxa"/>
              <w:right w:w="110" w:type="dxa"/>
            </w:tcMar>
            <w:vAlign w:val="center"/>
          </w:tcPr>
          <w:p w14:paraId="6F977A0F" w14:textId="77777777" w:rsidR="00360219" w:rsidRDefault="003015F4">
            <w:pPr>
              <w:spacing w:after="0" w:line="252" w:lineRule="auto"/>
            </w:pPr>
            <w:r>
              <w:rPr>
                <w:color w:val="172033"/>
                <w:sz w:val="18"/>
              </w:rPr>
              <w:t>Semantic variable whose meaning depends on observer or context</w:t>
            </w:r>
          </w:p>
        </w:tc>
        <w:tc>
          <w:tcPr>
            <w:tcW w:w="4392" w:type="dxa"/>
            <w:tcMar>
              <w:top w:w="100" w:type="dxa"/>
              <w:left w:w="110" w:type="dxa"/>
              <w:bottom w:w="100" w:type="dxa"/>
              <w:right w:w="110" w:type="dxa"/>
            </w:tcMar>
            <w:vAlign w:val="center"/>
          </w:tcPr>
          <w:p w14:paraId="21327867" w14:textId="77777777" w:rsidR="00360219" w:rsidRDefault="003015F4">
            <w:pPr>
              <w:spacing w:after="0" w:line="252" w:lineRule="auto"/>
            </w:pPr>
            <w:r>
              <w:rPr>
                <w:color w:val="172033"/>
                <w:sz w:val="18"/>
              </w:rPr>
              <w:t>Represent with a scoped Mask.</w:t>
            </w:r>
          </w:p>
        </w:tc>
      </w:tr>
      <w:tr w:rsidR="00360219" w14:paraId="540A3D02" w14:textId="77777777">
        <w:trPr>
          <w:cantSplit/>
          <w:jc w:val="center"/>
        </w:trPr>
        <w:tc>
          <w:tcPr>
            <w:tcW w:w="936" w:type="dxa"/>
            <w:tcMar>
              <w:top w:w="100" w:type="dxa"/>
              <w:left w:w="110" w:type="dxa"/>
              <w:bottom w:w="100" w:type="dxa"/>
              <w:right w:w="110" w:type="dxa"/>
            </w:tcMar>
            <w:vAlign w:val="center"/>
          </w:tcPr>
          <w:p w14:paraId="7FF8CED6" w14:textId="77777777" w:rsidR="00360219" w:rsidRDefault="003015F4">
            <w:pPr>
              <w:spacing w:after="0" w:line="252" w:lineRule="auto"/>
              <w:jc w:val="center"/>
            </w:pPr>
            <w:r>
              <w:rPr>
                <w:b/>
                <w:color w:val="172033"/>
                <w:sz w:val="18"/>
              </w:rPr>
              <w:t>U</w:t>
            </w:r>
          </w:p>
        </w:tc>
        <w:tc>
          <w:tcPr>
            <w:tcW w:w="4320" w:type="dxa"/>
            <w:tcMar>
              <w:top w:w="100" w:type="dxa"/>
              <w:left w:w="110" w:type="dxa"/>
              <w:bottom w:w="100" w:type="dxa"/>
              <w:right w:w="110" w:type="dxa"/>
            </w:tcMar>
            <w:vAlign w:val="center"/>
          </w:tcPr>
          <w:p w14:paraId="0723F789" w14:textId="77777777" w:rsidR="00360219" w:rsidRDefault="003015F4">
            <w:pPr>
              <w:spacing w:after="0" w:line="252" w:lineRule="auto"/>
            </w:pPr>
            <w:r>
              <w:rPr>
                <w:color w:val="172033"/>
                <w:sz w:val="18"/>
              </w:rPr>
              <w:t>Unresolved relationship with insufficient evidence</w:t>
            </w:r>
          </w:p>
        </w:tc>
        <w:tc>
          <w:tcPr>
            <w:tcW w:w="4392" w:type="dxa"/>
            <w:tcMar>
              <w:top w:w="100" w:type="dxa"/>
              <w:left w:w="110" w:type="dxa"/>
              <w:bottom w:w="100" w:type="dxa"/>
              <w:right w:w="110" w:type="dxa"/>
            </w:tcMar>
            <w:vAlign w:val="center"/>
          </w:tcPr>
          <w:p w14:paraId="09DBE5C4" w14:textId="77777777" w:rsidR="00360219" w:rsidRDefault="003015F4">
            <w:pPr>
              <w:spacing w:after="0" w:line="252" w:lineRule="auto"/>
            </w:pPr>
            <w:r>
              <w:rPr>
                <w:color w:val="172033"/>
                <w:sz w:val="18"/>
              </w:rPr>
              <w:t>Preserve as unresolved; do not manufacture precision.</w:t>
            </w:r>
          </w:p>
        </w:tc>
      </w:tr>
    </w:tbl>
    <w:p w14:paraId="27D36765" w14:textId="77777777" w:rsidR="00360219" w:rsidRDefault="00360219">
      <w:pPr>
        <w:spacing w:after="40"/>
      </w:pPr>
    </w:p>
    <w:tbl>
      <w:tblPr>
        <w:tblW w:w="0" w:type="auto"/>
        <w:jc w:val="center"/>
        <w:tblLayout w:type="fixed"/>
        <w:tblLook w:val="04A0" w:firstRow="1" w:lastRow="0" w:firstColumn="1" w:lastColumn="0" w:noHBand="0" w:noVBand="1"/>
      </w:tblPr>
      <w:tblGrid>
        <w:gridCol w:w="9864"/>
      </w:tblGrid>
      <w:tr w:rsidR="00360219" w14:paraId="2CC5B1FD"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74325638" w14:textId="77777777" w:rsidR="00360219" w:rsidRDefault="003015F4">
            <w:pPr>
              <w:spacing w:after="80" w:line="240" w:lineRule="auto"/>
              <w:jc w:val="center"/>
            </w:pPr>
            <w:r>
              <w:rPr>
                <w:noProof/>
              </w:rPr>
              <w:drawing>
                <wp:inline distT="0" distB="0" distL="0" distR="0" wp14:anchorId="7E7E6EFE" wp14:editId="53750606">
                  <wp:extent cx="6126480" cy="3446145"/>
                  <wp:effectExtent l="0" t="0" r="0" b="0"/>
                  <wp:docPr id="5" name="Picture 5" descr="Figure 5. Quantifiability Gate separating direct, derived, modeled, semantic, and unresolved relationships."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05_Quantifiability_Gate.png"/>
                          <pic:cNvPicPr/>
                        </pic:nvPicPr>
                        <pic:blipFill>
                          <a:blip r:embed="rId12"/>
                          <a:stretch>
                            <a:fillRect/>
                          </a:stretch>
                        </pic:blipFill>
                        <pic:spPr>
                          <a:xfrm>
                            <a:off x="0" y="0"/>
                            <a:ext cx="6126480" cy="3446145"/>
                          </a:xfrm>
                          <a:prstGeom prst="rect">
                            <a:avLst/>
                          </a:prstGeom>
                        </pic:spPr>
                      </pic:pic>
                    </a:graphicData>
                  </a:graphic>
                </wp:inline>
              </w:drawing>
            </w:r>
          </w:p>
          <w:p w14:paraId="4A229BF4" w14:textId="77777777" w:rsidR="00360219" w:rsidRDefault="003015F4">
            <w:pPr>
              <w:spacing w:before="40" w:after="0" w:line="252" w:lineRule="auto"/>
              <w:jc w:val="center"/>
            </w:pPr>
            <w:r>
              <w:rPr>
                <w:b/>
                <w:color w:val="172033"/>
                <w:sz w:val="18"/>
              </w:rPr>
              <w:t xml:space="preserve">Figure 5. </w:t>
            </w:r>
            <w:r>
              <w:rPr>
                <w:color w:val="5B6577"/>
                <w:sz w:val="18"/>
              </w:rPr>
              <w:t>Quantifiability Gate separating direct, derived, modeled, semantic, and unresolved relationships.</w:t>
            </w:r>
          </w:p>
        </w:tc>
      </w:tr>
    </w:tbl>
    <w:p w14:paraId="374A024A" w14:textId="77777777" w:rsidR="00360219" w:rsidRDefault="00360219">
      <w:pPr>
        <w:spacing w:after="60"/>
      </w:pPr>
    </w:p>
    <w:p w14:paraId="2D46A062" w14:textId="77777777" w:rsidR="00360219" w:rsidRDefault="003015F4">
      <w:r>
        <w:br w:type="page"/>
      </w:r>
    </w:p>
    <w:p w14:paraId="09839EBB" w14:textId="77777777" w:rsidR="00360219" w:rsidRDefault="003015F4">
      <w:pPr>
        <w:pStyle w:val="Heading1"/>
        <w:spacing w:before="200" w:after="100" w:line="240" w:lineRule="auto"/>
      </w:pPr>
      <w:r>
        <w:rPr>
          <w:rFonts w:ascii="Arial" w:hAnsi="Arial"/>
        </w:rPr>
        <w:t>6. Governing Laws</w:t>
      </w:r>
    </w:p>
    <w:p w14:paraId="196D1838" w14:textId="77777777" w:rsidR="00360219" w:rsidRDefault="003015F4">
      <w:pPr>
        <w:pStyle w:val="BodyText"/>
      </w:pPr>
      <w:r>
        <w:rPr>
          <w:color w:val="172033"/>
        </w:rPr>
        <w:t>The governing laws are intentionally restrictive at ownership boundaries and permissive at composition boundaries. They preserve raw state, make every quantitative ingress explainable, and prevent normalized compatibility from being mistaken for semantic identity.</w:t>
      </w:r>
    </w:p>
    <w:tbl>
      <w:tblPr>
        <w:tblStyle w:val="TableGrid"/>
        <w:tblW w:w="0" w:type="auto"/>
        <w:jc w:val="center"/>
        <w:tblLayout w:type="fixed"/>
        <w:tblLook w:val="04A0" w:firstRow="1" w:lastRow="0" w:firstColumn="1" w:lastColumn="0" w:noHBand="0" w:noVBand="1"/>
      </w:tblPr>
      <w:tblGrid>
        <w:gridCol w:w="2088"/>
        <w:gridCol w:w="1440"/>
        <w:gridCol w:w="6120"/>
      </w:tblGrid>
      <w:tr w:rsidR="00360219" w14:paraId="475D6EFF" w14:textId="77777777">
        <w:trPr>
          <w:tblHeader/>
          <w:jc w:val="center"/>
        </w:trPr>
        <w:tc>
          <w:tcPr>
            <w:tcW w:w="2088" w:type="dxa"/>
            <w:shd w:val="clear" w:color="auto" w:fill="172033"/>
            <w:tcMar>
              <w:top w:w="100" w:type="dxa"/>
              <w:left w:w="110" w:type="dxa"/>
              <w:bottom w:w="100" w:type="dxa"/>
              <w:right w:w="110" w:type="dxa"/>
            </w:tcMar>
            <w:vAlign w:val="center"/>
          </w:tcPr>
          <w:p w14:paraId="0946DD3C" w14:textId="77777777" w:rsidR="00360219" w:rsidRDefault="003015F4">
            <w:pPr>
              <w:jc w:val="center"/>
            </w:pPr>
            <w:r>
              <w:rPr>
                <w:b/>
                <w:color w:val="FFFFFF"/>
                <w:sz w:val="18"/>
              </w:rPr>
              <w:t>Law family</w:t>
            </w:r>
          </w:p>
        </w:tc>
        <w:tc>
          <w:tcPr>
            <w:tcW w:w="1440" w:type="dxa"/>
            <w:shd w:val="clear" w:color="auto" w:fill="172033"/>
            <w:tcMar>
              <w:top w:w="100" w:type="dxa"/>
              <w:left w:w="110" w:type="dxa"/>
              <w:bottom w:w="100" w:type="dxa"/>
              <w:right w:w="110" w:type="dxa"/>
            </w:tcMar>
            <w:vAlign w:val="center"/>
          </w:tcPr>
          <w:p w14:paraId="7EA205CF" w14:textId="77777777" w:rsidR="00360219" w:rsidRDefault="003015F4">
            <w:pPr>
              <w:jc w:val="center"/>
            </w:pPr>
            <w:r>
              <w:rPr>
                <w:b/>
                <w:color w:val="FFFFFF"/>
                <w:sz w:val="18"/>
              </w:rPr>
              <w:t>IDs</w:t>
            </w:r>
          </w:p>
        </w:tc>
        <w:tc>
          <w:tcPr>
            <w:tcW w:w="6120" w:type="dxa"/>
            <w:shd w:val="clear" w:color="auto" w:fill="172033"/>
            <w:tcMar>
              <w:top w:w="100" w:type="dxa"/>
              <w:left w:w="110" w:type="dxa"/>
              <w:bottom w:w="100" w:type="dxa"/>
              <w:right w:w="110" w:type="dxa"/>
            </w:tcMar>
            <w:vAlign w:val="center"/>
          </w:tcPr>
          <w:p w14:paraId="28C5CD30" w14:textId="77777777" w:rsidR="00360219" w:rsidRDefault="003015F4">
            <w:pPr>
              <w:jc w:val="center"/>
            </w:pPr>
            <w:r>
              <w:rPr>
                <w:b/>
                <w:color w:val="FFFFFF"/>
                <w:sz w:val="18"/>
              </w:rPr>
              <w:t>Governing effect</w:t>
            </w:r>
          </w:p>
        </w:tc>
      </w:tr>
      <w:tr w:rsidR="00360219" w14:paraId="7DD6F0DD" w14:textId="77777777">
        <w:trPr>
          <w:cantSplit/>
          <w:jc w:val="center"/>
        </w:trPr>
        <w:tc>
          <w:tcPr>
            <w:tcW w:w="2088" w:type="dxa"/>
            <w:tcMar>
              <w:top w:w="100" w:type="dxa"/>
              <w:left w:w="110" w:type="dxa"/>
              <w:bottom w:w="100" w:type="dxa"/>
              <w:right w:w="110" w:type="dxa"/>
            </w:tcMar>
            <w:vAlign w:val="center"/>
          </w:tcPr>
          <w:p w14:paraId="66780E31" w14:textId="77777777" w:rsidR="00360219" w:rsidRDefault="003015F4">
            <w:pPr>
              <w:spacing w:after="0" w:line="252" w:lineRule="auto"/>
              <w:jc w:val="center"/>
            </w:pPr>
            <w:r>
              <w:rPr>
                <w:b/>
                <w:color w:val="172033"/>
                <w:sz w:val="17"/>
              </w:rPr>
              <w:t>Source and ingress</w:t>
            </w:r>
          </w:p>
        </w:tc>
        <w:tc>
          <w:tcPr>
            <w:tcW w:w="1440" w:type="dxa"/>
            <w:tcMar>
              <w:top w:w="100" w:type="dxa"/>
              <w:left w:w="110" w:type="dxa"/>
              <w:bottom w:w="100" w:type="dxa"/>
              <w:right w:w="110" w:type="dxa"/>
            </w:tcMar>
            <w:vAlign w:val="center"/>
          </w:tcPr>
          <w:p w14:paraId="26C55AAC" w14:textId="77777777" w:rsidR="00360219" w:rsidRDefault="003015F4">
            <w:pPr>
              <w:spacing w:after="0" w:line="252" w:lineRule="auto"/>
            </w:pPr>
            <w:r>
              <w:rPr>
                <w:color w:val="172033"/>
                <w:sz w:val="17"/>
              </w:rPr>
              <w:t>NPG-L01–L07</w:t>
            </w:r>
          </w:p>
        </w:tc>
        <w:tc>
          <w:tcPr>
            <w:tcW w:w="6120" w:type="dxa"/>
            <w:tcMar>
              <w:top w:w="100" w:type="dxa"/>
              <w:left w:w="110" w:type="dxa"/>
              <w:bottom w:w="100" w:type="dxa"/>
              <w:right w:w="110" w:type="dxa"/>
            </w:tcMar>
            <w:vAlign w:val="center"/>
          </w:tcPr>
          <w:p w14:paraId="7C344F66" w14:textId="77777777" w:rsidR="00360219" w:rsidRDefault="003015F4">
            <w:pPr>
              <w:spacing w:after="0" w:line="252" w:lineRule="auto"/>
            </w:pPr>
            <w:r>
              <w:rPr>
                <w:color w:val="172033"/>
                <w:sz w:val="17"/>
              </w:rPr>
              <w:t>Preserve raw state, require explicit Scale ingress, keep Quantity and Scale ownership separate, stabilize perception identity, and expose formula/bounds/version.</w:t>
            </w:r>
          </w:p>
        </w:tc>
      </w:tr>
      <w:tr w:rsidR="00360219" w14:paraId="37A9A896" w14:textId="77777777">
        <w:trPr>
          <w:cantSplit/>
          <w:jc w:val="center"/>
        </w:trPr>
        <w:tc>
          <w:tcPr>
            <w:tcW w:w="2088" w:type="dxa"/>
            <w:tcMar>
              <w:top w:w="100" w:type="dxa"/>
              <w:left w:w="110" w:type="dxa"/>
              <w:bottom w:w="100" w:type="dxa"/>
              <w:right w:w="110" w:type="dxa"/>
            </w:tcMar>
            <w:vAlign w:val="center"/>
          </w:tcPr>
          <w:p w14:paraId="39E35562" w14:textId="77777777" w:rsidR="00360219" w:rsidRDefault="003015F4">
            <w:pPr>
              <w:spacing w:after="0" w:line="252" w:lineRule="auto"/>
              <w:jc w:val="center"/>
            </w:pPr>
            <w:r>
              <w:rPr>
                <w:b/>
                <w:color w:val="172033"/>
                <w:sz w:val="17"/>
              </w:rPr>
              <w:t>Range and state logic</w:t>
            </w:r>
          </w:p>
        </w:tc>
        <w:tc>
          <w:tcPr>
            <w:tcW w:w="1440" w:type="dxa"/>
            <w:tcMar>
              <w:top w:w="100" w:type="dxa"/>
              <w:left w:w="110" w:type="dxa"/>
              <w:bottom w:w="100" w:type="dxa"/>
              <w:right w:w="110" w:type="dxa"/>
            </w:tcMar>
            <w:vAlign w:val="center"/>
          </w:tcPr>
          <w:p w14:paraId="614F5742" w14:textId="77777777" w:rsidR="00360219" w:rsidRDefault="003015F4">
            <w:pPr>
              <w:spacing w:after="0" w:line="252" w:lineRule="auto"/>
            </w:pPr>
            <w:r>
              <w:rPr>
                <w:color w:val="172033"/>
                <w:sz w:val="17"/>
              </w:rPr>
              <w:t>NPG-L08–L14</w:t>
            </w:r>
          </w:p>
        </w:tc>
        <w:tc>
          <w:tcPr>
            <w:tcW w:w="6120" w:type="dxa"/>
            <w:tcMar>
              <w:top w:w="100" w:type="dxa"/>
              <w:left w:w="110" w:type="dxa"/>
              <w:bottom w:w="100" w:type="dxa"/>
              <w:right w:w="110" w:type="dxa"/>
            </w:tcMar>
            <w:vAlign w:val="center"/>
          </w:tcPr>
          <w:p w14:paraId="3BD363D5" w14:textId="77777777" w:rsidR="00360219" w:rsidRDefault="003015F4">
            <w:pPr>
              <w:spacing w:after="0" w:line="252" w:lineRule="auto"/>
            </w:pPr>
            <w:r>
              <w:rPr>
                <w:color w:val="172033"/>
                <w:sz w:val="17"/>
              </w:rPr>
              <w:t>Declare GRADED/GRADIENT behavior, bounded Steps, color-as-projection, stateful logic, null integrity, overflow visibility, and precision limits.</w:t>
            </w:r>
          </w:p>
        </w:tc>
      </w:tr>
      <w:tr w:rsidR="00360219" w14:paraId="77052CBC" w14:textId="77777777">
        <w:trPr>
          <w:cantSplit/>
          <w:jc w:val="center"/>
        </w:trPr>
        <w:tc>
          <w:tcPr>
            <w:tcW w:w="2088" w:type="dxa"/>
            <w:tcMar>
              <w:top w:w="100" w:type="dxa"/>
              <w:left w:w="110" w:type="dxa"/>
              <w:bottom w:w="100" w:type="dxa"/>
              <w:right w:w="110" w:type="dxa"/>
            </w:tcMar>
            <w:vAlign w:val="center"/>
          </w:tcPr>
          <w:p w14:paraId="02B563E7" w14:textId="77777777" w:rsidR="00360219" w:rsidRDefault="003015F4">
            <w:pPr>
              <w:spacing w:after="0" w:line="252" w:lineRule="auto"/>
              <w:jc w:val="center"/>
            </w:pPr>
            <w:r>
              <w:rPr>
                <w:b/>
                <w:color w:val="172033"/>
                <w:sz w:val="17"/>
              </w:rPr>
              <w:t>Transform boundary</w:t>
            </w:r>
          </w:p>
        </w:tc>
        <w:tc>
          <w:tcPr>
            <w:tcW w:w="1440" w:type="dxa"/>
            <w:tcMar>
              <w:top w:w="100" w:type="dxa"/>
              <w:left w:w="110" w:type="dxa"/>
              <w:bottom w:w="100" w:type="dxa"/>
              <w:right w:w="110" w:type="dxa"/>
            </w:tcMar>
            <w:vAlign w:val="center"/>
          </w:tcPr>
          <w:p w14:paraId="03C64D7E" w14:textId="77777777" w:rsidR="00360219" w:rsidRDefault="003015F4">
            <w:pPr>
              <w:spacing w:after="0" w:line="252" w:lineRule="auto"/>
            </w:pPr>
            <w:r>
              <w:rPr>
                <w:color w:val="172033"/>
                <w:sz w:val="17"/>
              </w:rPr>
              <w:t>NPG-L15–L17</w:t>
            </w:r>
          </w:p>
        </w:tc>
        <w:tc>
          <w:tcPr>
            <w:tcW w:w="6120" w:type="dxa"/>
            <w:tcMar>
              <w:top w:w="100" w:type="dxa"/>
              <w:left w:w="110" w:type="dxa"/>
              <w:bottom w:w="100" w:type="dxa"/>
              <w:right w:w="110" w:type="dxa"/>
            </w:tcMar>
            <w:vAlign w:val="center"/>
          </w:tcPr>
          <w:p w14:paraId="69979392" w14:textId="77777777" w:rsidR="00360219" w:rsidRDefault="003015F4">
            <w:pPr>
              <w:spacing w:after="0" w:line="252" w:lineRule="auto"/>
            </w:pPr>
            <w:r>
              <w:rPr>
                <w:color w:val="172033"/>
                <w:sz w:val="17"/>
              </w:rPr>
              <w:t>Separate raw-to-normalized ingress from normalized correspondence; common 0-100 compatibility never authorizes undeclared equivalence.</w:t>
            </w:r>
          </w:p>
        </w:tc>
      </w:tr>
      <w:tr w:rsidR="00360219" w14:paraId="671E8849" w14:textId="77777777">
        <w:trPr>
          <w:cantSplit/>
          <w:jc w:val="center"/>
        </w:trPr>
        <w:tc>
          <w:tcPr>
            <w:tcW w:w="2088" w:type="dxa"/>
            <w:tcMar>
              <w:top w:w="100" w:type="dxa"/>
              <w:left w:w="110" w:type="dxa"/>
              <w:bottom w:w="100" w:type="dxa"/>
              <w:right w:w="110" w:type="dxa"/>
            </w:tcMar>
            <w:vAlign w:val="center"/>
          </w:tcPr>
          <w:p w14:paraId="1C9225A8" w14:textId="77777777" w:rsidR="00360219" w:rsidRDefault="003015F4">
            <w:pPr>
              <w:spacing w:after="0" w:line="252" w:lineRule="auto"/>
              <w:jc w:val="center"/>
            </w:pPr>
            <w:r>
              <w:rPr>
                <w:b/>
                <w:color w:val="172033"/>
                <w:sz w:val="17"/>
              </w:rPr>
              <w:t>Human interpretation</w:t>
            </w:r>
          </w:p>
        </w:tc>
        <w:tc>
          <w:tcPr>
            <w:tcW w:w="1440" w:type="dxa"/>
            <w:tcMar>
              <w:top w:w="100" w:type="dxa"/>
              <w:left w:w="110" w:type="dxa"/>
              <w:bottom w:w="100" w:type="dxa"/>
              <w:right w:w="110" w:type="dxa"/>
            </w:tcMar>
            <w:vAlign w:val="center"/>
          </w:tcPr>
          <w:p w14:paraId="2DBB4D2A" w14:textId="77777777" w:rsidR="00360219" w:rsidRDefault="003015F4">
            <w:pPr>
              <w:spacing w:after="0" w:line="252" w:lineRule="auto"/>
            </w:pPr>
            <w:r>
              <w:rPr>
                <w:color w:val="172033"/>
                <w:sz w:val="17"/>
              </w:rPr>
              <w:t>NPG-L18–L21</w:t>
            </w:r>
          </w:p>
        </w:tc>
        <w:tc>
          <w:tcPr>
            <w:tcW w:w="6120" w:type="dxa"/>
            <w:tcMar>
              <w:top w:w="100" w:type="dxa"/>
              <w:left w:w="110" w:type="dxa"/>
              <w:bottom w:w="100" w:type="dxa"/>
              <w:right w:w="110" w:type="dxa"/>
            </w:tcMar>
            <w:vAlign w:val="center"/>
          </w:tcPr>
          <w:p w14:paraId="058C0167" w14:textId="77777777" w:rsidR="00360219" w:rsidRDefault="003015F4">
            <w:pPr>
              <w:spacing w:after="0" w:line="252" w:lineRule="auto"/>
            </w:pPr>
            <w:r>
              <w:rPr>
                <w:color w:val="172033"/>
                <w:sz w:val="17"/>
              </w:rPr>
              <w:t>Masks remain non-authoritative and observer-scoped; quantification is earned and promotion to a Model requires evidence and versioning.</w:t>
            </w:r>
          </w:p>
        </w:tc>
      </w:tr>
      <w:tr w:rsidR="00360219" w14:paraId="632E14FB" w14:textId="77777777">
        <w:trPr>
          <w:cantSplit/>
          <w:jc w:val="center"/>
        </w:trPr>
        <w:tc>
          <w:tcPr>
            <w:tcW w:w="2088" w:type="dxa"/>
            <w:tcMar>
              <w:top w:w="100" w:type="dxa"/>
              <w:left w:w="110" w:type="dxa"/>
              <w:bottom w:w="100" w:type="dxa"/>
              <w:right w:w="110" w:type="dxa"/>
            </w:tcMar>
            <w:vAlign w:val="center"/>
          </w:tcPr>
          <w:p w14:paraId="195F3762" w14:textId="77777777" w:rsidR="00360219" w:rsidRDefault="003015F4">
            <w:pPr>
              <w:spacing w:after="0" w:line="252" w:lineRule="auto"/>
              <w:jc w:val="center"/>
            </w:pPr>
            <w:r>
              <w:rPr>
                <w:b/>
                <w:color w:val="172033"/>
                <w:sz w:val="17"/>
              </w:rPr>
              <w:t>Detection and expression</w:t>
            </w:r>
          </w:p>
        </w:tc>
        <w:tc>
          <w:tcPr>
            <w:tcW w:w="1440" w:type="dxa"/>
            <w:tcMar>
              <w:top w:w="100" w:type="dxa"/>
              <w:left w:w="110" w:type="dxa"/>
              <w:bottom w:w="100" w:type="dxa"/>
              <w:right w:w="110" w:type="dxa"/>
            </w:tcMar>
            <w:vAlign w:val="center"/>
          </w:tcPr>
          <w:p w14:paraId="74DC5C6D" w14:textId="77777777" w:rsidR="00360219" w:rsidRDefault="003015F4">
            <w:pPr>
              <w:spacing w:after="0" w:line="252" w:lineRule="auto"/>
            </w:pPr>
            <w:r>
              <w:rPr>
                <w:color w:val="172033"/>
                <w:sz w:val="17"/>
              </w:rPr>
              <w:t>NPG-L22–L23</w:t>
            </w:r>
          </w:p>
        </w:tc>
        <w:tc>
          <w:tcPr>
            <w:tcW w:w="6120" w:type="dxa"/>
            <w:tcMar>
              <w:top w:w="100" w:type="dxa"/>
              <w:left w:w="110" w:type="dxa"/>
              <w:bottom w:w="100" w:type="dxa"/>
              <w:right w:w="110" w:type="dxa"/>
            </w:tcMar>
            <w:vAlign w:val="center"/>
          </w:tcPr>
          <w:p w14:paraId="44D2B9C8" w14:textId="77777777" w:rsidR="00360219" w:rsidRDefault="003015F4">
            <w:pPr>
              <w:spacing w:after="0" w:line="252" w:lineRule="auto"/>
            </w:pPr>
            <w:r>
              <w:rPr>
                <w:color w:val="172033"/>
                <w:sz w:val="17"/>
              </w:rPr>
              <w:t>Computable output does not establish detection, physical realization, actuation authority, or source truth.</w:t>
            </w:r>
          </w:p>
        </w:tc>
      </w:tr>
      <w:tr w:rsidR="00360219" w14:paraId="5E66D4AB" w14:textId="77777777">
        <w:trPr>
          <w:cantSplit/>
          <w:jc w:val="center"/>
        </w:trPr>
        <w:tc>
          <w:tcPr>
            <w:tcW w:w="2088" w:type="dxa"/>
            <w:tcMar>
              <w:top w:w="100" w:type="dxa"/>
              <w:left w:w="110" w:type="dxa"/>
              <w:bottom w:w="100" w:type="dxa"/>
              <w:right w:w="110" w:type="dxa"/>
            </w:tcMar>
            <w:vAlign w:val="center"/>
          </w:tcPr>
          <w:p w14:paraId="79E7CD87" w14:textId="77777777" w:rsidR="00360219" w:rsidRDefault="003015F4">
            <w:pPr>
              <w:spacing w:after="0" w:line="252" w:lineRule="auto"/>
              <w:jc w:val="center"/>
            </w:pPr>
            <w:r>
              <w:rPr>
                <w:b/>
                <w:color w:val="172033"/>
                <w:sz w:val="17"/>
              </w:rPr>
              <w:t>Provenance continuity</w:t>
            </w:r>
          </w:p>
        </w:tc>
        <w:tc>
          <w:tcPr>
            <w:tcW w:w="1440" w:type="dxa"/>
            <w:tcMar>
              <w:top w:w="100" w:type="dxa"/>
              <w:left w:w="110" w:type="dxa"/>
              <w:bottom w:w="100" w:type="dxa"/>
              <w:right w:w="110" w:type="dxa"/>
            </w:tcMar>
            <w:vAlign w:val="center"/>
          </w:tcPr>
          <w:p w14:paraId="4CC4A6E8" w14:textId="77777777" w:rsidR="00360219" w:rsidRDefault="003015F4">
            <w:pPr>
              <w:spacing w:after="0" w:line="252" w:lineRule="auto"/>
            </w:pPr>
            <w:r>
              <w:rPr>
                <w:color w:val="172033"/>
                <w:sz w:val="17"/>
              </w:rPr>
              <w:t>NPG-L24</w:t>
            </w:r>
          </w:p>
        </w:tc>
        <w:tc>
          <w:tcPr>
            <w:tcW w:w="6120" w:type="dxa"/>
            <w:tcMar>
              <w:top w:w="100" w:type="dxa"/>
              <w:left w:w="110" w:type="dxa"/>
              <w:bottom w:w="100" w:type="dxa"/>
              <w:right w:w="110" w:type="dxa"/>
            </w:tcMar>
            <w:vAlign w:val="center"/>
          </w:tcPr>
          <w:p w14:paraId="2F43FDA8" w14:textId="77777777" w:rsidR="00360219" w:rsidRDefault="003015F4">
            <w:pPr>
              <w:spacing w:after="0" w:line="252" w:lineRule="auto"/>
            </w:pPr>
            <w:r>
              <w:rPr>
                <w:color w:val="172033"/>
                <w:sz w:val="17"/>
              </w:rPr>
              <w:t>Keep the semantic route traceable from perceptual output back through Transform, Scale, raw measurement, and source.</w:t>
            </w:r>
          </w:p>
        </w:tc>
      </w:tr>
    </w:tbl>
    <w:p w14:paraId="29F99EA1" w14:textId="77777777" w:rsidR="00360219" w:rsidRDefault="00360219">
      <w:pPr>
        <w:spacing w:after="40"/>
      </w:pPr>
    </w:p>
    <w:p w14:paraId="68475FA7" w14:textId="77777777" w:rsidR="00360219" w:rsidRDefault="003015F4">
      <w:pPr>
        <w:pStyle w:val="BodyText"/>
      </w:pPr>
      <w:r>
        <w:rPr>
          <w:color w:val="172033"/>
        </w:rPr>
        <w:t>The complete normative law set is reproduced in Appendix A for implementation and conformance reference.</w:t>
      </w:r>
    </w:p>
    <w:p w14:paraId="152D695B" w14:textId="77777777" w:rsidR="00360219" w:rsidRDefault="003015F4">
      <w:pPr>
        <w:pageBreakBefore/>
        <w:spacing w:before="2200"/>
      </w:pPr>
      <w:r>
        <w:rPr>
          <w:b/>
          <w:color w:val="1E5AA8"/>
          <w:sz w:val="26"/>
        </w:rPr>
        <w:t>PART II</w:t>
      </w:r>
    </w:p>
    <w:p w14:paraId="0A2F79D1" w14:textId="77777777" w:rsidR="00360219" w:rsidRDefault="003015F4">
      <w:pPr>
        <w:spacing w:before="160" w:after="240" w:line="240" w:lineRule="auto"/>
      </w:pPr>
      <w:r>
        <w:rPr>
          <w:b/>
          <w:color w:val="172033"/>
          <w:sz w:val="56"/>
        </w:rPr>
        <w:t>Measurable State and Detection</w:t>
      </w:r>
    </w:p>
    <w:p w14:paraId="5A60EB6A" w14:textId="77777777" w:rsidR="00360219" w:rsidRDefault="003015F4">
      <w:pPr>
        <w:spacing w:after="0" w:line="276" w:lineRule="auto"/>
      </w:pPr>
      <w:r>
        <w:rPr>
          <w:color w:val="5B6577"/>
          <w:sz w:val="25"/>
        </w:rPr>
        <w:t>Defines the information that must exist before normalization and preserves the boundary between physical state, detected state, and quantitative evidence.</w:t>
      </w:r>
    </w:p>
    <w:tbl>
      <w:tblPr>
        <w:tblW w:w="0" w:type="auto"/>
        <w:tblLayout w:type="fixed"/>
        <w:tblLook w:val="04A0" w:firstRow="1" w:lastRow="0" w:firstColumn="1" w:lastColumn="0" w:noHBand="0" w:noVBand="1"/>
      </w:tblPr>
      <w:tblGrid>
        <w:gridCol w:w="1440"/>
      </w:tblGrid>
      <w:tr w:rsidR="00360219" w14:paraId="13AD789E" w14:textId="77777777">
        <w:tc>
          <w:tcPr>
            <w:tcW w:w="1440" w:type="dxa"/>
            <w:shd w:val="clear" w:color="auto" w:fill="1E5AA8"/>
            <w:tcMar>
              <w:top w:w="20" w:type="dxa"/>
              <w:left w:w="20" w:type="dxa"/>
              <w:bottom w:w="20" w:type="dxa"/>
              <w:right w:w="20" w:type="dxa"/>
            </w:tcMar>
          </w:tcPr>
          <w:p w14:paraId="53342CF4" w14:textId="77777777" w:rsidR="00360219" w:rsidRDefault="00360219"/>
        </w:tc>
      </w:tr>
    </w:tbl>
    <w:p w14:paraId="00F8EF10" w14:textId="77777777" w:rsidR="00360219" w:rsidRDefault="003015F4">
      <w:r>
        <w:br w:type="page"/>
      </w:r>
    </w:p>
    <w:p w14:paraId="68F7EBFD" w14:textId="77777777" w:rsidR="00360219" w:rsidRDefault="003015F4">
      <w:pPr>
        <w:pStyle w:val="Heading1"/>
        <w:spacing w:before="200" w:after="100" w:line="240" w:lineRule="auto"/>
      </w:pPr>
      <w:r>
        <w:rPr>
          <w:rFonts w:ascii="Arial" w:hAnsi="Arial"/>
        </w:rPr>
        <w:t>7. Measurable Item Contract</w:t>
      </w:r>
    </w:p>
    <w:p w14:paraId="0A252514" w14:textId="77777777" w:rsidR="00360219" w:rsidRDefault="003015F4">
      <w:pPr>
        <w:pStyle w:val="BodyText"/>
      </w:pPr>
      <w:r>
        <w:rPr>
          <w:color w:val="172033"/>
        </w:rPr>
        <w:t>A Normalization Scale cannot safely operate on a floating number. The measurable item must preserve enough context to identify what was measured, in which unit, with what precision and validity, at what time, and through which normalization route. The semantic contract may be implemented as a record, runtime packet, Model result, sensor event, simulation value, or other governed structure.</w:t>
      </w:r>
    </w:p>
    <w:tbl>
      <w:tblPr>
        <w:tblStyle w:val="TableGrid"/>
        <w:tblW w:w="0" w:type="auto"/>
        <w:jc w:val="center"/>
        <w:tblLayout w:type="fixed"/>
        <w:tblLook w:val="04A0" w:firstRow="1" w:lastRow="0" w:firstColumn="1" w:lastColumn="0" w:noHBand="0" w:noVBand="1"/>
      </w:tblPr>
      <w:tblGrid>
        <w:gridCol w:w="2232"/>
        <w:gridCol w:w="7416"/>
      </w:tblGrid>
      <w:tr w:rsidR="00360219" w14:paraId="7E9FE8E7" w14:textId="77777777">
        <w:trPr>
          <w:tblHeader/>
          <w:jc w:val="center"/>
        </w:trPr>
        <w:tc>
          <w:tcPr>
            <w:tcW w:w="2232" w:type="dxa"/>
            <w:shd w:val="clear" w:color="auto" w:fill="172033"/>
            <w:tcMar>
              <w:top w:w="100" w:type="dxa"/>
              <w:left w:w="110" w:type="dxa"/>
              <w:bottom w:w="100" w:type="dxa"/>
              <w:right w:w="110" w:type="dxa"/>
            </w:tcMar>
            <w:vAlign w:val="center"/>
          </w:tcPr>
          <w:p w14:paraId="4E0C18E0" w14:textId="77777777" w:rsidR="00360219" w:rsidRDefault="003015F4">
            <w:pPr>
              <w:jc w:val="center"/>
            </w:pPr>
            <w:r>
              <w:rPr>
                <w:b/>
                <w:color w:val="FFFFFF"/>
                <w:sz w:val="18"/>
              </w:rPr>
              <w:t>Field family</w:t>
            </w:r>
          </w:p>
        </w:tc>
        <w:tc>
          <w:tcPr>
            <w:tcW w:w="7416" w:type="dxa"/>
            <w:shd w:val="clear" w:color="auto" w:fill="172033"/>
            <w:tcMar>
              <w:top w:w="100" w:type="dxa"/>
              <w:left w:w="110" w:type="dxa"/>
              <w:bottom w:w="100" w:type="dxa"/>
              <w:right w:w="110" w:type="dxa"/>
            </w:tcMar>
            <w:vAlign w:val="center"/>
          </w:tcPr>
          <w:p w14:paraId="41233473" w14:textId="77777777" w:rsidR="00360219" w:rsidRDefault="003015F4">
            <w:pPr>
              <w:jc w:val="center"/>
            </w:pPr>
            <w:r>
              <w:rPr>
                <w:b/>
                <w:color w:val="FFFFFF"/>
                <w:sz w:val="18"/>
              </w:rPr>
              <w:t>Required semantic content</w:t>
            </w:r>
          </w:p>
        </w:tc>
      </w:tr>
      <w:tr w:rsidR="00360219" w14:paraId="10138E58" w14:textId="77777777">
        <w:trPr>
          <w:cantSplit/>
          <w:jc w:val="center"/>
        </w:trPr>
        <w:tc>
          <w:tcPr>
            <w:tcW w:w="2232" w:type="dxa"/>
            <w:shd w:val="clear" w:color="auto" w:fill="F4F6F8"/>
            <w:tcMar>
              <w:top w:w="100" w:type="dxa"/>
              <w:left w:w="110" w:type="dxa"/>
              <w:bottom w:w="100" w:type="dxa"/>
              <w:right w:w="110" w:type="dxa"/>
            </w:tcMar>
            <w:vAlign w:val="center"/>
          </w:tcPr>
          <w:p w14:paraId="57B6F0E9" w14:textId="77777777" w:rsidR="00360219" w:rsidRDefault="003015F4">
            <w:pPr>
              <w:spacing w:after="0" w:line="252" w:lineRule="auto"/>
              <w:jc w:val="center"/>
            </w:pPr>
            <w:r>
              <w:rPr>
                <w:b/>
                <w:color w:val="172033"/>
                <w:sz w:val="18"/>
              </w:rPr>
              <w:t>Identity</w:t>
            </w:r>
          </w:p>
        </w:tc>
        <w:tc>
          <w:tcPr>
            <w:tcW w:w="7416" w:type="dxa"/>
            <w:tcMar>
              <w:top w:w="100" w:type="dxa"/>
              <w:left w:w="110" w:type="dxa"/>
              <w:bottom w:w="100" w:type="dxa"/>
              <w:right w:w="110" w:type="dxa"/>
            </w:tcMar>
            <w:vAlign w:val="center"/>
          </w:tcPr>
          <w:p w14:paraId="2044F263" w14:textId="77777777" w:rsidR="00360219" w:rsidRDefault="003015F4">
            <w:pPr>
              <w:spacing w:after="0" w:line="252" w:lineRule="auto"/>
            </w:pPr>
            <w:r>
              <w:rPr>
                <w:color w:val="172033"/>
                <w:sz w:val="18"/>
              </w:rPr>
              <w:t>Item or state identity; Quantity identity.</w:t>
            </w:r>
          </w:p>
        </w:tc>
      </w:tr>
      <w:tr w:rsidR="00360219" w14:paraId="6AE63D99" w14:textId="77777777">
        <w:trPr>
          <w:cantSplit/>
          <w:jc w:val="center"/>
        </w:trPr>
        <w:tc>
          <w:tcPr>
            <w:tcW w:w="2232" w:type="dxa"/>
            <w:shd w:val="clear" w:color="auto" w:fill="F4F6F8"/>
            <w:tcMar>
              <w:top w:w="100" w:type="dxa"/>
              <w:left w:w="110" w:type="dxa"/>
              <w:bottom w:w="100" w:type="dxa"/>
              <w:right w:w="110" w:type="dxa"/>
            </w:tcMar>
            <w:vAlign w:val="center"/>
          </w:tcPr>
          <w:p w14:paraId="5948794B" w14:textId="77777777" w:rsidR="00360219" w:rsidRDefault="003015F4">
            <w:pPr>
              <w:spacing w:after="0" w:line="252" w:lineRule="auto"/>
              <w:jc w:val="center"/>
            </w:pPr>
            <w:r>
              <w:rPr>
                <w:b/>
                <w:color w:val="172033"/>
                <w:sz w:val="18"/>
              </w:rPr>
              <w:t>Measurement</w:t>
            </w:r>
          </w:p>
        </w:tc>
        <w:tc>
          <w:tcPr>
            <w:tcW w:w="7416" w:type="dxa"/>
            <w:tcMar>
              <w:top w:w="100" w:type="dxa"/>
              <w:left w:w="110" w:type="dxa"/>
              <w:bottom w:w="100" w:type="dxa"/>
              <w:right w:w="110" w:type="dxa"/>
            </w:tcMar>
            <w:vAlign w:val="center"/>
          </w:tcPr>
          <w:p w14:paraId="4C621C58" w14:textId="77777777" w:rsidR="00360219" w:rsidRDefault="003015F4">
            <w:pPr>
              <w:spacing w:after="0" w:line="252" w:lineRule="auto"/>
            </w:pPr>
            <w:r>
              <w:rPr>
                <w:color w:val="172033"/>
                <w:sz w:val="18"/>
              </w:rPr>
              <w:t>Raw Value; Raw Unit; optional Reference Frame where relevant.</w:t>
            </w:r>
          </w:p>
        </w:tc>
      </w:tr>
      <w:tr w:rsidR="00360219" w14:paraId="2B5395BB" w14:textId="77777777">
        <w:trPr>
          <w:cantSplit/>
          <w:jc w:val="center"/>
        </w:trPr>
        <w:tc>
          <w:tcPr>
            <w:tcW w:w="2232" w:type="dxa"/>
            <w:shd w:val="clear" w:color="auto" w:fill="F4F6F8"/>
            <w:tcMar>
              <w:top w:w="100" w:type="dxa"/>
              <w:left w:w="110" w:type="dxa"/>
              <w:bottom w:w="100" w:type="dxa"/>
              <w:right w:w="110" w:type="dxa"/>
            </w:tcMar>
            <w:vAlign w:val="center"/>
          </w:tcPr>
          <w:p w14:paraId="1DD60A6C" w14:textId="77777777" w:rsidR="00360219" w:rsidRDefault="003015F4">
            <w:pPr>
              <w:spacing w:after="0" w:line="252" w:lineRule="auto"/>
              <w:jc w:val="center"/>
            </w:pPr>
            <w:r>
              <w:rPr>
                <w:b/>
                <w:color w:val="172033"/>
                <w:sz w:val="18"/>
              </w:rPr>
              <w:t>Sampling</w:t>
            </w:r>
          </w:p>
        </w:tc>
        <w:tc>
          <w:tcPr>
            <w:tcW w:w="7416" w:type="dxa"/>
            <w:tcMar>
              <w:top w:w="100" w:type="dxa"/>
              <w:left w:w="110" w:type="dxa"/>
              <w:bottom w:w="100" w:type="dxa"/>
              <w:right w:w="110" w:type="dxa"/>
            </w:tcMar>
            <w:vAlign w:val="center"/>
          </w:tcPr>
          <w:p w14:paraId="375AA408" w14:textId="77777777" w:rsidR="00360219" w:rsidRDefault="003015F4">
            <w:pPr>
              <w:spacing w:after="0" w:line="252" w:lineRule="auto"/>
            </w:pPr>
            <w:r>
              <w:rPr>
                <w:color w:val="172033"/>
                <w:sz w:val="18"/>
              </w:rPr>
              <w:t>Timestamp; sample window, rate, or duration where relevant.</w:t>
            </w:r>
          </w:p>
        </w:tc>
      </w:tr>
      <w:tr w:rsidR="00360219" w14:paraId="10FF8987" w14:textId="77777777">
        <w:trPr>
          <w:cantSplit/>
          <w:jc w:val="center"/>
        </w:trPr>
        <w:tc>
          <w:tcPr>
            <w:tcW w:w="2232" w:type="dxa"/>
            <w:shd w:val="clear" w:color="auto" w:fill="F4F6F8"/>
            <w:tcMar>
              <w:top w:w="100" w:type="dxa"/>
              <w:left w:w="110" w:type="dxa"/>
              <w:bottom w:w="100" w:type="dxa"/>
              <w:right w:w="110" w:type="dxa"/>
            </w:tcMar>
            <w:vAlign w:val="center"/>
          </w:tcPr>
          <w:p w14:paraId="40A40412" w14:textId="77777777" w:rsidR="00360219" w:rsidRDefault="003015F4">
            <w:pPr>
              <w:spacing w:after="0" w:line="252" w:lineRule="auto"/>
              <w:jc w:val="center"/>
            </w:pPr>
            <w:r>
              <w:rPr>
                <w:b/>
                <w:color w:val="172033"/>
                <w:sz w:val="18"/>
              </w:rPr>
              <w:t>Quality</w:t>
            </w:r>
          </w:p>
        </w:tc>
        <w:tc>
          <w:tcPr>
            <w:tcW w:w="7416" w:type="dxa"/>
            <w:tcMar>
              <w:top w:w="100" w:type="dxa"/>
              <w:left w:w="110" w:type="dxa"/>
              <w:bottom w:w="100" w:type="dxa"/>
              <w:right w:w="110" w:type="dxa"/>
            </w:tcMar>
            <w:vAlign w:val="center"/>
          </w:tcPr>
          <w:p w14:paraId="6F3CF7E9" w14:textId="77777777" w:rsidR="00360219" w:rsidRDefault="003015F4">
            <w:pPr>
              <w:spacing w:after="0" w:line="252" w:lineRule="auto"/>
            </w:pPr>
            <w:r>
              <w:rPr>
                <w:color w:val="172033"/>
                <w:sz w:val="18"/>
              </w:rPr>
              <w:t>Declared Precision; Error or Uncertainty; Validity state.</w:t>
            </w:r>
          </w:p>
        </w:tc>
      </w:tr>
      <w:tr w:rsidR="00360219" w14:paraId="522FFE15" w14:textId="77777777">
        <w:trPr>
          <w:cantSplit/>
          <w:jc w:val="center"/>
        </w:trPr>
        <w:tc>
          <w:tcPr>
            <w:tcW w:w="2232" w:type="dxa"/>
            <w:shd w:val="clear" w:color="auto" w:fill="F4F6F8"/>
            <w:tcMar>
              <w:top w:w="100" w:type="dxa"/>
              <w:left w:w="110" w:type="dxa"/>
              <w:bottom w:w="100" w:type="dxa"/>
              <w:right w:w="110" w:type="dxa"/>
            </w:tcMar>
            <w:vAlign w:val="center"/>
          </w:tcPr>
          <w:p w14:paraId="364BB877" w14:textId="77777777" w:rsidR="00360219" w:rsidRDefault="003015F4">
            <w:pPr>
              <w:spacing w:after="0" w:line="252" w:lineRule="auto"/>
              <w:jc w:val="center"/>
            </w:pPr>
            <w:r>
              <w:rPr>
                <w:b/>
                <w:color w:val="172033"/>
                <w:sz w:val="18"/>
              </w:rPr>
              <w:t>Routing</w:t>
            </w:r>
          </w:p>
        </w:tc>
        <w:tc>
          <w:tcPr>
            <w:tcW w:w="7416" w:type="dxa"/>
            <w:tcMar>
              <w:top w:w="100" w:type="dxa"/>
              <w:left w:w="110" w:type="dxa"/>
              <w:bottom w:w="100" w:type="dxa"/>
              <w:right w:w="110" w:type="dxa"/>
            </w:tcMar>
            <w:vAlign w:val="center"/>
          </w:tcPr>
          <w:p w14:paraId="11F07E75" w14:textId="77777777" w:rsidR="00360219" w:rsidRDefault="003015F4">
            <w:pPr>
              <w:spacing w:after="0" w:line="252" w:lineRule="auto"/>
            </w:pPr>
            <w:r>
              <w:rPr>
                <w:color w:val="172033"/>
                <w:sz w:val="18"/>
              </w:rPr>
              <w:t>NormalizationContractRef selecting the exact registered Scale.</w:t>
            </w:r>
          </w:p>
        </w:tc>
      </w:tr>
      <w:tr w:rsidR="00360219" w14:paraId="2D0A12F6" w14:textId="77777777">
        <w:trPr>
          <w:cantSplit/>
          <w:jc w:val="center"/>
        </w:trPr>
        <w:tc>
          <w:tcPr>
            <w:tcW w:w="2232" w:type="dxa"/>
            <w:shd w:val="clear" w:color="auto" w:fill="F4F6F8"/>
            <w:tcMar>
              <w:top w:w="100" w:type="dxa"/>
              <w:left w:w="110" w:type="dxa"/>
              <w:bottom w:w="100" w:type="dxa"/>
              <w:right w:w="110" w:type="dxa"/>
            </w:tcMar>
            <w:vAlign w:val="center"/>
          </w:tcPr>
          <w:p w14:paraId="16335295" w14:textId="77777777" w:rsidR="00360219" w:rsidRDefault="003015F4">
            <w:pPr>
              <w:spacing w:after="0" w:line="252" w:lineRule="auto"/>
              <w:jc w:val="center"/>
            </w:pPr>
            <w:r>
              <w:rPr>
                <w:b/>
                <w:color w:val="172033"/>
                <w:sz w:val="18"/>
              </w:rPr>
              <w:t>Provenance</w:t>
            </w:r>
          </w:p>
        </w:tc>
        <w:tc>
          <w:tcPr>
            <w:tcW w:w="7416" w:type="dxa"/>
            <w:tcMar>
              <w:top w:w="100" w:type="dxa"/>
              <w:left w:w="110" w:type="dxa"/>
              <w:bottom w:w="100" w:type="dxa"/>
              <w:right w:w="110" w:type="dxa"/>
            </w:tcMar>
            <w:vAlign w:val="center"/>
          </w:tcPr>
          <w:p w14:paraId="49F3E7A2" w14:textId="77777777" w:rsidR="00360219" w:rsidRDefault="003015F4">
            <w:pPr>
              <w:spacing w:after="0" w:line="252" w:lineRule="auto"/>
            </w:pPr>
            <w:r>
              <w:rPr>
                <w:color w:val="172033"/>
                <w:sz w:val="18"/>
              </w:rPr>
              <w:t>Source, actor or process, calibration identity where applicable, and version.</w:t>
            </w:r>
          </w:p>
        </w:tc>
      </w:tr>
    </w:tbl>
    <w:p w14:paraId="76862A6D" w14:textId="77777777" w:rsidR="00360219" w:rsidRDefault="00360219">
      <w:pPr>
        <w:spacing w:after="40"/>
      </w:pPr>
    </w:p>
    <w:tbl>
      <w:tblPr>
        <w:tblW w:w="0" w:type="auto"/>
        <w:jc w:val="center"/>
        <w:tblLayout w:type="fixed"/>
        <w:tblLook w:val="04A0" w:firstRow="1" w:lastRow="0" w:firstColumn="1" w:lastColumn="0" w:noHBand="0" w:noVBand="1"/>
      </w:tblPr>
      <w:tblGrid>
        <w:gridCol w:w="9864"/>
      </w:tblGrid>
      <w:tr w:rsidR="00360219" w14:paraId="59CDABFE"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1416873E" w14:textId="77777777" w:rsidR="00360219" w:rsidRDefault="003015F4">
            <w:pPr>
              <w:spacing w:after="80" w:line="240" w:lineRule="auto"/>
              <w:jc w:val="center"/>
            </w:pPr>
            <w:r>
              <w:rPr>
                <w:noProof/>
              </w:rPr>
              <w:drawing>
                <wp:inline distT="0" distB="0" distL="0" distR="0" wp14:anchorId="4B7508D8" wp14:editId="63E11930">
                  <wp:extent cx="6126480" cy="3446145"/>
                  <wp:effectExtent l="0" t="0" r="0" b="0"/>
                  <wp:docPr id="6" name="Picture 6" descr="Figure 6. Minimum semantic field families carried by a measurable item before normalization." title="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06_Measurable_Item_Contract.png"/>
                          <pic:cNvPicPr/>
                        </pic:nvPicPr>
                        <pic:blipFill>
                          <a:blip r:embed="rId13"/>
                          <a:stretch>
                            <a:fillRect/>
                          </a:stretch>
                        </pic:blipFill>
                        <pic:spPr>
                          <a:xfrm>
                            <a:off x="0" y="0"/>
                            <a:ext cx="6126480" cy="3446145"/>
                          </a:xfrm>
                          <a:prstGeom prst="rect">
                            <a:avLst/>
                          </a:prstGeom>
                        </pic:spPr>
                      </pic:pic>
                    </a:graphicData>
                  </a:graphic>
                </wp:inline>
              </w:drawing>
            </w:r>
          </w:p>
          <w:p w14:paraId="3F4F21BA" w14:textId="77777777" w:rsidR="00360219" w:rsidRDefault="003015F4">
            <w:pPr>
              <w:spacing w:before="40" w:after="0" w:line="252" w:lineRule="auto"/>
              <w:jc w:val="center"/>
            </w:pPr>
            <w:r>
              <w:rPr>
                <w:b/>
                <w:color w:val="172033"/>
                <w:sz w:val="18"/>
              </w:rPr>
              <w:t xml:space="preserve">Figure 6. </w:t>
            </w:r>
            <w:r>
              <w:rPr>
                <w:color w:val="5B6577"/>
                <w:sz w:val="18"/>
              </w:rPr>
              <w:t>Minimum semantic field families carried by a measurable item before normalization.</w:t>
            </w:r>
          </w:p>
        </w:tc>
      </w:tr>
    </w:tbl>
    <w:p w14:paraId="424C1DCB" w14:textId="77777777" w:rsidR="00360219" w:rsidRDefault="00360219">
      <w:pPr>
        <w:spacing w:after="60"/>
      </w:pPr>
    </w:p>
    <w:p w14:paraId="7D1FCB82" w14:textId="77777777" w:rsidR="00360219" w:rsidRDefault="003015F4">
      <w:pPr>
        <w:pStyle w:val="Heading1"/>
        <w:spacing w:before="200" w:after="100" w:line="240" w:lineRule="auto"/>
      </w:pPr>
      <w:r>
        <w:rPr>
          <w:rFonts w:ascii="Arial" w:hAnsi="Arial"/>
        </w:rPr>
        <w:t>8. Physical State Is Not Detected State</w:t>
      </w:r>
    </w:p>
    <w:p w14:paraId="47CF4777" w14:textId="77777777" w:rsidR="00360219" w:rsidRDefault="003015F4">
      <w:pPr>
        <w:pStyle w:val="BodyText"/>
      </w:pPr>
      <w:r>
        <w:rPr>
          <w:color w:val="172033"/>
        </w:rPr>
        <w:t>A physical or simulated state exists independently of the detector that observes it. Detector range, sensitivity, sampling, noise, resolution, calibration, and environmental conditions mediate the measured value. The measured state may be highly reliable without being identical to the underlying physical reality. This distinction allows CERBERUS to preserve sensor limitations as inspectable metadata instead of smuggling them into the meaning of the Quantity.</w:t>
      </w:r>
    </w:p>
    <w:tbl>
      <w:tblPr>
        <w:tblW w:w="0" w:type="auto"/>
        <w:jc w:val="center"/>
        <w:tblLayout w:type="fixed"/>
        <w:tblLook w:val="04A0" w:firstRow="1" w:lastRow="0" w:firstColumn="1" w:lastColumn="0" w:noHBand="0" w:noVBand="1"/>
      </w:tblPr>
      <w:tblGrid>
        <w:gridCol w:w="9864"/>
      </w:tblGrid>
      <w:tr w:rsidR="00360219" w14:paraId="1FAE3CEC"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75F58934" w14:textId="77777777" w:rsidR="00360219" w:rsidRDefault="003015F4">
            <w:pPr>
              <w:spacing w:after="80" w:line="240" w:lineRule="auto"/>
              <w:jc w:val="center"/>
            </w:pPr>
            <w:r>
              <w:rPr>
                <w:noProof/>
              </w:rPr>
              <w:drawing>
                <wp:inline distT="0" distB="0" distL="0" distR="0" wp14:anchorId="4D9034A8" wp14:editId="3040F24A">
                  <wp:extent cx="6126480" cy="3446145"/>
                  <wp:effectExtent l="0" t="0" r="0" b="0"/>
                  <wp:docPr id="7" name="Picture 7" descr="Figure 7. Detection is mediated by detector characteristics, sampling, limits, and calibration." title="Fig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07_Physical_vs_Detected_State.png"/>
                          <pic:cNvPicPr/>
                        </pic:nvPicPr>
                        <pic:blipFill>
                          <a:blip r:embed="rId14"/>
                          <a:stretch>
                            <a:fillRect/>
                          </a:stretch>
                        </pic:blipFill>
                        <pic:spPr>
                          <a:xfrm>
                            <a:off x="0" y="0"/>
                            <a:ext cx="6126480" cy="3446145"/>
                          </a:xfrm>
                          <a:prstGeom prst="rect">
                            <a:avLst/>
                          </a:prstGeom>
                        </pic:spPr>
                      </pic:pic>
                    </a:graphicData>
                  </a:graphic>
                </wp:inline>
              </w:drawing>
            </w:r>
          </w:p>
          <w:p w14:paraId="679D7C16" w14:textId="77777777" w:rsidR="00360219" w:rsidRDefault="003015F4">
            <w:pPr>
              <w:spacing w:before="40" w:after="0" w:line="252" w:lineRule="auto"/>
              <w:jc w:val="center"/>
            </w:pPr>
            <w:r>
              <w:rPr>
                <w:b/>
                <w:color w:val="172033"/>
                <w:sz w:val="18"/>
              </w:rPr>
              <w:t xml:space="preserve">Figure 7. </w:t>
            </w:r>
            <w:r>
              <w:rPr>
                <w:color w:val="5B6577"/>
                <w:sz w:val="18"/>
              </w:rPr>
              <w:t>Detection is mediated by detector characteristics, sampling, limits, and calibration.</w:t>
            </w:r>
          </w:p>
        </w:tc>
      </w:tr>
    </w:tbl>
    <w:p w14:paraId="7A63F6E8" w14:textId="77777777" w:rsidR="00360219" w:rsidRDefault="00360219">
      <w:pPr>
        <w:spacing w:after="60"/>
      </w:pPr>
    </w:p>
    <w:p w14:paraId="680425EE" w14:textId="77777777" w:rsidR="00360219" w:rsidRDefault="003015F4">
      <w:pPr>
        <w:pStyle w:val="Heading1"/>
        <w:spacing w:before="200" w:after="100" w:line="240" w:lineRule="auto"/>
      </w:pPr>
      <w:r>
        <w:rPr>
          <w:rFonts w:ascii="Arial" w:hAnsi="Arial"/>
        </w:rPr>
        <w:t>9. Value, Validity, Precision, and Uncertainty</w:t>
      </w:r>
    </w:p>
    <w:p w14:paraId="022FFAD9" w14:textId="77777777" w:rsidR="00360219" w:rsidRDefault="003015F4">
      <w:pPr>
        <w:pStyle w:val="BodyText"/>
      </w:pPr>
      <w:r>
        <w:rPr>
          <w:color w:val="172033"/>
        </w:rPr>
        <w:t>The numeric value is only one field in the measurement packet. VALID, MISSING, UNKNOWN, BELOW DETECTION, OUT OF RANGE, SATURATED LOW, SATURATED HIGH, SENSOR ERROR, NOT APPLICABLE, and UNRESOLVED are different states. Numeric zero remains a valid number and SHALL NOT double as a universal null marker.</w:t>
      </w:r>
    </w:p>
    <w:p w14:paraId="05B71314" w14:textId="77777777" w:rsidR="00360219" w:rsidRDefault="003015F4">
      <w:pPr>
        <w:pStyle w:val="BodyText"/>
      </w:pPr>
      <w:r>
        <w:rPr>
          <w:color w:val="172033"/>
        </w:rPr>
        <w:t>Normalization also cannot manufacture precision. A source that reliably distinguishes only a small number of states may be encoded in a fine numeric datatype for convenience, but the declared precision and uncertainty must continue to describe the actual information content.</w:t>
      </w:r>
    </w:p>
    <w:tbl>
      <w:tblPr>
        <w:tblW w:w="0" w:type="auto"/>
        <w:jc w:val="center"/>
        <w:tblLayout w:type="fixed"/>
        <w:tblLook w:val="04A0" w:firstRow="1" w:lastRow="0" w:firstColumn="1" w:lastColumn="0" w:noHBand="0" w:noVBand="1"/>
      </w:tblPr>
      <w:tblGrid>
        <w:gridCol w:w="9864"/>
      </w:tblGrid>
      <w:tr w:rsidR="00360219" w14:paraId="2B3E1929"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5B639B3E" w14:textId="77777777" w:rsidR="00360219" w:rsidRDefault="003015F4">
            <w:pPr>
              <w:spacing w:after="80" w:line="240" w:lineRule="auto"/>
              <w:jc w:val="center"/>
            </w:pPr>
            <w:r>
              <w:rPr>
                <w:noProof/>
              </w:rPr>
              <w:drawing>
                <wp:inline distT="0" distB="0" distL="0" distR="0" wp14:anchorId="469BD1E1" wp14:editId="62CF8C23">
                  <wp:extent cx="6126480" cy="3446145"/>
                  <wp:effectExtent l="0" t="0" r="0" b="0"/>
                  <wp:docPr id="8" name="Picture 8" descr="Figure 8. Numeric value, validity, precision, uncertainty, and null-like states remain parallel rather than collapsed." title="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08_Value_Validity_Precision.png"/>
                          <pic:cNvPicPr/>
                        </pic:nvPicPr>
                        <pic:blipFill>
                          <a:blip r:embed="rId15"/>
                          <a:stretch>
                            <a:fillRect/>
                          </a:stretch>
                        </pic:blipFill>
                        <pic:spPr>
                          <a:xfrm>
                            <a:off x="0" y="0"/>
                            <a:ext cx="6126480" cy="3446145"/>
                          </a:xfrm>
                          <a:prstGeom prst="rect">
                            <a:avLst/>
                          </a:prstGeom>
                        </pic:spPr>
                      </pic:pic>
                    </a:graphicData>
                  </a:graphic>
                </wp:inline>
              </w:drawing>
            </w:r>
          </w:p>
          <w:p w14:paraId="1747741C" w14:textId="77777777" w:rsidR="00360219" w:rsidRDefault="003015F4">
            <w:pPr>
              <w:spacing w:before="40" w:after="0" w:line="252" w:lineRule="auto"/>
              <w:jc w:val="center"/>
            </w:pPr>
            <w:r>
              <w:rPr>
                <w:b/>
                <w:color w:val="172033"/>
                <w:sz w:val="18"/>
              </w:rPr>
              <w:t xml:space="preserve">Figure 8. </w:t>
            </w:r>
            <w:r>
              <w:rPr>
                <w:color w:val="5B6577"/>
                <w:sz w:val="18"/>
              </w:rPr>
              <w:t>Numeric value, validity, precision, uncertainty, and null-like states remain parallel rather than collapsed.</w:t>
            </w:r>
          </w:p>
        </w:tc>
      </w:tr>
    </w:tbl>
    <w:p w14:paraId="0857FC36" w14:textId="77777777" w:rsidR="00360219" w:rsidRDefault="00360219">
      <w:pPr>
        <w:spacing w:after="60"/>
      </w:pPr>
    </w:p>
    <w:p w14:paraId="32734D94" w14:textId="77777777" w:rsidR="00360219" w:rsidRDefault="003015F4">
      <w:pPr>
        <w:pStyle w:val="Heading1"/>
        <w:spacing w:before="200" w:after="100" w:line="240" w:lineRule="auto"/>
      </w:pPr>
      <w:r>
        <w:rPr>
          <w:rFonts w:ascii="Arial" w:hAnsi="Arial"/>
        </w:rPr>
        <w:t>10. The Normalization Contract Link</w:t>
      </w:r>
    </w:p>
    <w:p w14:paraId="0C73F5D2" w14:textId="77777777" w:rsidR="00360219" w:rsidRDefault="003015F4">
      <w:pPr>
        <w:pStyle w:val="BodyText"/>
      </w:pPr>
      <w:r>
        <w:rPr>
          <w:color w:val="172033"/>
        </w:rPr>
        <w:t>NormalizationContractRef is the exact semantic route from the measurable item into the Normalization Table. The reference may be authored directly on the measurable state, supplied by a Model, or resolved through an explicit contextual selector. What matters is that the applied Scale is inspectable. The Transform Matrix does not receive a raw value and guess which Scale was intended.</w:t>
      </w:r>
    </w:p>
    <w:tbl>
      <w:tblPr>
        <w:tblW w:w="0" w:type="auto"/>
        <w:jc w:val="center"/>
        <w:tblLayout w:type="fixed"/>
        <w:tblLook w:val="04A0" w:firstRow="1" w:lastRow="0" w:firstColumn="1" w:lastColumn="0" w:noHBand="0" w:noVBand="1"/>
      </w:tblPr>
      <w:tblGrid>
        <w:gridCol w:w="9864"/>
      </w:tblGrid>
      <w:tr w:rsidR="00360219" w14:paraId="1DBE396E"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57AA1E9A" w14:textId="77777777" w:rsidR="00360219" w:rsidRDefault="003015F4">
            <w:pPr>
              <w:spacing w:after="80" w:line="240" w:lineRule="auto"/>
              <w:jc w:val="center"/>
            </w:pPr>
            <w:r>
              <w:rPr>
                <w:noProof/>
              </w:rPr>
              <w:drawing>
                <wp:inline distT="0" distB="0" distL="0" distR="0" wp14:anchorId="4F400E07" wp14:editId="67671149">
                  <wp:extent cx="6126480" cy="3446145"/>
                  <wp:effectExtent l="0" t="0" r="0" b="0"/>
                  <wp:docPr id="9" name="Picture 9" descr="Figure 9. Exact NormalizationContractRef from a measurable item to its registered Scale and target Normalized Perception." title="Fig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09_Normalization_Contract_Link.png"/>
                          <pic:cNvPicPr/>
                        </pic:nvPicPr>
                        <pic:blipFill>
                          <a:blip r:embed="rId16"/>
                          <a:stretch>
                            <a:fillRect/>
                          </a:stretch>
                        </pic:blipFill>
                        <pic:spPr>
                          <a:xfrm>
                            <a:off x="0" y="0"/>
                            <a:ext cx="6126480" cy="3446145"/>
                          </a:xfrm>
                          <a:prstGeom prst="rect">
                            <a:avLst/>
                          </a:prstGeom>
                        </pic:spPr>
                      </pic:pic>
                    </a:graphicData>
                  </a:graphic>
                </wp:inline>
              </w:drawing>
            </w:r>
          </w:p>
          <w:p w14:paraId="3464E552" w14:textId="77777777" w:rsidR="00360219" w:rsidRDefault="003015F4">
            <w:pPr>
              <w:spacing w:before="40" w:after="0" w:line="252" w:lineRule="auto"/>
              <w:jc w:val="center"/>
            </w:pPr>
            <w:r>
              <w:rPr>
                <w:b/>
                <w:color w:val="172033"/>
                <w:sz w:val="18"/>
              </w:rPr>
              <w:t xml:space="preserve">Figure 9. </w:t>
            </w:r>
            <w:r>
              <w:rPr>
                <w:color w:val="5B6577"/>
                <w:sz w:val="18"/>
              </w:rPr>
              <w:t>Exact NormalizationContractRef from a measurable item to its registered Scale and target Normalized Perception.</w:t>
            </w:r>
          </w:p>
        </w:tc>
      </w:tr>
    </w:tbl>
    <w:p w14:paraId="25AE051B" w14:textId="77777777" w:rsidR="00360219" w:rsidRDefault="00360219">
      <w:pPr>
        <w:spacing w:after="60"/>
      </w:pPr>
    </w:p>
    <w:tbl>
      <w:tblPr>
        <w:tblW w:w="0" w:type="auto"/>
        <w:jc w:val="center"/>
        <w:tblLayout w:type="fixed"/>
        <w:tblLook w:val="04A0" w:firstRow="1" w:lastRow="0" w:firstColumn="1" w:lastColumn="0" w:noHBand="0" w:noVBand="1"/>
      </w:tblPr>
      <w:tblGrid>
        <w:gridCol w:w="9720"/>
      </w:tblGrid>
      <w:tr w:rsidR="00360219" w14:paraId="1352CA32" w14:textId="77777777">
        <w:trPr>
          <w:cantSplit/>
          <w:jc w:val="center"/>
        </w:trPr>
        <w:tc>
          <w:tcPr>
            <w:tcW w:w="9720" w:type="dxa"/>
            <w:tcBorders>
              <w:top w:val="single" w:sz="16" w:space="0" w:color="1E5AA8"/>
              <w:left w:val="single" w:sz="16" w:space="0" w:color="1E5AA8"/>
              <w:bottom w:val="single" w:sz="16" w:space="0" w:color="1E5AA8"/>
              <w:right w:val="single" w:sz="16" w:space="0" w:color="1E5AA8"/>
            </w:tcBorders>
            <w:shd w:val="clear" w:color="auto" w:fill="EAF1FA"/>
            <w:tcMar>
              <w:top w:w="150" w:type="dxa"/>
              <w:left w:w="170" w:type="dxa"/>
              <w:bottom w:w="150" w:type="dxa"/>
              <w:right w:w="170" w:type="dxa"/>
            </w:tcMar>
          </w:tcPr>
          <w:p w14:paraId="2006B5FA" w14:textId="77777777" w:rsidR="00360219" w:rsidRDefault="003015F4">
            <w:pPr>
              <w:spacing w:after="80" w:line="240" w:lineRule="auto"/>
            </w:pPr>
            <w:r>
              <w:rPr>
                <w:b/>
                <w:color w:val="1E5AA8"/>
                <w:sz w:val="19"/>
              </w:rPr>
              <w:t>DETECTION TAKEAWAY</w:t>
            </w:r>
          </w:p>
          <w:p w14:paraId="3C7FF124" w14:textId="77777777" w:rsidR="00360219" w:rsidRDefault="003015F4">
            <w:pPr>
              <w:spacing w:after="0"/>
            </w:pPr>
            <w:r>
              <w:rPr>
                <w:b/>
                <w:color w:val="172033"/>
                <w:sz w:val="21"/>
              </w:rPr>
              <w:t>Normalization begins only after identity, Quantity, raw unit, validity, precision, provenance, and the exact Scale route are known. Detection supplies evidence; normalization interprets that evidence inside a declared contract.</w:t>
            </w:r>
          </w:p>
        </w:tc>
      </w:tr>
    </w:tbl>
    <w:p w14:paraId="6A23AB04" w14:textId="77777777" w:rsidR="00360219" w:rsidRDefault="00360219">
      <w:pPr>
        <w:spacing w:after="40"/>
      </w:pPr>
    </w:p>
    <w:p w14:paraId="7564A3E6" w14:textId="77777777" w:rsidR="00360219" w:rsidRDefault="003015F4">
      <w:pPr>
        <w:pageBreakBefore/>
        <w:spacing w:before="2200"/>
      </w:pPr>
      <w:r>
        <w:rPr>
          <w:b/>
          <w:color w:val="1E5AA8"/>
          <w:sz w:val="26"/>
        </w:rPr>
        <w:t>PART III</w:t>
      </w:r>
    </w:p>
    <w:p w14:paraId="30F09A87" w14:textId="77777777" w:rsidR="00360219" w:rsidRDefault="003015F4">
      <w:pPr>
        <w:spacing w:before="160" w:after="240" w:line="240" w:lineRule="auto"/>
      </w:pPr>
      <w:r>
        <w:rPr>
          <w:b/>
          <w:color w:val="172033"/>
          <w:sz w:val="56"/>
        </w:rPr>
        <w:t>The Normalization Table</w:t>
      </w:r>
    </w:p>
    <w:p w14:paraId="1964FD25" w14:textId="77777777" w:rsidR="00360219" w:rsidRDefault="003015F4">
      <w:pPr>
        <w:spacing w:after="0" w:line="276" w:lineRule="auto"/>
      </w:pPr>
      <w:r>
        <w:rPr>
          <w:color w:val="5B6577"/>
          <w:sz w:val="25"/>
        </w:rPr>
        <w:t>Defines the shared registry of raw-to-normalized ingress contracts: formulas, bounds, Step architecture, colors, gates, hysteresis, and failure behavior.</w:t>
      </w:r>
    </w:p>
    <w:tbl>
      <w:tblPr>
        <w:tblW w:w="0" w:type="auto"/>
        <w:tblLayout w:type="fixed"/>
        <w:tblLook w:val="04A0" w:firstRow="1" w:lastRow="0" w:firstColumn="1" w:lastColumn="0" w:noHBand="0" w:noVBand="1"/>
      </w:tblPr>
      <w:tblGrid>
        <w:gridCol w:w="1440"/>
      </w:tblGrid>
      <w:tr w:rsidR="00360219" w14:paraId="69180888" w14:textId="77777777">
        <w:tc>
          <w:tcPr>
            <w:tcW w:w="1440" w:type="dxa"/>
            <w:shd w:val="clear" w:color="auto" w:fill="1E5AA8"/>
            <w:tcMar>
              <w:top w:w="20" w:type="dxa"/>
              <w:left w:w="20" w:type="dxa"/>
              <w:bottom w:w="20" w:type="dxa"/>
              <w:right w:w="20" w:type="dxa"/>
            </w:tcMar>
          </w:tcPr>
          <w:p w14:paraId="52502E96" w14:textId="77777777" w:rsidR="00360219" w:rsidRDefault="00360219"/>
        </w:tc>
      </w:tr>
    </w:tbl>
    <w:p w14:paraId="5A0C33A7" w14:textId="77777777" w:rsidR="00360219" w:rsidRDefault="003015F4">
      <w:r>
        <w:br w:type="page"/>
      </w:r>
    </w:p>
    <w:p w14:paraId="21267D3D" w14:textId="77777777" w:rsidR="00360219" w:rsidRDefault="003015F4">
      <w:pPr>
        <w:pStyle w:val="Heading1"/>
        <w:spacing w:before="200" w:after="100" w:line="240" w:lineRule="auto"/>
      </w:pPr>
      <w:r>
        <w:rPr>
          <w:rFonts w:ascii="Arial" w:hAnsi="Arial"/>
        </w:rPr>
        <w:t>11. Normalization Table as the Ingress Registry</w:t>
      </w:r>
    </w:p>
    <w:p w14:paraId="5C9F5264" w14:textId="77777777" w:rsidR="00360219" w:rsidRDefault="003015F4">
      <w:pPr>
        <w:pStyle w:val="BodyText"/>
      </w:pPr>
      <w:r>
        <w:rPr>
          <w:color w:val="172033"/>
        </w:rPr>
        <w:t>The Normalization Table is the shared conversion dictionary for measurable domains. Its records absorb raw-unit heterogeneity before state enters the Transform Matrix. A pressure sensor, temperature probe, light meter, simulation field, laboratory measurement, robot, weather station, or human-entered measurement can all use the same architectural route if they expose a valid Normalization Contract link.</w:t>
      </w:r>
    </w:p>
    <w:tbl>
      <w:tblPr>
        <w:tblW w:w="0" w:type="auto"/>
        <w:jc w:val="center"/>
        <w:tblLayout w:type="fixed"/>
        <w:tblLook w:val="04A0" w:firstRow="1" w:lastRow="0" w:firstColumn="1" w:lastColumn="0" w:noHBand="0" w:noVBand="1"/>
      </w:tblPr>
      <w:tblGrid>
        <w:gridCol w:w="9720"/>
      </w:tblGrid>
      <w:tr w:rsidR="00360219" w14:paraId="07C816D8" w14:textId="77777777">
        <w:trPr>
          <w:cantSplit/>
          <w:jc w:val="center"/>
        </w:trPr>
        <w:tc>
          <w:tcPr>
            <w:tcW w:w="9720" w:type="dxa"/>
            <w:tcBorders>
              <w:top w:val="single" w:sz="16" w:space="0" w:color="2B7A5E"/>
              <w:left w:val="single" w:sz="16" w:space="0" w:color="2B7A5E"/>
              <w:bottom w:val="single" w:sz="16" w:space="0" w:color="2B7A5E"/>
              <w:right w:val="single" w:sz="16" w:space="0" w:color="2B7A5E"/>
            </w:tcBorders>
            <w:shd w:val="clear" w:color="auto" w:fill="EAF5F0"/>
            <w:tcMar>
              <w:top w:w="150" w:type="dxa"/>
              <w:left w:w="170" w:type="dxa"/>
              <w:bottom w:w="150" w:type="dxa"/>
              <w:right w:w="170" w:type="dxa"/>
            </w:tcMar>
          </w:tcPr>
          <w:p w14:paraId="6728C03C" w14:textId="77777777" w:rsidR="00360219" w:rsidRDefault="003015F4">
            <w:pPr>
              <w:spacing w:after="80" w:line="240" w:lineRule="auto"/>
            </w:pPr>
            <w:r>
              <w:rPr>
                <w:b/>
                <w:color w:val="2B7A5E"/>
                <w:sz w:val="19"/>
              </w:rPr>
              <w:t>SYSTEM ROLE</w:t>
            </w:r>
          </w:p>
          <w:p w14:paraId="2163ABF2" w14:textId="77777777" w:rsidR="00360219" w:rsidRDefault="003015F4">
            <w:pPr>
              <w:spacing w:after="0"/>
            </w:pPr>
            <w:r>
              <w:rPr>
                <w:b/>
                <w:color w:val="172033"/>
                <w:sz w:val="21"/>
              </w:rPr>
              <w:t>Normalization Table owns ingress. Transform Matrix owns correspondence.</w:t>
            </w:r>
          </w:p>
        </w:tc>
      </w:tr>
    </w:tbl>
    <w:p w14:paraId="22210B3A" w14:textId="77777777" w:rsidR="00360219" w:rsidRDefault="00360219">
      <w:pPr>
        <w:spacing w:after="40"/>
      </w:pPr>
    </w:p>
    <w:tbl>
      <w:tblPr>
        <w:tblW w:w="0" w:type="auto"/>
        <w:jc w:val="center"/>
        <w:tblLayout w:type="fixed"/>
        <w:tblLook w:val="04A0" w:firstRow="1" w:lastRow="0" w:firstColumn="1" w:lastColumn="0" w:noHBand="0" w:noVBand="1"/>
      </w:tblPr>
      <w:tblGrid>
        <w:gridCol w:w="9864"/>
      </w:tblGrid>
      <w:tr w:rsidR="00360219" w14:paraId="01F5DE8E"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68B870BB" w14:textId="77777777" w:rsidR="00360219" w:rsidRDefault="003015F4">
            <w:pPr>
              <w:spacing w:after="80" w:line="240" w:lineRule="auto"/>
              <w:jc w:val="center"/>
            </w:pPr>
            <w:r>
              <w:rPr>
                <w:noProof/>
              </w:rPr>
              <w:drawing>
                <wp:inline distT="0" distB="0" distL="0" distR="0" wp14:anchorId="780F0930" wp14:editId="73E07750">
                  <wp:extent cx="6126480" cy="3446145"/>
                  <wp:effectExtent l="0" t="0" r="0" b="0"/>
                  <wp:docPr id="10" name="Picture 10" descr="Figure 10. The Normalization Table absorbs heterogeneous raw domains and resolves them into specific 0-100 Normalized Perception Records." title="Fig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10_Normalization_Table_Ingress.png"/>
                          <pic:cNvPicPr/>
                        </pic:nvPicPr>
                        <pic:blipFill>
                          <a:blip r:embed="rId17"/>
                          <a:stretch>
                            <a:fillRect/>
                          </a:stretch>
                        </pic:blipFill>
                        <pic:spPr>
                          <a:xfrm>
                            <a:off x="0" y="0"/>
                            <a:ext cx="6126480" cy="3446145"/>
                          </a:xfrm>
                          <a:prstGeom prst="rect">
                            <a:avLst/>
                          </a:prstGeom>
                        </pic:spPr>
                      </pic:pic>
                    </a:graphicData>
                  </a:graphic>
                </wp:inline>
              </w:drawing>
            </w:r>
          </w:p>
          <w:p w14:paraId="06C9ACC6" w14:textId="77777777" w:rsidR="00360219" w:rsidRDefault="003015F4">
            <w:pPr>
              <w:spacing w:before="40" w:after="0" w:line="252" w:lineRule="auto"/>
              <w:jc w:val="center"/>
            </w:pPr>
            <w:r>
              <w:rPr>
                <w:b/>
                <w:color w:val="172033"/>
                <w:sz w:val="18"/>
              </w:rPr>
              <w:t xml:space="preserve">Figure 10. </w:t>
            </w:r>
            <w:r>
              <w:rPr>
                <w:color w:val="5B6577"/>
                <w:sz w:val="18"/>
              </w:rPr>
              <w:t>The Normalization Table absorbs heterogeneous raw domains and resolves them into specific 0-100 Normalized Perception Records.</w:t>
            </w:r>
          </w:p>
        </w:tc>
      </w:tr>
    </w:tbl>
    <w:p w14:paraId="5067B105" w14:textId="77777777" w:rsidR="00360219" w:rsidRDefault="00360219">
      <w:pPr>
        <w:spacing w:after="60"/>
      </w:pPr>
    </w:p>
    <w:p w14:paraId="34FEF8F1" w14:textId="77777777" w:rsidR="00360219" w:rsidRDefault="003015F4">
      <w:pPr>
        <w:pStyle w:val="Heading1"/>
        <w:spacing w:before="200" w:after="100" w:line="240" w:lineRule="auto"/>
      </w:pPr>
      <w:r>
        <w:rPr>
          <w:rFonts w:ascii="Arial" w:hAnsi="Arial"/>
        </w:rPr>
        <w:t>12. Normalization Scale Record</w:t>
      </w:r>
    </w:p>
    <w:p w14:paraId="34A10427" w14:textId="77777777" w:rsidR="00360219" w:rsidRDefault="003015F4">
      <w:pPr>
        <w:pStyle w:val="BodyText"/>
      </w:pPr>
      <w:r>
        <w:rPr>
          <w:color w:val="172033"/>
        </w:rPr>
        <w:t>A Normalization Scale is one registered answer to one bounded quantitative question. It may be simple and linear or complex and stateful. The exact physical table schema may evolve, but the semantic field families must remain reconstructable.</w:t>
      </w:r>
    </w:p>
    <w:tbl>
      <w:tblPr>
        <w:tblStyle w:val="TableGrid"/>
        <w:tblW w:w="0" w:type="auto"/>
        <w:jc w:val="center"/>
        <w:tblLayout w:type="fixed"/>
        <w:tblLook w:val="04A0" w:firstRow="1" w:lastRow="0" w:firstColumn="1" w:lastColumn="0" w:noHBand="0" w:noVBand="1"/>
      </w:tblPr>
      <w:tblGrid>
        <w:gridCol w:w="2232"/>
        <w:gridCol w:w="7416"/>
      </w:tblGrid>
      <w:tr w:rsidR="00360219" w14:paraId="220DAA24" w14:textId="77777777">
        <w:trPr>
          <w:tblHeader/>
          <w:jc w:val="center"/>
        </w:trPr>
        <w:tc>
          <w:tcPr>
            <w:tcW w:w="2232" w:type="dxa"/>
            <w:shd w:val="clear" w:color="auto" w:fill="172033"/>
            <w:tcMar>
              <w:top w:w="100" w:type="dxa"/>
              <w:left w:w="110" w:type="dxa"/>
              <w:bottom w:w="100" w:type="dxa"/>
              <w:right w:w="110" w:type="dxa"/>
            </w:tcMar>
            <w:vAlign w:val="center"/>
          </w:tcPr>
          <w:p w14:paraId="20291467" w14:textId="77777777" w:rsidR="00360219" w:rsidRDefault="003015F4">
            <w:pPr>
              <w:jc w:val="center"/>
            </w:pPr>
            <w:r>
              <w:rPr>
                <w:b/>
                <w:color w:val="FFFFFF"/>
                <w:sz w:val="18"/>
              </w:rPr>
              <w:t>Field family</w:t>
            </w:r>
          </w:p>
        </w:tc>
        <w:tc>
          <w:tcPr>
            <w:tcW w:w="7416" w:type="dxa"/>
            <w:shd w:val="clear" w:color="auto" w:fill="172033"/>
            <w:tcMar>
              <w:top w:w="100" w:type="dxa"/>
              <w:left w:w="110" w:type="dxa"/>
              <w:bottom w:w="100" w:type="dxa"/>
              <w:right w:w="110" w:type="dxa"/>
            </w:tcMar>
            <w:vAlign w:val="center"/>
          </w:tcPr>
          <w:p w14:paraId="63006ACA" w14:textId="77777777" w:rsidR="00360219" w:rsidRDefault="003015F4">
            <w:pPr>
              <w:jc w:val="center"/>
            </w:pPr>
            <w:r>
              <w:rPr>
                <w:b/>
                <w:color w:val="FFFFFF"/>
                <w:sz w:val="18"/>
              </w:rPr>
              <w:t>Required semantic content</w:t>
            </w:r>
          </w:p>
        </w:tc>
      </w:tr>
      <w:tr w:rsidR="00360219" w14:paraId="3CDA31D8" w14:textId="77777777">
        <w:trPr>
          <w:cantSplit/>
          <w:jc w:val="center"/>
        </w:trPr>
        <w:tc>
          <w:tcPr>
            <w:tcW w:w="2232" w:type="dxa"/>
            <w:shd w:val="clear" w:color="auto" w:fill="F4F6F8"/>
            <w:tcMar>
              <w:top w:w="100" w:type="dxa"/>
              <w:left w:w="110" w:type="dxa"/>
              <w:bottom w:w="100" w:type="dxa"/>
              <w:right w:w="110" w:type="dxa"/>
            </w:tcMar>
            <w:vAlign w:val="center"/>
          </w:tcPr>
          <w:p w14:paraId="0144E9FE" w14:textId="77777777" w:rsidR="00360219" w:rsidRDefault="003015F4">
            <w:pPr>
              <w:spacing w:after="0" w:line="252" w:lineRule="auto"/>
              <w:jc w:val="center"/>
            </w:pPr>
            <w:r>
              <w:rPr>
                <w:b/>
                <w:color w:val="172033"/>
                <w:sz w:val="18"/>
              </w:rPr>
              <w:t>Identity</w:t>
            </w:r>
          </w:p>
        </w:tc>
        <w:tc>
          <w:tcPr>
            <w:tcW w:w="7416" w:type="dxa"/>
            <w:tcMar>
              <w:top w:w="100" w:type="dxa"/>
              <w:left w:w="110" w:type="dxa"/>
              <w:bottom w:w="100" w:type="dxa"/>
              <w:right w:w="110" w:type="dxa"/>
            </w:tcMar>
            <w:vAlign w:val="center"/>
          </w:tcPr>
          <w:p w14:paraId="4BD1709E" w14:textId="77777777" w:rsidR="00360219" w:rsidRDefault="003015F4">
            <w:pPr>
              <w:spacing w:after="0" w:line="252" w:lineRule="auto"/>
            </w:pPr>
            <w:r>
              <w:rPr>
                <w:color w:val="172033"/>
                <w:sz w:val="18"/>
              </w:rPr>
              <w:t>NormalizationScaleID, ScaleName, Version, Status.</w:t>
            </w:r>
          </w:p>
        </w:tc>
      </w:tr>
      <w:tr w:rsidR="00360219" w14:paraId="5F7DB276" w14:textId="77777777">
        <w:trPr>
          <w:cantSplit/>
          <w:jc w:val="center"/>
        </w:trPr>
        <w:tc>
          <w:tcPr>
            <w:tcW w:w="2232" w:type="dxa"/>
            <w:shd w:val="clear" w:color="auto" w:fill="F4F6F8"/>
            <w:tcMar>
              <w:top w:w="100" w:type="dxa"/>
              <w:left w:w="110" w:type="dxa"/>
              <w:bottom w:w="100" w:type="dxa"/>
              <w:right w:w="110" w:type="dxa"/>
            </w:tcMar>
            <w:vAlign w:val="center"/>
          </w:tcPr>
          <w:p w14:paraId="19B7059C" w14:textId="77777777" w:rsidR="00360219" w:rsidRDefault="003015F4">
            <w:pPr>
              <w:spacing w:after="0" w:line="252" w:lineRule="auto"/>
              <w:jc w:val="center"/>
            </w:pPr>
            <w:r>
              <w:rPr>
                <w:b/>
                <w:color w:val="172033"/>
                <w:sz w:val="18"/>
              </w:rPr>
              <w:t>Target</w:t>
            </w:r>
          </w:p>
        </w:tc>
        <w:tc>
          <w:tcPr>
            <w:tcW w:w="7416" w:type="dxa"/>
            <w:tcMar>
              <w:top w:w="100" w:type="dxa"/>
              <w:left w:w="110" w:type="dxa"/>
              <w:bottom w:w="100" w:type="dxa"/>
              <w:right w:w="110" w:type="dxa"/>
            </w:tcMar>
            <w:vAlign w:val="center"/>
          </w:tcPr>
          <w:p w14:paraId="1D5EF8DB" w14:textId="77777777" w:rsidR="00360219" w:rsidRDefault="003015F4">
            <w:pPr>
              <w:spacing w:after="0" w:line="252" w:lineRule="auto"/>
            </w:pPr>
            <w:r>
              <w:rPr>
                <w:color w:val="172033"/>
                <w:sz w:val="18"/>
              </w:rPr>
              <w:t>NormalizedPerceptionRef identifying the exact Transform Matrix perception record.</w:t>
            </w:r>
          </w:p>
        </w:tc>
      </w:tr>
      <w:tr w:rsidR="00360219" w14:paraId="5FFCEED7" w14:textId="77777777">
        <w:trPr>
          <w:cantSplit/>
          <w:jc w:val="center"/>
        </w:trPr>
        <w:tc>
          <w:tcPr>
            <w:tcW w:w="2232" w:type="dxa"/>
            <w:shd w:val="clear" w:color="auto" w:fill="F4F6F8"/>
            <w:tcMar>
              <w:top w:w="100" w:type="dxa"/>
              <w:left w:w="110" w:type="dxa"/>
              <w:bottom w:w="100" w:type="dxa"/>
              <w:right w:w="110" w:type="dxa"/>
            </w:tcMar>
            <w:vAlign w:val="center"/>
          </w:tcPr>
          <w:p w14:paraId="74344EF4" w14:textId="77777777" w:rsidR="00360219" w:rsidRDefault="003015F4">
            <w:pPr>
              <w:spacing w:after="0" w:line="252" w:lineRule="auto"/>
              <w:jc w:val="center"/>
            </w:pPr>
            <w:r>
              <w:rPr>
                <w:b/>
                <w:color w:val="172033"/>
                <w:sz w:val="18"/>
              </w:rPr>
              <w:t>Input</w:t>
            </w:r>
          </w:p>
        </w:tc>
        <w:tc>
          <w:tcPr>
            <w:tcW w:w="7416" w:type="dxa"/>
            <w:tcMar>
              <w:top w:w="100" w:type="dxa"/>
              <w:left w:w="110" w:type="dxa"/>
              <w:bottom w:w="100" w:type="dxa"/>
              <w:right w:w="110" w:type="dxa"/>
            </w:tcMar>
            <w:vAlign w:val="center"/>
          </w:tcPr>
          <w:p w14:paraId="15C5CAAC" w14:textId="77777777" w:rsidR="00360219" w:rsidRDefault="003015F4">
            <w:pPr>
              <w:spacing w:after="0" w:line="252" w:lineRule="auto"/>
            </w:pPr>
            <w:r>
              <w:rPr>
                <w:color w:val="172033"/>
                <w:sz w:val="18"/>
              </w:rPr>
              <w:t>QuantityRef, AcceptedRawUnit, RawMin, RawMax.</w:t>
            </w:r>
          </w:p>
        </w:tc>
      </w:tr>
      <w:tr w:rsidR="00360219" w14:paraId="54D6AA80" w14:textId="77777777">
        <w:trPr>
          <w:cantSplit/>
          <w:jc w:val="center"/>
        </w:trPr>
        <w:tc>
          <w:tcPr>
            <w:tcW w:w="2232" w:type="dxa"/>
            <w:shd w:val="clear" w:color="auto" w:fill="F4F6F8"/>
            <w:tcMar>
              <w:top w:w="100" w:type="dxa"/>
              <w:left w:w="110" w:type="dxa"/>
              <w:bottom w:w="100" w:type="dxa"/>
              <w:right w:w="110" w:type="dxa"/>
            </w:tcMar>
            <w:vAlign w:val="center"/>
          </w:tcPr>
          <w:p w14:paraId="05639D74" w14:textId="77777777" w:rsidR="00360219" w:rsidRDefault="003015F4">
            <w:pPr>
              <w:spacing w:after="0" w:line="252" w:lineRule="auto"/>
              <w:jc w:val="center"/>
            </w:pPr>
            <w:r>
              <w:rPr>
                <w:b/>
                <w:color w:val="172033"/>
                <w:sz w:val="18"/>
              </w:rPr>
              <w:t>Mathematics</w:t>
            </w:r>
          </w:p>
        </w:tc>
        <w:tc>
          <w:tcPr>
            <w:tcW w:w="7416" w:type="dxa"/>
            <w:tcMar>
              <w:top w:w="100" w:type="dxa"/>
              <w:left w:w="110" w:type="dxa"/>
              <w:bottom w:w="100" w:type="dxa"/>
              <w:right w:w="110" w:type="dxa"/>
            </w:tcMar>
            <w:vAlign w:val="center"/>
          </w:tcPr>
          <w:p w14:paraId="599C1B78" w14:textId="77777777" w:rsidR="00360219" w:rsidRDefault="003015F4">
            <w:pPr>
              <w:spacing w:after="0" w:line="252" w:lineRule="auto"/>
            </w:pPr>
            <w:r>
              <w:rPr>
                <w:color w:val="172033"/>
                <w:sz w:val="18"/>
              </w:rPr>
              <w:t>Formula or FormulaRef, FormulaType, forward normalization, optional inverse normalization.</w:t>
            </w:r>
          </w:p>
        </w:tc>
      </w:tr>
      <w:tr w:rsidR="00360219" w14:paraId="75778A30" w14:textId="77777777">
        <w:trPr>
          <w:cantSplit/>
          <w:jc w:val="center"/>
        </w:trPr>
        <w:tc>
          <w:tcPr>
            <w:tcW w:w="2232" w:type="dxa"/>
            <w:shd w:val="clear" w:color="auto" w:fill="F4F6F8"/>
            <w:tcMar>
              <w:top w:w="100" w:type="dxa"/>
              <w:left w:w="110" w:type="dxa"/>
              <w:bottom w:w="100" w:type="dxa"/>
              <w:right w:w="110" w:type="dxa"/>
            </w:tcMar>
            <w:vAlign w:val="center"/>
          </w:tcPr>
          <w:p w14:paraId="4A57DD85" w14:textId="77777777" w:rsidR="00360219" w:rsidRDefault="003015F4">
            <w:pPr>
              <w:spacing w:after="0" w:line="252" w:lineRule="auto"/>
              <w:jc w:val="center"/>
            </w:pPr>
            <w:r>
              <w:rPr>
                <w:b/>
                <w:color w:val="172033"/>
                <w:sz w:val="18"/>
              </w:rPr>
              <w:t>Resolution mode</w:t>
            </w:r>
          </w:p>
        </w:tc>
        <w:tc>
          <w:tcPr>
            <w:tcW w:w="7416" w:type="dxa"/>
            <w:tcMar>
              <w:top w:w="100" w:type="dxa"/>
              <w:left w:w="110" w:type="dxa"/>
              <w:bottom w:w="100" w:type="dxa"/>
              <w:right w:w="110" w:type="dxa"/>
            </w:tcMar>
            <w:vAlign w:val="center"/>
          </w:tcPr>
          <w:p w14:paraId="27DA1C2C" w14:textId="77777777" w:rsidR="00360219" w:rsidRDefault="003015F4">
            <w:pPr>
              <w:spacing w:after="0" w:line="252" w:lineRule="auto"/>
            </w:pPr>
            <w:r>
              <w:rPr>
                <w:color w:val="172033"/>
                <w:sz w:val="18"/>
              </w:rPr>
              <w:t>GRADED or GRADIENT.</w:t>
            </w:r>
          </w:p>
        </w:tc>
      </w:tr>
      <w:tr w:rsidR="00360219" w14:paraId="2D9F1399" w14:textId="77777777">
        <w:trPr>
          <w:cantSplit/>
          <w:jc w:val="center"/>
        </w:trPr>
        <w:tc>
          <w:tcPr>
            <w:tcW w:w="2232" w:type="dxa"/>
            <w:shd w:val="clear" w:color="auto" w:fill="F4F6F8"/>
            <w:tcMar>
              <w:top w:w="100" w:type="dxa"/>
              <w:left w:w="110" w:type="dxa"/>
              <w:bottom w:w="100" w:type="dxa"/>
              <w:right w:w="110" w:type="dxa"/>
            </w:tcMar>
            <w:vAlign w:val="center"/>
          </w:tcPr>
          <w:p w14:paraId="05FD5B36" w14:textId="77777777" w:rsidR="00360219" w:rsidRDefault="003015F4">
            <w:pPr>
              <w:spacing w:after="0" w:line="252" w:lineRule="auto"/>
              <w:jc w:val="center"/>
            </w:pPr>
            <w:r>
              <w:rPr>
                <w:b/>
                <w:color w:val="172033"/>
                <w:sz w:val="18"/>
              </w:rPr>
              <w:t>Step architecture</w:t>
            </w:r>
          </w:p>
        </w:tc>
        <w:tc>
          <w:tcPr>
            <w:tcW w:w="7416" w:type="dxa"/>
            <w:tcMar>
              <w:top w:w="100" w:type="dxa"/>
              <w:left w:w="110" w:type="dxa"/>
              <w:bottom w:w="100" w:type="dxa"/>
              <w:right w:w="110" w:type="dxa"/>
            </w:tcMar>
            <w:vAlign w:val="center"/>
          </w:tcPr>
          <w:p w14:paraId="63A0DF30" w14:textId="77777777" w:rsidR="00360219" w:rsidRDefault="003015F4">
            <w:pPr>
              <w:spacing w:after="0" w:line="252" w:lineRule="auto"/>
            </w:pPr>
            <w:r>
              <w:rPr>
                <w:color w:val="172033"/>
                <w:sz w:val="18"/>
              </w:rPr>
              <w:t>StepCount from 1 to 10; ordered Step definitions.</w:t>
            </w:r>
          </w:p>
        </w:tc>
      </w:tr>
      <w:tr w:rsidR="00360219" w14:paraId="001F3963" w14:textId="77777777">
        <w:trPr>
          <w:cantSplit/>
          <w:jc w:val="center"/>
        </w:trPr>
        <w:tc>
          <w:tcPr>
            <w:tcW w:w="2232" w:type="dxa"/>
            <w:shd w:val="clear" w:color="auto" w:fill="F4F6F8"/>
            <w:tcMar>
              <w:top w:w="100" w:type="dxa"/>
              <w:left w:w="110" w:type="dxa"/>
              <w:bottom w:w="100" w:type="dxa"/>
              <w:right w:w="110" w:type="dxa"/>
            </w:tcMar>
            <w:vAlign w:val="center"/>
          </w:tcPr>
          <w:p w14:paraId="4ABFA248" w14:textId="77777777" w:rsidR="00360219" w:rsidRDefault="003015F4">
            <w:pPr>
              <w:spacing w:after="0" w:line="252" w:lineRule="auto"/>
              <w:jc w:val="center"/>
            </w:pPr>
            <w:r>
              <w:rPr>
                <w:b/>
                <w:color w:val="172033"/>
                <w:sz w:val="18"/>
              </w:rPr>
              <w:t>Color behavior</w:t>
            </w:r>
          </w:p>
        </w:tc>
        <w:tc>
          <w:tcPr>
            <w:tcW w:w="7416" w:type="dxa"/>
            <w:tcMar>
              <w:top w:w="100" w:type="dxa"/>
              <w:left w:w="110" w:type="dxa"/>
              <w:bottom w:w="100" w:type="dxa"/>
              <w:right w:w="110" w:type="dxa"/>
            </w:tcMar>
            <w:vAlign w:val="center"/>
          </w:tcPr>
          <w:p w14:paraId="34C18BDC" w14:textId="77777777" w:rsidR="00360219" w:rsidRDefault="003015F4">
            <w:pPr>
              <w:spacing w:after="0" w:line="252" w:lineRule="auto"/>
            </w:pPr>
            <w:r>
              <w:rPr>
                <w:color w:val="172033"/>
                <w:sz w:val="18"/>
              </w:rPr>
              <w:t>DEFAULT or CUSTOM; custom Step colors up to StepCount.</w:t>
            </w:r>
          </w:p>
        </w:tc>
      </w:tr>
      <w:tr w:rsidR="00360219" w14:paraId="7D997687" w14:textId="77777777">
        <w:trPr>
          <w:cantSplit/>
          <w:jc w:val="center"/>
        </w:trPr>
        <w:tc>
          <w:tcPr>
            <w:tcW w:w="2232" w:type="dxa"/>
            <w:shd w:val="clear" w:color="auto" w:fill="F4F6F8"/>
            <w:tcMar>
              <w:top w:w="100" w:type="dxa"/>
              <w:left w:w="110" w:type="dxa"/>
              <w:bottom w:w="100" w:type="dxa"/>
              <w:right w:w="110" w:type="dxa"/>
            </w:tcMar>
            <w:vAlign w:val="center"/>
          </w:tcPr>
          <w:p w14:paraId="48E942DC" w14:textId="77777777" w:rsidR="00360219" w:rsidRDefault="003015F4">
            <w:pPr>
              <w:spacing w:after="0" w:line="252" w:lineRule="auto"/>
              <w:jc w:val="center"/>
            </w:pPr>
            <w:r>
              <w:rPr>
                <w:b/>
                <w:color w:val="172033"/>
                <w:sz w:val="18"/>
              </w:rPr>
              <w:t>State logic</w:t>
            </w:r>
          </w:p>
        </w:tc>
        <w:tc>
          <w:tcPr>
            <w:tcW w:w="7416" w:type="dxa"/>
            <w:tcMar>
              <w:top w:w="100" w:type="dxa"/>
              <w:left w:w="110" w:type="dxa"/>
              <w:bottom w:w="100" w:type="dxa"/>
              <w:right w:w="110" w:type="dxa"/>
            </w:tcMar>
            <w:vAlign w:val="center"/>
          </w:tcPr>
          <w:p w14:paraId="37B6DF18" w14:textId="77777777" w:rsidR="00360219" w:rsidRDefault="003015F4">
            <w:pPr>
              <w:spacing w:after="0" w:line="252" w:lineRule="auto"/>
            </w:pPr>
            <w:r>
              <w:rPr>
                <w:color w:val="172033"/>
                <w:sz w:val="18"/>
              </w:rPr>
              <w:t>Optional gate Rules, enter/exit thresholds, hysteresis, minimum duration, previous-state requirements.</w:t>
            </w:r>
          </w:p>
        </w:tc>
      </w:tr>
      <w:tr w:rsidR="00360219" w14:paraId="71C431E6" w14:textId="77777777">
        <w:trPr>
          <w:cantSplit/>
          <w:jc w:val="center"/>
        </w:trPr>
        <w:tc>
          <w:tcPr>
            <w:tcW w:w="2232" w:type="dxa"/>
            <w:shd w:val="clear" w:color="auto" w:fill="F4F6F8"/>
            <w:tcMar>
              <w:top w:w="100" w:type="dxa"/>
              <w:left w:w="110" w:type="dxa"/>
              <w:bottom w:w="100" w:type="dxa"/>
              <w:right w:w="110" w:type="dxa"/>
            </w:tcMar>
            <w:vAlign w:val="center"/>
          </w:tcPr>
          <w:p w14:paraId="03651EF2" w14:textId="77777777" w:rsidR="00360219" w:rsidRDefault="003015F4">
            <w:pPr>
              <w:spacing w:after="0" w:line="252" w:lineRule="auto"/>
              <w:jc w:val="center"/>
            </w:pPr>
            <w:r>
              <w:rPr>
                <w:b/>
                <w:color w:val="172033"/>
                <w:sz w:val="18"/>
              </w:rPr>
              <w:t>Bounds and failure</w:t>
            </w:r>
          </w:p>
        </w:tc>
        <w:tc>
          <w:tcPr>
            <w:tcW w:w="7416" w:type="dxa"/>
            <w:tcMar>
              <w:top w:w="100" w:type="dxa"/>
              <w:left w:w="110" w:type="dxa"/>
              <w:bottom w:w="100" w:type="dxa"/>
              <w:right w:w="110" w:type="dxa"/>
            </w:tcMar>
            <w:vAlign w:val="center"/>
          </w:tcPr>
          <w:p w14:paraId="5960CDCE" w14:textId="77777777" w:rsidR="00360219" w:rsidRDefault="003015F4">
            <w:pPr>
              <w:spacing w:after="0" w:line="252" w:lineRule="auto"/>
            </w:pPr>
            <w:r>
              <w:rPr>
                <w:color w:val="172033"/>
                <w:sz w:val="18"/>
              </w:rPr>
              <w:t>BelowRangePolicy, AboveRangePolicy, ClampPolicy, SaturationPolicy, NullPolicy.</w:t>
            </w:r>
          </w:p>
        </w:tc>
      </w:tr>
      <w:tr w:rsidR="00360219" w14:paraId="6D502C75" w14:textId="77777777">
        <w:trPr>
          <w:cantSplit/>
          <w:jc w:val="center"/>
        </w:trPr>
        <w:tc>
          <w:tcPr>
            <w:tcW w:w="2232" w:type="dxa"/>
            <w:shd w:val="clear" w:color="auto" w:fill="F4F6F8"/>
            <w:tcMar>
              <w:top w:w="100" w:type="dxa"/>
              <w:left w:w="110" w:type="dxa"/>
              <w:bottom w:w="100" w:type="dxa"/>
              <w:right w:w="110" w:type="dxa"/>
            </w:tcMar>
            <w:vAlign w:val="center"/>
          </w:tcPr>
          <w:p w14:paraId="0EBB2B23" w14:textId="77777777" w:rsidR="00360219" w:rsidRDefault="003015F4">
            <w:pPr>
              <w:spacing w:after="0" w:line="252" w:lineRule="auto"/>
              <w:jc w:val="center"/>
            </w:pPr>
            <w:r>
              <w:rPr>
                <w:b/>
                <w:color w:val="172033"/>
                <w:sz w:val="18"/>
              </w:rPr>
              <w:t>Governance</w:t>
            </w:r>
          </w:p>
        </w:tc>
        <w:tc>
          <w:tcPr>
            <w:tcW w:w="7416" w:type="dxa"/>
            <w:tcMar>
              <w:top w:w="100" w:type="dxa"/>
              <w:left w:w="110" w:type="dxa"/>
              <w:bottom w:w="100" w:type="dxa"/>
              <w:right w:w="110" w:type="dxa"/>
            </w:tcMar>
            <w:vAlign w:val="center"/>
          </w:tcPr>
          <w:p w14:paraId="3D728474" w14:textId="77777777" w:rsidR="00360219" w:rsidRDefault="003015F4">
            <w:pPr>
              <w:spacing w:after="0" w:line="252" w:lineRule="auto"/>
            </w:pPr>
            <w:r>
              <w:rPr>
                <w:color w:val="172033"/>
                <w:sz w:val="18"/>
              </w:rPr>
              <w:t>Source, formula version, provenance, validation status.</w:t>
            </w:r>
          </w:p>
        </w:tc>
      </w:tr>
    </w:tbl>
    <w:p w14:paraId="37C667EF" w14:textId="77777777" w:rsidR="00360219" w:rsidRDefault="00360219">
      <w:pPr>
        <w:spacing w:after="40"/>
      </w:pPr>
    </w:p>
    <w:tbl>
      <w:tblPr>
        <w:tblW w:w="0" w:type="auto"/>
        <w:jc w:val="center"/>
        <w:tblLayout w:type="fixed"/>
        <w:tblLook w:val="04A0" w:firstRow="1" w:lastRow="0" w:firstColumn="1" w:lastColumn="0" w:noHBand="0" w:noVBand="1"/>
      </w:tblPr>
      <w:tblGrid>
        <w:gridCol w:w="9864"/>
      </w:tblGrid>
      <w:tr w:rsidR="00360219" w14:paraId="5DB8572A"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518E1729" w14:textId="77777777" w:rsidR="00360219" w:rsidRDefault="003015F4">
            <w:pPr>
              <w:spacing w:after="80" w:line="240" w:lineRule="auto"/>
              <w:jc w:val="center"/>
            </w:pPr>
            <w:r>
              <w:rPr>
                <w:noProof/>
              </w:rPr>
              <w:drawing>
                <wp:inline distT="0" distB="0" distL="0" distR="0" wp14:anchorId="054E2217" wp14:editId="217E80BC">
                  <wp:extent cx="6126480" cy="3446145"/>
                  <wp:effectExtent l="0" t="0" r="0" b="0"/>
                  <wp:docPr id="11" name="Picture 11" descr="Figure 11. Semantic anatomy of a Normalization Scale record." title="Fig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11_Scale_Record_Anatomy.png"/>
                          <pic:cNvPicPr/>
                        </pic:nvPicPr>
                        <pic:blipFill>
                          <a:blip r:embed="rId18"/>
                          <a:stretch>
                            <a:fillRect/>
                          </a:stretch>
                        </pic:blipFill>
                        <pic:spPr>
                          <a:xfrm>
                            <a:off x="0" y="0"/>
                            <a:ext cx="6126480" cy="3446145"/>
                          </a:xfrm>
                          <a:prstGeom prst="rect">
                            <a:avLst/>
                          </a:prstGeom>
                        </pic:spPr>
                      </pic:pic>
                    </a:graphicData>
                  </a:graphic>
                </wp:inline>
              </w:drawing>
            </w:r>
          </w:p>
          <w:p w14:paraId="531B69D8" w14:textId="77777777" w:rsidR="00360219" w:rsidRDefault="003015F4">
            <w:pPr>
              <w:spacing w:before="40" w:after="0" w:line="252" w:lineRule="auto"/>
              <w:jc w:val="center"/>
            </w:pPr>
            <w:r>
              <w:rPr>
                <w:b/>
                <w:color w:val="172033"/>
                <w:sz w:val="18"/>
              </w:rPr>
              <w:t xml:space="preserve">Figure 11. </w:t>
            </w:r>
            <w:r>
              <w:rPr>
                <w:color w:val="5B6577"/>
                <w:sz w:val="18"/>
              </w:rPr>
              <w:t>Semantic anatomy of a Normalization Scale record.</w:t>
            </w:r>
          </w:p>
        </w:tc>
      </w:tr>
    </w:tbl>
    <w:p w14:paraId="03F4BBFB" w14:textId="77777777" w:rsidR="00360219" w:rsidRDefault="00360219">
      <w:pPr>
        <w:spacing w:after="60"/>
      </w:pPr>
    </w:p>
    <w:p w14:paraId="5EDC37DE" w14:textId="77777777" w:rsidR="00360219" w:rsidRDefault="003015F4">
      <w:pPr>
        <w:pStyle w:val="Heading1"/>
        <w:spacing w:before="200" w:after="100" w:line="240" w:lineRule="auto"/>
      </w:pPr>
      <w:r>
        <w:rPr>
          <w:rFonts w:ascii="Arial" w:hAnsi="Arial"/>
        </w:rPr>
        <w:t>13. One Quantity, Many Bounded Questions</w:t>
      </w:r>
    </w:p>
    <w:p w14:paraId="41581584" w14:textId="77777777" w:rsidR="00360219" w:rsidRDefault="003015F4">
      <w:pPr>
        <w:pStyle w:val="BodyText"/>
      </w:pPr>
      <w:r>
        <w:rPr>
          <w:color w:val="172033"/>
        </w:rPr>
        <w:t>The measured Quantity owns what was measured. The Normalization Scale owns the bounded question being asked of that Quantity. TEMPERATURE therefore does not need one universal CERBERUS raw scale. Meat cooking, human contact, room environment, industrial furnace, cryogenic, and stellar contexts can each define separate Normalization Scales while pointing to the same stable TEMPERATURE Normalized Perception identity.</w:t>
      </w:r>
    </w:p>
    <w:p w14:paraId="6B3E48EF" w14:textId="77777777" w:rsidR="00360219" w:rsidRDefault="003015F4">
      <w:pPr>
        <w:pStyle w:val="BodyText"/>
      </w:pPr>
      <w:r>
        <w:rPr>
          <w:color w:val="172033"/>
        </w:rPr>
        <w:t>This architecture preserves two facts simultaneously: the perception dimension can remain stable across contexts, while the ScaleRef retains the exact raw-domain meaning of each normalized value. A normalized value is never sufficient evidence for raw-domain comparison unless the relevant Scale relationship is also known.</w:t>
      </w:r>
    </w:p>
    <w:tbl>
      <w:tblPr>
        <w:tblW w:w="0" w:type="auto"/>
        <w:jc w:val="center"/>
        <w:tblLayout w:type="fixed"/>
        <w:tblLook w:val="04A0" w:firstRow="1" w:lastRow="0" w:firstColumn="1" w:lastColumn="0" w:noHBand="0" w:noVBand="1"/>
      </w:tblPr>
      <w:tblGrid>
        <w:gridCol w:w="9864"/>
      </w:tblGrid>
      <w:tr w:rsidR="00360219" w14:paraId="3255D231"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4F80ECD0" w14:textId="77777777" w:rsidR="00360219" w:rsidRDefault="003015F4">
            <w:pPr>
              <w:spacing w:after="80" w:line="240" w:lineRule="auto"/>
              <w:jc w:val="center"/>
            </w:pPr>
            <w:r>
              <w:rPr>
                <w:noProof/>
              </w:rPr>
              <w:drawing>
                <wp:inline distT="0" distB="0" distL="0" distR="0" wp14:anchorId="0D1D5E81" wp14:editId="3ABF22CD">
                  <wp:extent cx="6126480" cy="3446145"/>
                  <wp:effectExtent l="0" t="0" r="0" b="0"/>
                  <wp:docPr id="12" name="Picture 12" descr="Figure 12. One measured Quantity can support many bounded Normalization Scales that resolve into one stable Normalized Perception identity." title="Fig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12_One_Quantity_Many_Scales.png"/>
                          <pic:cNvPicPr/>
                        </pic:nvPicPr>
                        <pic:blipFill>
                          <a:blip r:embed="rId19"/>
                          <a:stretch>
                            <a:fillRect/>
                          </a:stretch>
                        </pic:blipFill>
                        <pic:spPr>
                          <a:xfrm>
                            <a:off x="0" y="0"/>
                            <a:ext cx="6126480" cy="3446145"/>
                          </a:xfrm>
                          <a:prstGeom prst="rect">
                            <a:avLst/>
                          </a:prstGeom>
                        </pic:spPr>
                      </pic:pic>
                    </a:graphicData>
                  </a:graphic>
                </wp:inline>
              </w:drawing>
            </w:r>
          </w:p>
          <w:p w14:paraId="2009C84C" w14:textId="77777777" w:rsidR="00360219" w:rsidRDefault="003015F4">
            <w:pPr>
              <w:spacing w:before="40" w:after="0" w:line="252" w:lineRule="auto"/>
              <w:jc w:val="center"/>
            </w:pPr>
            <w:r>
              <w:rPr>
                <w:b/>
                <w:color w:val="172033"/>
                <w:sz w:val="18"/>
              </w:rPr>
              <w:t xml:space="preserve">Figure 12. </w:t>
            </w:r>
            <w:r>
              <w:rPr>
                <w:color w:val="5B6577"/>
                <w:sz w:val="18"/>
              </w:rPr>
              <w:t>One measured Quantity can support many bounded Normalization Scales that resolve into one stable Normalized Perception identity.</w:t>
            </w:r>
          </w:p>
        </w:tc>
      </w:tr>
    </w:tbl>
    <w:p w14:paraId="216D7FB0" w14:textId="77777777" w:rsidR="00360219" w:rsidRDefault="00360219">
      <w:pPr>
        <w:spacing w:after="60"/>
      </w:pPr>
    </w:p>
    <w:tbl>
      <w:tblPr>
        <w:tblW w:w="0" w:type="auto"/>
        <w:jc w:val="center"/>
        <w:tblLayout w:type="fixed"/>
        <w:tblLook w:val="04A0" w:firstRow="1" w:lastRow="0" w:firstColumn="1" w:lastColumn="0" w:noHBand="0" w:noVBand="1"/>
      </w:tblPr>
      <w:tblGrid>
        <w:gridCol w:w="9864"/>
      </w:tblGrid>
      <w:tr w:rsidR="00360219" w14:paraId="502DB0C1"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00C84D45" w14:textId="77777777" w:rsidR="00360219" w:rsidRDefault="003015F4">
            <w:pPr>
              <w:spacing w:after="80" w:line="240" w:lineRule="auto"/>
              <w:jc w:val="center"/>
            </w:pPr>
            <w:r>
              <w:rPr>
                <w:noProof/>
              </w:rPr>
              <w:drawing>
                <wp:inline distT="0" distB="0" distL="0" distR="0" wp14:anchorId="51A6E531" wp14:editId="0AB37706">
                  <wp:extent cx="6126480" cy="3446145"/>
                  <wp:effectExtent l="0" t="0" r="0" b="0"/>
                  <wp:docPr id="13" name="Picture 13" descr="Figure 13. Different Scale records can point to the same Normalized Perception Record through exact NormalizedPerceptionRef links." title="Fig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13_Scale_to_Perception_Link.png"/>
                          <pic:cNvPicPr/>
                        </pic:nvPicPr>
                        <pic:blipFill>
                          <a:blip r:embed="rId20"/>
                          <a:stretch>
                            <a:fillRect/>
                          </a:stretch>
                        </pic:blipFill>
                        <pic:spPr>
                          <a:xfrm>
                            <a:off x="0" y="0"/>
                            <a:ext cx="6126480" cy="3446145"/>
                          </a:xfrm>
                          <a:prstGeom prst="rect">
                            <a:avLst/>
                          </a:prstGeom>
                        </pic:spPr>
                      </pic:pic>
                    </a:graphicData>
                  </a:graphic>
                </wp:inline>
              </w:drawing>
            </w:r>
          </w:p>
          <w:p w14:paraId="1F490ABD" w14:textId="77777777" w:rsidR="00360219" w:rsidRDefault="003015F4">
            <w:pPr>
              <w:spacing w:before="40" w:after="0" w:line="252" w:lineRule="auto"/>
              <w:jc w:val="center"/>
            </w:pPr>
            <w:r>
              <w:rPr>
                <w:b/>
                <w:color w:val="172033"/>
                <w:sz w:val="18"/>
              </w:rPr>
              <w:t xml:space="preserve">Figure 13. </w:t>
            </w:r>
            <w:r>
              <w:rPr>
                <w:color w:val="5B6577"/>
                <w:sz w:val="18"/>
              </w:rPr>
              <w:t>Different Scale records can point to the same Normalized Perception Record through exact NormalizedPerceptionRef links.</w:t>
            </w:r>
          </w:p>
        </w:tc>
      </w:tr>
    </w:tbl>
    <w:p w14:paraId="03E2B505" w14:textId="77777777" w:rsidR="00360219" w:rsidRDefault="00360219">
      <w:pPr>
        <w:spacing w:after="60"/>
      </w:pPr>
    </w:p>
    <w:p w14:paraId="2B4734F8" w14:textId="77777777" w:rsidR="00360219" w:rsidRDefault="003015F4">
      <w:pPr>
        <w:pStyle w:val="Heading1"/>
        <w:spacing w:before="200" w:after="100" w:line="240" w:lineRule="auto"/>
      </w:pPr>
      <w:r>
        <w:rPr>
          <w:rFonts w:ascii="Arial" w:hAnsi="Arial"/>
        </w:rPr>
        <w:t>14. Common 0-100 Coordinate</w:t>
      </w:r>
    </w:p>
    <w:p w14:paraId="65C7D1C1" w14:textId="77777777" w:rsidR="00360219" w:rsidRDefault="003015F4">
      <w:pPr>
        <w:pStyle w:val="BodyText"/>
      </w:pPr>
      <w:r>
        <w:rPr>
          <w:color w:val="172033"/>
        </w:rPr>
        <w:t>Where suitable, every Normalized Perception Record uses the common 0-100 coordinate. The purpose is not to express a universal percentage of reality. It is to publish a stable, bounded interface that Transform records can consume. The active Scale defines what 0, 100, and every intermediate position mean for that bounded question.</w:t>
      </w:r>
    </w:p>
    <w:tbl>
      <w:tblPr>
        <w:tblW w:w="0" w:type="auto"/>
        <w:jc w:val="center"/>
        <w:tblLayout w:type="fixed"/>
        <w:tblLook w:val="04A0" w:firstRow="1" w:lastRow="0" w:firstColumn="1" w:lastColumn="0" w:noHBand="0" w:noVBand="1"/>
      </w:tblPr>
      <w:tblGrid>
        <w:gridCol w:w="9864"/>
      </w:tblGrid>
      <w:tr w:rsidR="00360219" w14:paraId="0E07BF41"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3DC6B3C7" w14:textId="77777777" w:rsidR="00360219" w:rsidRDefault="003015F4">
            <w:pPr>
              <w:spacing w:after="80" w:line="240" w:lineRule="auto"/>
              <w:jc w:val="center"/>
            </w:pPr>
            <w:r>
              <w:rPr>
                <w:noProof/>
              </w:rPr>
              <w:drawing>
                <wp:inline distT="0" distB="0" distL="0" distR="0" wp14:anchorId="21E9DC13" wp14:editId="23AC95E7">
                  <wp:extent cx="6126480" cy="3446145"/>
                  <wp:effectExtent l="0" t="0" r="0" b="0"/>
                  <wp:docPr id="14" name="Picture 14" descr="Figure 14. A declared raw interval is mapped through a registered formula into the common 0-100 normalized coordinate." title="Fig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14_Raw_to_100.png"/>
                          <pic:cNvPicPr/>
                        </pic:nvPicPr>
                        <pic:blipFill>
                          <a:blip r:embed="rId21"/>
                          <a:stretch>
                            <a:fillRect/>
                          </a:stretch>
                        </pic:blipFill>
                        <pic:spPr>
                          <a:xfrm>
                            <a:off x="0" y="0"/>
                            <a:ext cx="6126480" cy="3446145"/>
                          </a:xfrm>
                          <a:prstGeom prst="rect">
                            <a:avLst/>
                          </a:prstGeom>
                        </pic:spPr>
                      </pic:pic>
                    </a:graphicData>
                  </a:graphic>
                </wp:inline>
              </w:drawing>
            </w:r>
          </w:p>
          <w:p w14:paraId="0AEBAAE5" w14:textId="77777777" w:rsidR="00360219" w:rsidRDefault="003015F4">
            <w:pPr>
              <w:spacing w:before="40" w:after="0" w:line="252" w:lineRule="auto"/>
              <w:jc w:val="center"/>
            </w:pPr>
            <w:r>
              <w:rPr>
                <w:b/>
                <w:color w:val="172033"/>
                <w:sz w:val="18"/>
              </w:rPr>
              <w:t xml:space="preserve">Figure 14. </w:t>
            </w:r>
            <w:r>
              <w:rPr>
                <w:color w:val="5B6577"/>
                <w:sz w:val="18"/>
              </w:rPr>
              <w:t>A declared raw interval is mapped through a registered formula into the common 0-100 normalized coordinate.</w:t>
            </w:r>
          </w:p>
        </w:tc>
      </w:tr>
    </w:tbl>
    <w:p w14:paraId="5A40CC98" w14:textId="77777777" w:rsidR="00360219" w:rsidRDefault="00360219">
      <w:pPr>
        <w:spacing w:after="60"/>
      </w:pPr>
    </w:p>
    <w:p w14:paraId="02F5D4F7" w14:textId="77777777" w:rsidR="00360219" w:rsidRDefault="003015F4">
      <w:pPr>
        <w:pStyle w:val="Heading1"/>
        <w:spacing w:before="200" w:after="100" w:line="240" w:lineRule="auto"/>
      </w:pPr>
      <w:r>
        <w:rPr>
          <w:rFonts w:ascii="Arial" w:hAnsi="Arial"/>
        </w:rPr>
        <w:t>15. Formula Transparency and Reversibility</w:t>
      </w:r>
    </w:p>
    <w:p w14:paraId="2BF7B0DE" w14:textId="77777777" w:rsidR="00360219" w:rsidRDefault="003015F4">
      <w:pPr>
        <w:pStyle w:val="BodyText"/>
      </w:pPr>
      <w:r>
        <w:rPr>
          <w:color w:val="172033"/>
        </w:rPr>
        <w:t>A semantic normalized value must remain explainable. The system should be able to resolve the raw value, raw unit, Scale ID, raw bounds, Formula or FormulaRef, Formula version, and resulting Normalized Perception value. PPL/MRMM already requires projection mappings to expose source, transform, scale, bounds, null behavior, and version [1]; the Normalization Table makes that discipline reusable before Transform Matrix routing.</w:t>
      </w:r>
    </w:p>
    <w:tbl>
      <w:tblPr>
        <w:tblW w:w="0" w:type="auto"/>
        <w:jc w:val="center"/>
        <w:tblLayout w:type="fixed"/>
        <w:tblLook w:val="04A0" w:firstRow="1" w:lastRow="0" w:firstColumn="1" w:lastColumn="0" w:noHBand="0" w:noVBand="1"/>
      </w:tblPr>
      <w:tblGrid>
        <w:gridCol w:w="9864"/>
      </w:tblGrid>
      <w:tr w:rsidR="00360219" w14:paraId="414387F3"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584903C6" w14:textId="77777777" w:rsidR="00360219" w:rsidRDefault="003015F4">
            <w:pPr>
              <w:spacing w:after="80" w:line="240" w:lineRule="auto"/>
              <w:jc w:val="center"/>
            </w:pPr>
            <w:r>
              <w:rPr>
                <w:noProof/>
              </w:rPr>
              <w:drawing>
                <wp:inline distT="0" distB="0" distL="0" distR="0" wp14:anchorId="2EFF7FF5" wp14:editId="1ADCA6F5">
                  <wp:extent cx="6126480" cy="3446145"/>
                  <wp:effectExtent l="0" t="0" r="0" b="0"/>
                  <wp:docPr id="15" name="Picture 15" descr="Figure 15. Normalization trace showing the information required to reproduce and explain a normalized value." title="Fig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15_Normalization_Trace.png"/>
                          <pic:cNvPicPr/>
                        </pic:nvPicPr>
                        <pic:blipFill>
                          <a:blip r:embed="rId22"/>
                          <a:stretch>
                            <a:fillRect/>
                          </a:stretch>
                        </pic:blipFill>
                        <pic:spPr>
                          <a:xfrm>
                            <a:off x="0" y="0"/>
                            <a:ext cx="6126480" cy="3446145"/>
                          </a:xfrm>
                          <a:prstGeom prst="rect">
                            <a:avLst/>
                          </a:prstGeom>
                        </pic:spPr>
                      </pic:pic>
                    </a:graphicData>
                  </a:graphic>
                </wp:inline>
              </w:drawing>
            </w:r>
          </w:p>
          <w:p w14:paraId="0422AC95" w14:textId="77777777" w:rsidR="00360219" w:rsidRDefault="003015F4">
            <w:pPr>
              <w:spacing w:before="40" w:after="0" w:line="252" w:lineRule="auto"/>
              <w:jc w:val="center"/>
            </w:pPr>
            <w:r>
              <w:rPr>
                <w:b/>
                <w:color w:val="172033"/>
                <w:sz w:val="18"/>
              </w:rPr>
              <w:t xml:space="preserve">Figure 15. </w:t>
            </w:r>
            <w:r>
              <w:rPr>
                <w:color w:val="5B6577"/>
                <w:sz w:val="18"/>
              </w:rPr>
              <w:t>Normalization trace showing the information required to reproduce and explain a normalized value.</w:t>
            </w:r>
          </w:p>
        </w:tc>
      </w:tr>
    </w:tbl>
    <w:p w14:paraId="56C35B7A" w14:textId="77777777" w:rsidR="00360219" w:rsidRDefault="00360219">
      <w:pPr>
        <w:spacing w:after="60"/>
      </w:pPr>
    </w:p>
    <w:p w14:paraId="1F994E3C" w14:textId="77777777" w:rsidR="00360219" w:rsidRDefault="003015F4">
      <w:pPr>
        <w:pStyle w:val="Heading2"/>
        <w:spacing w:before="140" w:after="100" w:line="240" w:lineRule="auto"/>
      </w:pPr>
      <w:r>
        <w:rPr>
          <w:rFonts w:ascii="Arial" w:hAnsi="Arial"/>
        </w:rPr>
        <w:t>15.1 Formula Families</w:t>
      </w:r>
    </w:p>
    <w:p w14:paraId="575B1163" w14:textId="77777777" w:rsidR="00360219" w:rsidRDefault="003015F4">
      <w:pPr>
        <w:pStyle w:val="BodyText"/>
      </w:pPr>
      <w:r>
        <w:rPr>
          <w:color w:val="172033"/>
        </w:rPr>
        <w:t>Supported formula families may include LINEAR, LOGARITHMIC, CENTERED, SIGNED, PIECEWISE, GATED, DOMAIN MODEL, CUSTOM, and IDENTITY. The family label is descriptive; the exact registered Formula or FormulaRef remains authoritative.</w:t>
      </w:r>
    </w:p>
    <w:tbl>
      <w:tblPr>
        <w:tblStyle w:val="TableGrid"/>
        <w:tblW w:w="0" w:type="auto"/>
        <w:jc w:val="center"/>
        <w:tblLayout w:type="fixed"/>
        <w:tblLook w:val="04A0" w:firstRow="1" w:lastRow="0" w:firstColumn="1" w:lastColumn="0" w:noHBand="0" w:noVBand="1"/>
      </w:tblPr>
      <w:tblGrid>
        <w:gridCol w:w="2376"/>
        <w:gridCol w:w="7272"/>
      </w:tblGrid>
      <w:tr w:rsidR="00360219" w14:paraId="2C935B58" w14:textId="77777777">
        <w:trPr>
          <w:tblHeader/>
          <w:jc w:val="center"/>
        </w:trPr>
        <w:tc>
          <w:tcPr>
            <w:tcW w:w="2376" w:type="dxa"/>
            <w:shd w:val="clear" w:color="auto" w:fill="172033"/>
            <w:tcMar>
              <w:top w:w="100" w:type="dxa"/>
              <w:left w:w="110" w:type="dxa"/>
              <w:bottom w:w="100" w:type="dxa"/>
              <w:right w:w="110" w:type="dxa"/>
            </w:tcMar>
            <w:vAlign w:val="center"/>
          </w:tcPr>
          <w:p w14:paraId="5BB6E8A4" w14:textId="77777777" w:rsidR="00360219" w:rsidRDefault="003015F4">
            <w:pPr>
              <w:jc w:val="center"/>
            </w:pPr>
            <w:r>
              <w:rPr>
                <w:b/>
                <w:color w:val="FFFFFF"/>
                <w:sz w:val="18"/>
              </w:rPr>
              <w:t>Family</w:t>
            </w:r>
          </w:p>
        </w:tc>
        <w:tc>
          <w:tcPr>
            <w:tcW w:w="7272" w:type="dxa"/>
            <w:shd w:val="clear" w:color="auto" w:fill="172033"/>
            <w:tcMar>
              <w:top w:w="100" w:type="dxa"/>
              <w:left w:w="110" w:type="dxa"/>
              <w:bottom w:w="100" w:type="dxa"/>
              <w:right w:w="110" w:type="dxa"/>
            </w:tcMar>
            <w:vAlign w:val="center"/>
          </w:tcPr>
          <w:p w14:paraId="1307C814" w14:textId="77777777" w:rsidR="00360219" w:rsidRDefault="003015F4">
            <w:pPr>
              <w:jc w:val="center"/>
            </w:pPr>
            <w:r>
              <w:rPr>
                <w:b/>
                <w:color w:val="FFFFFF"/>
                <w:sz w:val="18"/>
              </w:rPr>
              <w:t>Representative form / use</w:t>
            </w:r>
          </w:p>
        </w:tc>
      </w:tr>
      <w:tr w:rsidR="00360219" w14:paraId="20EEF2EF" w14:textId="77777777">
        <w:trPr>
          <w:cantSplit/>
          <w:jc w:val="center"/>
        </w:trPr>
        <w:tc>
          <w:tcPr>
            <w:tcW w:w="2376" w:type="dxa"/>
            <w:shd w:val="clear" w:color="auto" w:fill="F4F6F8"/>
            <w:tcMar>
              <w:top w:w="100" w:type="dxa"/>
              <w:left w:w="110" w:type="dxa"/>
              <w:bottom w:w="100" w:type="dxa"/>
              <w:right w:w="110" w:type="dxa"/>
            </w:tcMar>
            <w:vAlign w:val="center"/>
          </w:tcPr>
          <w:p w14:paraId="2C23FBAA" w14:textId="77777777" w:rsidR="00360219" w:rsidRDefault="003015F4">
            <w:pPr>
              <w:spacing w:after="0" w:line="252" w:lineRule="auto"/>
              <w:jc w:val="center"/>
            </w:pPr>
            <w:r>
              <w:rPr>
                <w:b/>
                <w:color w:val="172033"/>
                <w:sz w:val="17"/>
              </w:rPr>
              <w:t>LINEAR</w:t>
            </w:r>
          </w:p>
        </w:tc>
        <w:tc>
          <w:tcPr>
            <w:tcW w:w="7272" w:type="dxa"/>
            <w:tcMar>
              <w:top w:w="100" w:type="dxa"/>
              <w:left w:w="110" w:type="dxa"/>
              <w:bottom w:w="100" w:type="dxa"/>
              <w:right w:w="110" w:type="dxa"/>
            </w:tcMar>
            <w:vAlign w:val="center"/>
          </w:tcPr>
          <w:p w14:paraId="7B7A612D" w14:textId="77777777" w:rsidR="00360219" w:rsidRDefault="003015F4">
            <w:pPr>
              <w:spacing w:after="0" w:line="252" w:lineRule="auto"/>
            </w:pPr>
            <w:r>
              <w:rPr>
                <w:color w:val="172033"/>
                <w:sz w:val="17"/>
              </w:rPr>
              <w:t>N = 100 * clamp((x - xmin) / (xmax - xmin), 0, 1).</w:t>
            </w:r>
          </w:p>
        </w:tc>
      </w:tr>
      <w:tr w:rsidR="00360219" w14:paraId="254D460A" w14:textId="77777777">
        <w:trPr>
          <w:cantSplit/>
          <w:jc w:val="center"/>
        </w:trPr>
        <w:tc>
          <w:tcPr>
            <w:tcW w:w="2376" w:type="dxa"/>
            <w:shd w:val="clear" w:color="auto" w:fill="F4F6F8"/>
            <w:tcMar>
              <w:top w:w="100" w:type="dxa"/>
              <w:left w:w="110" w:type="dxa"/>
              <w:bottom w:w="100" w:type="dxa"/>
              <w:right w:w="110" w:type="dxa"/>
            </w:tcMar>
            <w:vAlign w:val="center"/>
          </w:tcPr>
          <w:p w14:paraId="09EA90C5" w14:textId="77777777" w:rsidR="00360219" w:rsidRDefault="003015F4">
            <w:pPr>
              <w:spacing w:after="0" w:line="252" w:lineRule="auto"/>
              <w:jc w:val="center"/>
            </w:pPr>
            <w:r>
              <w:rPr>
                <w:b/>
                <w:color w:val="172033"/>
                <w:sz w:val="17"/>
              </w:rPr>
              <w:t>LOGARITHMIC</w:t>
            </w:r>
          </w:p>
        </w:tc>
        <w:tc>
          <w:tcPr>
            <w:tcW w:w="7272" w:type="dxa"/>
            <w:tcMar>
              <w:top w:w="100" w:type="dxa"/>
              <w:left w:w="110" w:type="dxa"/>
              <w:bottom w:w="100" w:type="dxa"/>
              <w:right w:w="110" w:type="dxa"/>
            </w:tcMar>
            <w:vAlign w:val="center"/>
          </w:tcPr>
          <w:p w14:paraId="06C09629" w14:textId="77777777" w:rsidR="00360219" w:rsidRDefault="003015F4">
            <w:pPr>
              <w:spacing w:after="0" w:line="252" w:lineRule="auto"/>
            </w:pPr>
            <w:r>
              <w:rPr>
                <w:color w:val="172033"/>
                <w:sz w:val="17"/>
              </w:rPr>
              <w:t>For positive domains spanning orders of magnitude: N = 100 * (ln(x) - ln(xmin)) / (ln(xmax) - ln(xmin)).</w:t>
            </w:r>
          </w:p>
        </w:tc>
      </w:tr>
      <w:tr w:rsidR="00360219" w14:paraId="517AD740" w14:textId="77777777">
        <w:trPr>
          <w:cantSplit/>
          <w:jc w:val="center"/>
        </w:trPr>
        <w:tc>
          <w:tcPr>
            <w:tcW w:w="2376" w:type="dxa"/>
            <w:shd w:val="clear" w:color="auto" w:fill="F4F6F8"/>
            <w:tcMar>
              <w:top w:w="100" w:type="dxa"/>
              <w:left w:w="110" w:type="dxa"/>
              <w:bottom w:w="100" w:type="dxa"/>
              <w:right w:w="110" w:type="dxa"/>
            </w:tcMar>
            <w:vAlign w:val="center"/>
          </w:tcPr>
          <w:p w14:paraId="2084A861" w14:textId="77777777" w:rsidR="00360219" w:rsidRDefault="003015F4">
            <w:pPr>
              <w:spacing w:after="0" w:line="252" w:lineRule="auto"/>
              <w:jc w:val="center"/>
            </w:pPr>
            <w:r>
              <w:rPr>
                <w:b/>
                <w:color w:val="172033"/>
                <w:sz w:val="17"/>
              </w:rPr>
              <w:t>CENTERED / SIGNED</w:t>
            </w:r>
          </w:p>
        </w:tc>
        <w:tc>
          <w:tcPr>
            <w:tcW w:w="7272" w:type="dxa"/>
            <w:tcMar>
              <w:top w:w="100" w:type="dxa"/>
              <w:left w:w="110" w:type="dxa"/>
              <w:bottom w:w="100" w:type="dxa"/>
              <w:right w:w="110" w:type="dxa"/>
            </w:tcMar>
            <w:vAlign w:val="center"/>
          </w:tcPr>
          <w:p w14:paraId="1C3C544D" w14:textId="77777777" w:rsidR="00360219" w:rsidRDefault="003015F4">
            <w:pPr>
              <w:spacing w:after="0" w:line="252" w:lineRule="auto"/>
            </w:pPr>
            <w:r>
              <w:rPr>
                <w:color w:val="172033"/>
                <w:sz w:val="17"/>
              </w:rPr>
              <w:t>Maps a declared center to the middle of the normalized domain; one form is N = 50 + 50 * clamp((x - center) / radius, -1, 1).</w:t>
            </w:r>
          </w:p>
        </w:tc>
      </w:tr>
      <w:tr w:rsidR="00360219" w14:paraId="6A3D05D9" w14:textId="77777777">
        <w:trPr>
          <w:cantSplit/>
          <w:jc w:val="center"/>
        </w:trPr>
        <w:tc>
          <w:tcPr>
            <w:tcW w:w="2376" w:type="dxa"/>
            <w:shd w:val="clear" w:color="auto" w:fill="F4F6F8"/>
            <w:tcMar>
              <w:top w:w="100" w:type="dxa"/>
              <w:left w:w="110" w:type="dxa"/>
              <w:bottom w:w="100" w:type="dxa"/>
              <w:right w:w="110" w:type="dxa"/>
            </w:tcMar>
            <w:vAlign w:val="center"/>
          </w:tcPr>
          <w:p w14:paraId="70A0A4D0" w14:textId="77777777" w:rsidR="00360219" w:rsidRDefault="003015F4">
            <w:pPr>
              <w:spacing w:after="0" w:line="252" w:lineRule="auto"/>
              <w:jc w:val="center"/>
            </w:pPr>
            <w:r>
              <w:rPr>
                <w:b/>
                <w:color w:val="172033"/>
                <w:sz w:val="17"/>
              </w:rPr>
              <w:t>PIECEWISE</w:t>
            </w:r>
          </w:p>
        </w:tc>
        <w:tc>
          <w:tcPr>
            <w:tcW w:w="7272" w:type="dxa"/>
            <w:tcMar>
              <w:top w:w="100" w:type="dxa"/>
              <w:left w:w="110" w:type="dxa"/>
              <w:bottom w:w="100" w:type="dxa"/>
              <w:right w:w="110" w:type="dxa"/>
            </w:tcMar>
            <w:vAlign w:val="center"/>
          </w:tcPr>
          <w:p w14:paraId="5DDFB559" w14:textId="77777777" w:rsidR="00360219" w:rsidRDefault="003015F4">
            <w:pPr>
              <w:spacing w:after="0" w:line="252" w:lineRule="auto"/>
            </w:pPr>
            <w:r>
              <w:rPr>
                <w:color w:val="172033"/>
                <w:sz w:val="17"/>
              </w:rPr>
              <w:t>Different explicit equations apply to different raw subdomains.</w:t>
            </w:r>
          </w:p>
        </w:tc>
      </w:tr>
      <w:tr w:rsidR="00360219" w14:paraId="6B52C96C" w14:textId="77777777">
        <w:trPr>
          <w:cantSplit/>
          <w:jc w:val="center"/>
        </w:trPr>
        <w:tc>
          <w:tcPr>
            <w:tcW w:w="2376" w:type="dxa"/>
            <w:shd w:val="clear" w:color="auto" w:fill="F4F6F8"/>
            <w:tcMar>
              <w:top w:w="100" w:type="dxa"/>
              <w:left w:w="110" w:type="dxa"/>
              <w:bottom w:w="100" w:type="dxa"/>
              <w:right w:w="110" w:type="dxa"/>
            </w:tcMar>
            <w:vAlign w:val="center"/>
          </w:tcPr>
          <w:p w14:paraId="421652F6" w14:textId="77777777" w:rsidR="00360219" w:rsidRDefault="003015F4">
            <w:pPr>
              <w:spacing w:after="0" w:line="252" w:lineRule="auto"/>
              <w:jc w:val="center"/>
            </w:pPr>
            <w:r>
              <w:rPr>
                <w:b/>
                <w:color w:val="172033"/>
                <w:sz w:val="17"/>
              </w:rPr>
              <w:t>GATED</w:t>
            </w:r>
          </w:p>
        </w:tc>
        <w:tc>
          <w:tcPr>
            <w:tcW w:w="7272" w:type="dxa"/>
            <w:tcMar>
              <w:top w:w="100" w:type="dxa"/>
              <w:left w:w="110" w:type="dxa"/>
              <w:bottom w:w="100" w:type="dxa"/>
              <w:right w:w="110" w:type="dxa"/>
            </w:tcMar>
            <w:vAlign w:val="center"/>
          </w:tcPr>
          <w:p w14:paraId="6D798E3E" w14:textId="77777777" w:rsidR="00360219" w:rsidRDefault="003015F4">
            <w:pPr>
              <w:spacing w:after="0" w:line="252" w:lineRule="auto"/>
            </w:pPr>
            <w:r>
              <w:rPr>
                <w:color w:val="172033"/>
                <w:sz w:val="17"/>
              </w:rPr>
              <w:t>A Gate resolver selects the active formula regime before publishing 0-100.</w:t>
            </w:r>
          </w:p>
        </w:tc>
      </w:tr>
      <w:tr w:rsidR="00360219" w14:paraId="1DF8600C" w14:textId="77777777">
        <w:trPr>
          <w:cantSplit/>
          <w:jc w:val="center"/>
        </w:trPr>
        <w:tc>
          <w:tcPr>
            <w:tcW w:w="2376" w:type="dxa"/>
            <w:shd w:val="clear" w:color="auto" w:fill="F4F6F8"/>
            <w:tcMar>
              <w:top w:w="100" w:type="dxa"/>
              <w:left w:w="110" w:type="dxa"/>
              <w:bottom w:w="100" w:type="dxa"/>
              <w:right w:w="110" w:type="dxa"/>
            </w:tcMar>
            <w:vAlign w:val="center"/>
          </w:tcPr>
          <w:p w14:paraId="62061976" w14:textId="77777777" w:rsidR="00360219" w:rsidRDefault="003015F4">
            <w:pPr>
              <w:spacing w:after="0" w:line="252" w:lineRule="auto"/>
              <w:jc w:val="center"/>
            </w:pPr>
            <w:r>
              <w:rPr>
                <w:b/>
                <w:color w:val="172033"/>
                <w:sz w:val="17"/>
              </w:rPr>
              <w:t>DOMAIN MODEL</w:t>
            </w:r>
          </w:p>
        </w:tc>
        <w:tc>
          <w:tcPr>
            <w:tcW w:w="7272" w:type="dxa"/>
            <w:tcMar>
              <w:top w:w="100" w:type="dxa"/>
              <w:left w:w="110" w:type="dxa"/>
              <w:bottom w:w="100" w:type="dxa"/>
              <w:right w:w="110" w:type="dxa"/>
            </w:tcMar>
            <w:vAlign w:val="center"/>
          </w:tcPr>
          <w:p w14:paraId="1F0BACFE" w14:textId="77777777" w:rsidR="00360219" w:rsidRDefault="003015F4">
            <w:pPr>
              <w:spacing w:after="0" w:line="252" w:lineRule="auto"/>
            </w:pPr>
            <w:r>
              <w:rPr>
                <w:color w:val="172033"/>
                <w:sz w:val="17"/>
              </w:rPr>
              <w:t>A validated domain-specific Model produces the bounded coordinate.</w:t>
            </w:r>
          </w:p>
        </w:tc>
      </w:tr>
      <w:tr w:rsidR="00360219" w14:paraId="768F81BD" w14:textId="77777777">
        <w:trPr>
          <w:cantSplit/>
          <w:jc w:val="center"/>
        </w:trPr>
        <w:tc>
          <w:tcPr>
            <w:tcW w:w="2376" w:type="dxa"/>
            <w:shd w:val="clear" w:color="auto" w:fill="F4F6F8"/>
            <w:tcMar>
              <w:top w:w="100" w:type="dxa"/>
              <w:left w:w="110" w:type="dxa"/>
              <w:bottom w:w="100" w:type="dxa"/>
              <w:right w:w="110" w:type="dxa"/>
            </w:tcMar>
            <w:vAlign w:val="center"/>
          </w:tcPr>
          <w:p w14:paraId="5C8962AE" w14:textId="77777777" w:rsidR="00360219" w:rsidRDefault="003015F4">
            <w:pPr>
              <w:spacing w:after="0" w:line="252" w:lineRule="auto"/>
              <w:jc w:val="center"/>
            </w:pPr>
            <w:r>
              <w:rPr>
                <w:b/>
                <w:color w:val="172033"/>
                <w:sz w:val="17"/>
              </w:rPr>
              <w:t>CUSTOM</w:t>
            </w:r>
          </w:p>
        </w:tc>
        <w:tc>
          <w:tcPr>
            <w:tcW w:w="7272" w:type="dxa"/>
            <w:tcMar>
              <w:top w:w="100" w:type="dxa"/>
              <w:left w:w="110" w:type="dxa"/>
              <w:bottom w:w="100" w:type="dxa"/>
              <w:right w:w="110" w:type="dxa"/>
            </w:tcMar>
            <w:vAlign w:val="center"/>
          </w:tcPr>
          <w:p w14:paraId="1D9BA181" w14:textId="77777777" w:rsidR="00360219" w:rsidRDefault="003015F4">
            <w:pPr>
              <w:spacing w:after="0" w:line="252" w:lineRule="auto"/>
            </w:pPr>
            <w:r>
              <w:rPr>
                <w:color w:val="172033"/>
                <w:sz w:val="17"/>
              </w:rPr>
              <w:t>Registered formula with declared input, output, bounds, and provenance.</w:t>
            </w:r>
          </w:p>
        </w:tc>
      </w:tr>
      <w:tr w:rsidR="00360219" w14:paraId="238CC4A5" w14:textId="77777777">
        <w:trPr>
          <w:cantSplit/>
          <w:jc w:val="center"/>
        </w:trPr>
        <w:tc>
          <w:tcPr>
            <w:tcW w:w="2376" w:type="dxa"/>
            <w:shd w:val="clear" w:color="auto" w:fill="F4F6F8"/>
            <w:tcMar>
              <w:top w:w="100" w:type="dxa"/>
              <w:left w:w="110" w:type="dxa"/>
              <w:bottom w:w="100" w:type="dxa"/>
              <w:right w:w="110" w:type="dxa"/>
            </w:tcMar>
            <w:vAlign w:val="center"/>
          </w:tcPr>
          <w:p w14:paraId="7A71327B" w14:textId="77777777" w:rsidR="00360219" w:rsidRDefault="003015F4">
            <w:pPr>
              <w:spacing w:after="0" w:line="252" w:lineRule="auto"/>
              <w:jc w:val="center"/>
            </w:pPr>
            <w:r>
              <w:rPr>
                <w:b/>
                <w:color w:val="172033"/>
                <w:sz w:val="17"/>
              </w:rPr>
              <w:t>IDENTITY</w:t>
            </w:r>
          </w:p>
        </w:tc>
        <w:tc>
          <w:tcPr>
            <w:tcW w:w="7272" w:type="dxa"/>
            <w:tcMar>
              <w:top w:w="100" w:type="dxa"/>
              <w:left w:w="110" w:type="dxa"/>
              <w:bottom w:w="100" w:type="dxa"/>
              <w:right w:w="110" w:type="dxa"/>
            </w:tcMar>
            <w:vAlign w:val="center"/>
          </w:tcPr>
          <w:p w14:paraId="63AA9E6E" w14:textId="77777777" w:rsidR="00360219" w:rsidRDefault="003015F4">
            <w:pPr>
              <w:spacing w:after="0" w:line="252" w:lineRule="auto"/>
            </w:pPr>
            <w:r>
              <w:rPr>
                <w:color w:val="172033"/>
                <w:sz w:val="17"/>
              </w:rPr>
              <w:t>Already normalized compatible input passes through without semantic redefinition.</w:t>
            </w:r>
          </w:p>
        </w:tc>
      </w:tr>
    </w:tbl>
    <w:p w14:paraId="6A60A9E2" w14:textId="77777777" w:rsidR="00360219" w:rsidRDefault="00360219">
      <w:pPr>
        <w:spacing w:after="40"/>
      </w:pPr>
    </w:p>
    <w:tbl>
      <w:tblPr>
        <w:tblW w:w="0" w:type="auto"/>
        <w:jc w:val="center"/>
        <w:tblLayout w:type="fixed"/>
        <w:tblLook w:val="04A0" w:firstRow="1" w:lastRow="0" w:firstColumn="1" w:lastColumn="0" w:noHBand="0" w:noVBand="1"/>
      </w:tblPr>
      <w:tblGrid>
        <w:gridCol w:w="9864"/>
      </w:tblGrid>
      <w:tr w:rsidR="00360219" w14:paraId="6C0C619A"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196228EF" w14:textId="77777777" w:rsidR="00360219" w:rsidRDefault="003015F4">
            <w:pPr>
              <w:spacing w:after="80" w:line="240" w:lineRule="auto"/>
              <w:jc w:val="center"/>
            </w:pPr>
            <w:r>
              <w:rPr>
                <w:noProof/>
              </w:rPr>
              <w:drawing>
                <wp:inline distT="0" distB="0" distL="0" distR="0" wp14:anchorId="1DFDCD63" wp14:editId="2CBD1446">
                  <wp:extent cx="6126480" cy="3446145"/>
                  <wp:effectExtent l="0" t="0" r="0" b="0"/>
                  <wp:docPr id="16" name="Picture 16" descr="Figure 16. Different formula families can publish one common normalized output contract without sharing the same mathematics." title="Fig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16_Formula_Families.png"/>
                          <pic:cNvPicPr/>
                        </pic:nvPicPr>
                        <pic:blipFill>
                          <a:blip r:embed="rId23"/>
                          <a:stretch>
                            <a:fillRect/>
                          </a:stretch>
                        </pic:blipFill>
                        <pic:spPr>
                          <a:xfrm>
                            <a:off x="0" y="0"/>
                            <a:ext cx="6126480" cy="3446145"/>
                          </a:xfrm>
                          <a:prstGeom prst="rect">
                            <a:avLst/>
                          </a:prstGeom>
                        </pic:spPr>
                      </pic:pic>
                    </a:graphicData>
                  </a:graphic>
                </wp:inline>
              </w:drawing>
            </w:r>
          </w:p>
          <w:p w14:paraId="65C90687" w14:textId="77777777" w:rsidR="00360219" w:rsidRDefault="003015F4">
            <w:pPr>
              <w:spacing w:before="40" w:after="0" w:line="252" w:lineRule="auto"/>
              <w:jc w:val="center"/>
            </w:pPr>
            <w:r>
              <w:rPr>
                <w:b/>
                <w:color w:val="172033"/>
                <w:sz w:val="18"/>
              </w:rPr>
              <w:t xml:space="preserve">Figure 16. </w:t>
            </w:r>
            <w:r>
              <w:rPr>
                <w:color w:val="5B6577"/>
                <w:sz w:val="18"/>
              </w:rPr>
              <w:t>Different formula families can publish one common normalized output contract without sharing the same mathematics.</w:t>
            </w:r>
          </w:p>
        </w:tc>
      </w:tr>
    </w:tbl>
    <w:p w14:paraId="320934C0" w14:textId="77777777" w:rsidR="00360219" w:rsidRDefault="00360219">
      <w:pPr>
        <w:spacing w:after="60"/>
      </w:pPr>
    </w:p>
    <w:p w14:paraId="2639817E" w14:textId="77777777" w:rsidR="00360219" w:rsidRDefault="003015F4">
      <w:pPr>
        <w:pStyle w:val="BodyText"/>
      </w:pPr>
      <w:r>
        <w:rPr>
          <w:color w:val="172033"/>
        </w:rPr>
        <w:t>Where reverse conversion is meaningful, the Scale should declare reversibility as EXACT, APPROXIMATE, RANGE-ONLY, or UNSUPPORTED. The raw measurement remains authoritative even when a normalized state can be inversely mapped.</w:t>
      </w:r>
    </w:p>
    <w:p w14:paraId="07298D27" w14:textId="77777777" w:rsidR="00360219" w:rsidRDefault="003015F4">
      <w:pPr>
        <w:pStyle w:val="Heading1"/>
        <w:spacing w:before="200" w:after="100" w:line="240" w:lineRule="auto"/>
      </w:pPr>
      <w:r>
        <w:rPr>
          <w:rFonts w:ascii="Arial" w:hAnsi="Arial"/>
        </w:rPr>
        <w:t>16. Step Architecture</w:t>
      </w:r>
    </w:p>
    <w:p w14:paraId="6018C47E" w14:textId="77777777" w:rsidR="00360219" w:rsidRDefault="003015F4">
      <w:pPr>
        <w:pStyle w:val="BodyText"/>
      </w:pPr>
      <w:r>
        <w:rPr>
          <w:color w:val="172033"/>
        </w:rPr>
        <w:t>A Normalization Scale may define from one to ten ordered Steps. The number of Steps belongs to the Scale, not to the Normalized Perception itself. Each used Step can expose a name, raw minimum and maximum, normalized minimum and maximum, optional color, entry and exit conditions, and provenance.</w:t>
      </w:r>
    </w:p>
    <w:tbl>
      <w:tblPr>
        <w:tblW w:w="0" w:type="auto"/>
        <w:jc w:val="center"/>
        <w:tblLayout w:type="fixed"/>
        <w:tblLook w:val="04A0" w:firstRow="1" w:lastRow="0" w:firstColumn="1" w:lastColumn="0" w:noHBand="0" w:noVBand="1"/>
      </w:tblPr>
      <w:tblGrid>
        <w:gridCol w:w="9864"/>
      </w:tblGrid>
      <w:tr w:rsidR="00360219" w14:paraId="59B05A6B"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3136FFE0" w14:textId="77777777" w:rsidR="00360219" w:rsidRDefault="003015F4">
            <w:pPr>
              <w:spacing w:after="80" w:line="240" w:lineRule="auto"/>
              <w:jc w:val="center"/>
            </w:pPr>
            <w:r>
              <w:rPr>
                <w:noProof/>
              </w:rPr>
              <w:drawing>
                <wp:inline distT="0" distB="0" distL="0" distR="0" wp14:anchorId="6CBF9BF1" wp14:editId="0DCE5694">
                  <wp:extent cx="6126480" cy="3446145"/>
                  <wp:effectExtent l="0" t="0" r="0" b="0"/>
                  <wp:docPr id="17" name="Picture 17" descr="Figure 17. One-to-ten ordered Step architecture for a registered Normalization Scale." title="Fig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17_One_to_Ten_Steps.png"/>
                          <pic:cNvPicPr/>
                        </pic:nvPicPr>
                        <pic:blipFill>
                          <a:blip r:embed="rId24"/>
                          <a:stretch>
                            <a:fillRect/>
                          </a:stretch>
                        </pic:blipFill>
                        <pic:spPr>
                          <a:xfrm>
                            <a:off x="0" y="0"/>
                            <a:ext cx="6126480" cy="3446145"/>
                          </a:xfrm>
                          <a:prstGeom prst="rect">
                            <a:avLst/>
                          </a:prstGeom>
                        </pic:spPr>
                      </pic:pic>
                    </a:graphicData>
                  </a:graphic>
                </wp:inline>
              </w:drawing>
            </w:r>
          </w:p>
          <w:p w14:paraId="2602EFA5" w14:textId="77777777" w:rsidR="00360219" w:rsidRDefault="003015F4">
            <w:pPr>
              <w:spacing w:before="40" w:after="0" w:line="252" w:lineRule="auto"/>
              <w:jc w:val="center"/>
            </w:pPr>
            <w:r>
              <w:rPr>
                <w:b/>
                <w:color w:val="172033"/>
                <w:sz w:val="18"/>
              </w:rPr>
              <w:t xml:space="preserve">Figure 17. </w:t>
            </w:r>
            <w:r>
              <w:rPr>
                <w:color w:val="5B6577"/>
                <w:sz w:val="18"/>
              </w:rPr>
              <w:t>One-to-ten ordered Step architecture for a registered Normalization Scale.</w:t>
            </w:r>
          </w:p>
        </w:tc>
      </w:tr>
    </w:tbl>
    <w:p w14:paraId="5D898DAA" w14:textId="77777777" w:rsidR="00360219" w:rsidRDefault="00360219">
      <w:pPr>
        <w:spacing w:after="60"/>
      </w:pPr>
    </w:p>
    <w:p w14:paraId="010CA7F3" w14:textId="77777777" w:rsidR="00360219" w:rsidRDefault="003015F4">
      <w:pPr>
        <w:pStyle w:val="Heading1"/>
        <w:spacing w:before="200" w:after="100" w:line="240" w:lineRule="auto"/>
      </w:pPr>
      <w:r>
        <w:rPr>
          <w:rFonts w:ascii="Arial" w:hAnsi="Arial"/>
        </w:rPr>
        <w:t>17. GRADED Mode</w:t>
      </w:r>
    </w:p>
    <w:p w14:paraId="5D93CC0C" w14:textId="77777777" w:rsidR="00360219" w:rsidRDefault="003015F4">
      <w:pPr>
        <w:pStyle w:val="BodyText"/>
      </w:pPr>
      <w:r>
        <w:rPr>
          <w:color w:val="172033"/>
        </w:rPr>
        <w:t>GRADED mode resolves the current value into a discrete registered Step. The raw measurement and normalized coordinate may remain available, but the operational answer is the Step identity. This mode is appropriate when stable categories or operational bands are more useful than tiny continuous changes.</w:t>
      </w:r>
    </w:p>
    <w:tbl>
      <w:tblPr>
        <w:tblW w:w="0" w:type="auto"/>
        <w:jc w:val="center"/>
        <w:tblLayout w:type="fixed"/>
        <w:tblLook w:val="04A0" w:firstRow="1" w:lastRow="0" w:firstColumn="1" w:lastColumn="0" w:noHBand="0" w:noVBand="1"/>
      </w:tblPr>
      <w:tblGrid>
        <w:gridCol w:w="9864"/>
      </w:tblGrid>
      <w:tr w:rsidR="00360219" w14:paraId="34CF8481"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0A07E019" w14:textId="77777777" w:rsidR="00360219" w:rsidRDefault="003015F4">
            <w:pPr>
              <w:spacing w:after="80" w:line="240" w:lineRule="auto"/>
              <w:jc w:val="center"/>
            </w:pPr>
            <w:r>
              <w:rPr>
                <w:noProof/>
              </w:rPr>
              <w:drawing>
                <wp:inline distT="0" distB="0" distL="0" distR="0" wp14:anchorId="3FDC2024" wp14:editId="7AC9DDA4">
                  <wp:extent cx="6126480" cy="3446145"/>
                  <wp:effectExtent l="0" t="0" r="0" b="0"/>
                  <wp:docPr id="18" name="Picture 18" descr="Figure 18. GRADED mode resolves a continuous position into a discrete registered Step state." title="Fig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18_Graded_Mode.png"/>
                          <pic:cNvPicPr/>
                        </pic:nvPicPr>
                        <pic:blipFill>
                          <a:blip r:embed="rId25"/>
                          <a:stretch>
                            <a:fillRect/>
                          </a:stretch>
                        </pic:blipFill>
                        <pic:spPr>
                          <a:xfrm>
                            <a:off x="0" y="0"/>
                            <a:ext cx="6126480" cy="3446145"/>
                          </a:xfrm>
                          <a:prstGeom prst="rect">
                            <a:avLst/>
                          </a:prstGeom>
                        </pic:spPr>
                      </pic:pic>
                    </a:graphicData>
                  </a:graphic>
                </wp:inline>
              </w:drawing>
            </w:r>
          </w:p>
          <w:p w14:paraId="6B2CE80F" w14:textId="77777777" w:rsidR="00360219" w:rsidRDefault="003015F4">
            <w:pPr>
              <w:spacing w:before="40" w:after="0" w:line="252" w:lineRule="auto"/>
              <w:jc w:val="center"/>
            </w:pPr>
            <w:r>
              <w:rPr>
                <w:b/>
                <w:color w:val="172033"/>
                <w:sz w:val="18"/>
              </w:rPr>
              <w:t xml:space="preserve">Figure 18. </w:t>
            </w:r>
            <w:r>
              <w:rPr>
                <w:color w:val="5B6577"/>
                <w:sz w:val="18"/>
              </w:rPr>
              <w:t>GRADED mode resolves a continuous position into a discrete registered Step state.</w:t>
            </w:r>
          </w:p>
        </w:tc>
      </w:tr>
    </w:tbl>
    <w:p w14:paraId="181B28D9" w14:textId="77777777" w:rsidR="00360219" w:rsidRDefault="00360219">
      <w:pPr>
        <w:spacing w:after="60"/>
      </w:pPr>
    </w:p>
    <w:p w14:paraId="64FADA75" w14:textId="77777777" w:rsidR="00360219" w:rsidRDefault="003015F4">
      <w:pPr>
        <w:pStyle w:val="Heading1"/>
        <w:spacing w:before="200" w:after="100" w:line="240" w:lineRule="auto"/>
      </w:pPr>
      <w:r>
        <w:rPr>
          <w:rFonts w:ascii="Arial" w:hAnsi="Arial"/>
        </w:rPr>
        <w:t>18. GRADIENT Mode</w:t>
      </w:r>
    </w:p>
    <w:p w14:paraId="069B9B3D" w14:textId="77777777" w:rsidR="00360219" w:rsidRDefault="003015F4">
      <w:pPr>
        <w:pStyle w:val="BodyText"/>
      </w:pPr>
      <w:r>
        <w:rPr>
          <w:color w:val="172033"/>
        </w:rPr>
        <w:t>GRADIENT mode preserves continuous position across the Scale. Ordered Step definitions can act as anchor points, allowing interpolation of mapped presentation values between anchors. GRADED and GRADIENT therefore do not require two unrelated schemas: they can read the same ordered Step architecture differently.</w:t>
      </w:r>
    </w:p>
    <w:tbl>
      <w:tblPr>
        <w:tblW w:w="0" w:type="auto"/>
        <w:jc w:val="center"/>
        <w:tblLayout w:type="fixed"/>
        <w:tblLook w:val="04A0" w:firstRow="1" w:lastRow="0" w:firstColumn="1" w:lastColumn="0" w:noHBand="0" w:noVBand="1"/>
      </w:tblPr>
      <w:tblGrid>
        <w:gridCol w:w="9864"/>
      </w:tblGrid>
      <w:tr w:rsidR="00360219" w14:paraId="1710B3FA"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1A9F39BF" w14:textId="77777777" w:rsidR="00360219" w:rsidRDefault="003015F4">
            <w:pPr>
              <w:spacing w:after="80" w:line="240" w:lineRule="auto"/>
              <w:jc w:val="center"/>
            </w:pPr>
            <w:r>
              <w:rPr>
                <w:noProof/>
              </w:rPr>
              <w:drawing>
                <wp:inline distT="0" distB="0" distL="0" distR="0" wp14:anchorId="2D48D13E" wp14:editId="5D900A51">
                  <wp:extent cx="6126480" cy="3446145"/>
                  <wp:effectExtent l="0" t="0" r="0" b="0"/>
                  <wp:docPr id="19" name="Picture 19" descr="Figure 19. GRADIENT mode preserves continuous position across ordered Step anchors." title="Fig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19_Gradient_Mode.png"/>
                          <pic:cNvPicPr/>
                        </pic:nvPicPr>
                        <pic:blipFill>
                          <a:blip r:embed="rId26"/>
                          <a:stretch>
                            <a:fillRect/>
                          </a:stretch>
                        </pic:blipFill>
                        <pic:spPr>
                          <a:xfrm>
                            <a:off x="0" y="0"/>
                            <a:ext cx="6126480" cy="3446145"/>
                          </a:xfrm>
                          <a:prstGeom prst="rect">
                            <a:avLst/>
                          </a:prstGeom>
                        </pic:spPr>
                      </pic:pic>
                    </a:graphicData>
                  </a:graphic>
                </wp:inline>
              </w:drawing>
            </w:r>
          </w:p>
          <w:p w14:paraId="69770BE8" w14:textId="77777777" w:rsidR="00360219" w:rsidRDefault="003015F4">
            <w:pPr>
              <w:spacing w:before="40" w:after="0" w:line="252" w:lineRule="auto"/>
              <w:jc w:val="center"/>
            </w:pPr>
            <w:r>
              <w:rPr>
                <w:b/>
                <w:color w:val="172033"/>
                <w:sz w:val="18"/>
              </w:rPr>
              <w:t xml:space="preserve">Figure 19. </w:t>
            </w:r>
            <w:r>
              <w:rPr>
                <w:color w:val="5B6577"/>
                <w:sz w:val="18"/>
              </w:rPr>
              <w:t>GRADIENT mode preserves continuous position across ordered Step anchors.</w:t>
            </w:r>
          </w:p>
        </w:tc>
      </w:tr>
    </w:tbl>
    <w:p w14:paraId="76D5387C" w14:textId="77777777" w:rsidR="00360219" w:rsidRDefault="00360219">
      <w:pPr>
        <w:spacing w:after="60"/>
      </w:pPr>
    </w:p>
    <w:tbl>
      <w:tblPr>
        <w:tblW w:w="0" w:type="auto"/>
        <w:jc w:val="center"/>
        <w:tblLayout w:type="fixed"/>
        <w:tblLook w:val="04A0" w:firstRow="1" w:lastRow="0" w:firstColumn="1" w:lastColumn="0" w:noHBand="0" w:noVBand="1"/>
      </w:tblPr>
      <w:tblGrid>
        <w:gridCol w:w="9864"/>
      </w:tblGrid>
      <w:tr w:rsidR="00360219" w14:paraId="251CA5A1"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6CE4F5DD" w14:textId="77777777" w:rsidR="00360219" w:rsidRDefault="003015F4">
            <w:pPr>
              <w:spacing w:after="80" w:line="240" w:lineRule="auto"/>
              <w:jc w:val="center"/>
            </w:pPr>
            <w:r>
              <w:rPr>
                <w:noProof/>
              </w:rPr>
              <w:drawing>
                <wp:inline distT="0" distB="0" distL="0" distR="0" wp14:anchorId="79E8BA9C" wp14:editId="704BF62B">
                  <wp:extent cx="6126480" cy="3446145"/>
                  <wp:effectExtent l="0" t="0" r="0" b="0"/>
                  <wp:docPr id="20" name="Picture 20" descr="Figure 20. The same Step definitions can be resolved as discrete GRADED states or continuous GRADIENT interpolation." title="Fig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20_Same_Steps_Two_Modes.png"/>
                          <pic:cNvPicPr/>
                        </pic:nvPicPr>
                        <pic:blipFill>
                          <a:blip r:embed="rId27"/>
                          <a:stretch>
                            <a:fillRect/>
                          </a:stretch>
                        </pic:blipFill>
                        <pic:spPr>
                          <a:xfrm>
                            <a:off x="0" y="0"/>
                            <a:ext cx="6126480" cy="3446145"/>
                          </a:xfrm>
                          <a:prstGeom prst="rect">
                            <a:avLst/>
                          </a:prstGeom>
                        </pic:spPr>
                      </pic:pic>
                    </a:graphicData>
                  </a:graphic>
                </wp:inline>
              </w:drawing>
            </w:r>
          </w:p>
          <w:p w14:paraId="26B9130D" w14:textId="77777777" w:rsidR="00360219" w:rsidRDefault="003015F4">
            <w:pPr>
              <w:spacing w:before="40" w:after="0" w:line="252" w:lineRule="auto"/>
              <w:jc w:val="center"/>
            </w:pPr>
            <w:r>
              <w:rPr>
                <w:b/>
                <w:color w:val="172033"/>
                <w:sz w:val="18"/>
              </w:rPr>
              <w:t xml:space="preserve">Figure 20. </w:t>
            </w:r>
            <w:r>
              <w:rPr>
                <w:color w:val="5B6577"/>
                <w:sz w:val="18"/>
              </w:rPr>
              <w:t>The same Step definitions can be resolved as discrete GRADED states or continuous GRADIENT interpolation.</w:t>
            </w:r>
          </w:p>
        </w:tc>
      </w:tr>
    </w:tbl>
    <w:p w14:paraId="570AC50A" w14:textId="77777777" w:rsidR="00360219" w:rsidRDefault="00360219">
      <w:pPr>
        <w:spacing w:after="60"/>
      </w:pPr>
    </w:p>
    <w:p w14:paraId="5335E946" w14:textId="77777777" w:rsidR="00360219" w:rsidRDefault="003015F4">
      <w:pPr>
        <w:pStyle w:val="Heading1"/>
        <w:spacing w:before="200" w:after="100" w:line="240" w:lineRule="auto"/>
      </w:pPr>
      <w:r>
        <w:rPr>
          <w:rFonts w:ascii="Arial" w:hAnsi="Arial"/>
        </w:rPr>
        <w:t>19. Step Colors and Default Visual Mapping</w:t>
      </w:r>
    </w:p>
    <w:p w14:paraId="5642F7B2" w14:textId="77777777" w:rsidR="00360219" w:rsidRDefault="003015F4">
      <w:pPr>
        <w:pStyle w:val="BodyText"/>
      </w:pPr>
      <w:r>
        <w:rPr>
          <w:color w:val="172033"/>
        </w:rPr>
        <w:t>A Scale can attach a custom color to each registered Step, up to its StepCount, or specify ColorMode = DEFAULT to invoke a registered default visual treatment. The default palette is an implementation asset rather than a semantic law of this guide.</w:t>
      </w:r>
    </w:p>
    <w:tbl>
      <w:tblPr>
        <w:tblW w:w="0" w:type="auto"/>
        <w:jc w:val="center"/>
        <w:tblLayout w:type="fixed"/>
        <w:tblLook w:val="04A0" w:firstRow="1" w:lastRow="0" w:firstColumn="1" w:lastColumn="0" w:noHBand="0" w:noVBand="1"/>
      </w:tblPr>
      <w:tblGrid>
        <w:gridCol w:w="9864"/>
      </w:tblGrid>
      <w:tr w:rsidR="00360219" w14:paraId="3A41F494"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62255CA0" w14:textId="77777777" w:rsidR="00360219" w:rsidRDefault="003015F4">
            <w:pPr>
              <w:spacing w:after="80" w:line="240" w:lineRule="auto"/>
              <w:jc w:val="center"/>
            </w:pPr>
            <w:r>
              <w:rPr>
                <w:noProof/>
              </w:rPr>
              <w:drawing>
                <wp:inline distT="0" distB="0" distL="0" distR="0" wp14:anchorId="2D2FC76F" wp14:editId="1D02B1E3">
                  <wp:extent cx="6126480" cy="3446145"/>
                  <wp:effectExtent l="0" t="0" r="0" b="0"/>
                  <wp:docPr id="21" name="Picture 21" descr="Figure 21. A Normalization Scale can use a registered default Step-color treatment or explicit custom colors." title="Fig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21_Default_vs_Custom_Color.png"/>
                          <pic:cNvPicPr/>
                        </pic:nvPicPr>
                        <pic:blipFill>
                          <a:blip r:embed="rId28"/>
                          <a:stretch>
                            <a:fillRect/>
                          </a:stretch>
                        </pic:blipFill>
                        <pic:spPr>
                          <a:xfrm>
                            <a:off x="0" y="0"/>
                            <a:ext cx="6126480" cy="3446145"/>
                          </a:xfrm>
                          <a:prstGeom prst="rect">
                            <a:avLst/>
                          </a:prstGeom>
                        </pic:spPr>
                      </pic:pic>
                    </a:graphicData>
                  </a:graphic>
                </wp:inline>
              </w:drawing>
            </w:r>
          </w:p>
          <w:p w14:paraId="4E5F54B8" w14:textId="77777777" w:rsidR="00360219" w:rsidRDefault="003015F4">
            <w:pPr>
              <w:spacing w:before="40" w:after="0" w:line="252" w:lineRule="auto"/>
              <w:jc w:val="center"/>
            </w:pPr>
            <w:r>
              <w:rPr>
                <w:b/>
                <w:color w:val="172033"/>
                <w:sz w:val="18"/>
              </w:rPr>
              <w:t xml:space="preserve">Figure 21. </w:t>
            </w:r>
            <w:r>
              <w:rPr>
                <w:color w:val="5B6577"/>
                <w:sz w:val="18"/>
              </w:rPr>
              <w:t>A Normalization Scale can use a registered default Step-color treatment or explicit custom colors.</w:t>
            </w:r>
          </w:p>
        </w:tc>
      </w:tr>
    </w:tbl>
    <w:p w14:paraId="0F50B486" w14:textId="77777777" w:rsidR="00360219" w:rsidRDefault="00360219">
      <w:pPr>
        <w:spacing w:after="60"/>
      </w:pPr>
    </w:p>
    <w:p w14:paraId="262A3B98" w14:textId="77777777" w:rsidR="00360219" w:rsidRDefault="003015F4">
      <w:pPr>
        <w:pStyle w:val="Heading2"/>
        <w:spacing w:before="140" w:after="100" w:line="240" w:lineRule="auto"/>
      </w:pPr>
      <w:r>
        <w:rPr>
          <w:rFonts w:ascii="Arial" w:hAnsi="Arial"/>
        </w:rPr>
        <w:t>19.1 Scale Color Is Not a COLOR Transform</w:t>
      </w:r>
    </w:p>
    <w:p w14:paraId="3D3CF190" w14:textId="77777777" w:rsidR="00360219" w:rsidRDefault="003015F4">
      <w:pPr>
        <w:pStyle w:val="BodyText"/>
      </w:pPr>
      <w:r>
        <w:rPr>
          <w:color w:val="172033"/>
        </w:rPr>
        <w:t>Step color answers: how should this Scale itself be visually represented? A Transform Matrix relationship to COLOR answers: how does this normalized perception mathematically correspond to the normalized COLOR perception? These are separate operations even when they happen to produce similar hues.</w:t>
      </w:r>
    </w:p>
    <w:tbl>
      <w:tblPr>
        <w:tblW w:w="0" w:type="auto"/>
        <w:jc w:val="center"/>
        <w:tblLayout w:type="fixed"/>
        <w:tblLook w:val="04A0" w:firstRow="1" w:lastRow="0" w:firstColumn="1" w:lastColumn="0" w:noHBand="0" w:noVBand="1"/>
      </w:tblPr>
      <w:tblGrid>
        <w:gridCol w:w="9864"/>
      </w:tblGrid>
      <w:tr w:rsidR="00360219" w14:paraId="6EF3C15D"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660BF5C1" w14:textId="77777777" w:rsidR="00360219" w:rsidRDefault="003015F4">
            <w:pPr>
              <w:spacing w:after="80" w:line="240" w:lineRule="auto"/>
              <w:jc w:val="center"/>
            </w:pPr>
            <w:r>
              <w:rPr>
                <w:noProof/>
              </w:rPr>
              <w:drawing>
                <wp:inline distT="0" distB="0" distL="0" distR="0" wp14:anchorId="0B6F0CA9" wp14:editId="3E4575E7">
                  <wp:extent cx="6126480" cy="3446145"/>
                  <wp:effectExtent l="0" t="0" r="0" b="0"/>
                  <wp:docPr id="22" name="Picture 22" descr="Figure 22. Scale display color remains distinct from a registered Transform Matrix relationship to COLOR." title="Fig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22_Scale_Color_vs_Color_Transform.png"/>
                          <pic:cNvPicPr/>
                        </pic:nvPicPr>
                        <pic:blipFill>
                          <a:blip r:embed="rId29"/>
                          <a:stretch>
                            <a:fillRect/>
                          </a:stretch>
                        </pic:blipFill>
                        <pic:spPr>
                          <a:xfrm>
                            <a:off x="0" y="0"/>
                            <a:ext cx="6126480" cy="3446145"/>
                          </a:xfrm>
                          <a:prstGeom prst="rect">
                            <a:avLst/>
                          </a:prstGeom>
                        </pic:spPr>
                      </pic:pic>
                    </a:graphicData>
                  </a:graphic>
                </wp:inline>
              </w:drawing>
            </w:r>
          </w:p>
          <w:p w14:paraId="73DFE226" w14:textId="77777777" w:rsidR="00360219" w:rsidRDefault="003015F4">
            <w:pPr>
              <w:spacing w:before="40" w:after="0" w:line="252" w:lineRule="auto"/>
              <w:jc w:val="center"/>
            </w:pPr>
            <w:r>
              <w:rPr>
                <w:b/>
                <w:color w:val="172033"/>
                <w:sz w:val="18"/>
              </w:rPr>
              <w:t xml:space="preserve">Figure 22. </w:t>
            </w:r>
            <w:r>
              <w:rPr>
                <w:color w:val="5B6577"/>
                <w:sz w:val="18"/>
              </w:rPr>
              <w:t>Scale display color remains distinct from a registered Transform Matrix relationship to COLOR.</w:t>
            </w:r>
          </w:p>
        </w:tc>
      </w:tr>
    </w:tbl>
    <w:p w14:paraId="184E0CD7" w14:textId="77777777" w:rsidR="00360219" w:rsidRDefault="00360219">
      <w:pPr>
        <w:spacing w:after="60"/>
      </w:pPr>
    </w:p>
    <w:p w14:paraId="054F57EB" w14:textId="77777777" w:rsidR="00360219" w:rsidRDefault="003015F4">
      <w:pPr>
        <w:pStyle w:val="Heading1"/>
        <w:spacing w:before="200" w:after="100" w:line="240" w:lineRule="auto"/>
      </w:pPr>
      <w:r>
        <w:rPr>
          <w:rFonts w:ascii="Arial" w:hAnsi="Arial"/>
        </w:rPr>
        <w:t>20. Hysteresis</w:t>
      </w:r>
    </w:p>
    <w:p w14:paraId="4FEC949B" w14:textId="77777777" w:rsidR="00360219" w:rsidRDefault="003015F4">
      <w:pPr>
        <w:pStyle w:val="BodyText"/>
      </w:pPr>
      <w:r>
        <w:rPr>
          <w:color w:val="172033"/>
        </w:rPr>
        <w:t>Some Scale boundaries need state memory. Instead of using one threshold in both directions, a Scale may define separate enter and return conditions. The current raw value, previous resolved Step, and transition contract then jointly determine the current Step. This prevents small fluctuations from causing rapid Step chatter. MEE already uses the same architectural principle for coherence persistence and requires hysteresis or smoothing to remain declared rather than hidden in rendering behavior [2].</w:t>
      </w:r>
    </w:p>
    <w:tbl>
      <w:tblPr>
        <w:tblW w:w="0" w:type="auto"/>
        <w:jc w:val="center"/>
        <w:tblLayout w:type="fixed"/>
        <w:tblLook w:val="04A0" w:firstRow="1" w:lastRow="0" w:firstColumn="1" w:lastColumn="0" w:noHBand="0" w:noVBand="1"/>
      </w:tblPr>
      <w:tblGrid>
        <w:gridCol w:w="9864"/>
      </w:tblGrid>
      <w:tr w:rsidR="00360219" w14:paraId="35F218C9"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420DEE07" w14:textId="77777777" w:rsidR="00360219" w:rsidRDefault="003015F4">
            <w:pPr>
              <w:spacing w:after="80" w:line="240" w:lineRule="auto"/>
              <w:jc w:val="center"/>
            </w:pPr>
            <w:r>
              <w:rPr>
                <w:noProof/>
              </w:rPr>
              <w:drawing>
                <wp:inline distT="0" distB="0" distL="0" distR="0" wp14:anchorId="09C8F5D7" wp14:editId="7D8BE130">
                  <wp:extent cx="6126480" cy="3446145"/>
                  <wp:effectExtent l="0" t="0" r="0" b="0"/>
                  <wp:docPr id="23" name="Picture 23" descr="Figure 23. Hysteresis uses separate enter and return thresholds plus previous resolved state." title="Fig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23_Hysteresis_Boundary.png"/>
                          <pic:cNvPicPr/>
                        </pic:nvPicPr>
                        <pic:blipFill>
                          <a:blip r:embed="rId30"/>
                          <a:stretch>
                            <a:fillRect/>
                          </a:stretch>
                        </pic:blipFill>
                        <pic:spPr>
                          <a:xfrm>
                            <a:off x="0" y="0"/>
                            <a:ext cx="6126480" cy="3446145"/>
                          </a:xfrm>
                          <a:prstGeom prst="rect">
                            <a:avLst/>
                          </a:prstGeom>
                        </pic:spPr>
                      </pic:pic>
                    </a:graphicData>
                  </a:graphic>
                </wp:inline>
              </w:drawing>
            </w:r>
          </w:p>
          <w:p w14:paraId="2B7155B7" w14:textId="77777777" w:rsidR="00360219" w:rsidRDefault="003015F4">
            <w:pPr>
              <w:spacing w:before="40" w:after="0" w:line="252" w:lineRule="auto"/>
              <w:jc w:val="center"/>
            </w:pPr>
            <w:r>
              <w:rPr>
                <w:b/>
                <w:color w:val="172033"/>
                <w:sz w:val="18"/>
              </w:rPr>
              <w:t xml:space="preserve">Figure 23. </w:t>
            </w:r>
            <w:r>
              <w:rPr>
                <w:color w:val="5B6577"/>
                <w:sz w:val="18"/>
              </w:rPr>
              <w:t>Hysteresis uses separate enter and return thresholds plus previous resolved state.</w:t>
            </w:r>
          </w:p>
        </w:tc>
      </w:tr>
    </w:tbl>
    <w:p w14:paraId="23AD9F8D" w14:textId="77777777" w:rsidR="00360219" w:rsidRDefault="00360219">
      <w:pPr>
        <w:spacing w:after="60"/>
      </w:pPr>
    </w:p>
    <w:p w14:paraId="56CEB778" w14:textId="77777777" w:rsidR="00360219" w:rsidRDefault="003015F4">
      <w:pPr>
        <w:pStyle w:val="Heading1"/>
        <w:spacing w:before="200" w:after="100" w:line="240" w:lineRule="auto"/>
      </w:pPr>
      <w:r>
        <w:rPr>
          <w:rFonts w:ascii="Arial" w:hAnsi="Arial"/>
        </w:rPr>
        <w:t>21. Gated Normalization</w:t>
      </w:r>
    </w:p>
    <w:p w14:paraId="536148DD" w14:textId="77777777" w:rsidR="00360219" w:rsidRDefault="003015F4">
      <w:pPr>
        <w:pStyle w:val="BodyText"/>
      </w:pPr>
      <w:r>
        <w:rPr>
          <w:color w:val="172033"/>
        </w:rPr>
        <w:t>A Gate determines which mathematical regime applies. Different raw regions may use different formulas while still publishing one normalized 0-100 result. Gate identity and FormulaRef remain inspectable so downstream systems can explain how the value was produced. Gating and hysteresis are orthogonal: a Scale may use neither, one, or both.</w:t>
      </w:r>
    </w:p>
    <w:tbl>
      <w:tblPr>
        <w:tblW w:w="0" w:type="auto"/>
        <w:jc w:val="center"/>
        <w:tblLayout w:type="fixed"/>
        <w:tblLook w:val="04A0" w:firstRow="1" w:lastRow="0" w:firstColumn="1" w:lastColumn="0" w:noHBand="0" w:noVBand="1"/>
      </w:tblPr>
      <w:tblGrid>
        <w:gridCol w:w="9864"/>
      </w:tblGrid>
      <w:tr w:rsidR="00360219" w14:paraId="304BE14A"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5635310F" w14:textId="77777777" w:rsidR="00360219" w:rsidRDefault="003015F4">
            <w:pPr>
              <w:spacing w:after="80" w:line="240" w:lineRule="auto"/>
              <w:jc w:val="center"/>
            </w:pPr>
            <w:r>
              <w:rPr>
                <w:noProof/>
              </w:rPr>
              <w:drawing>
                <wp:inline distT="0" distB="0" distL="0" distR="0" wp14:anchorId="7A4AF574" wp14:editId="28B76F7C">
                  <wp:extent cx="6126480" cy="3446145"/>
                  <wp:effectExtent l="0" t="0" r="0" b="0"/>
                  <wp:docPr id="24" name="Picture 24" descr="Figure 24. Gated normalization selects among declared formula regimes before publishing one normalized state." title="Fig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24_Gated_Normalization.png"/>
                          <pic:cNvPicPr/>
                        </pic:nvPicPr>
                        <pic:blipFill>
                          <a:blip r:embed="rId31"/>
                          <a:stretch>
                            <a:fillRect/>
                          </a:stretch>
                        </pic:blipFill>
                        <pic:spPr>
                          <a:xfrm>
                            <a:off x="0" y="0"/>
                            <a:ext cx="6126480" cy="3446145"/>
                          </a:xfrm>
                          <a:prstGeom prst="rect">
                            <a:avLst/>
                          </a:prstGeom>
                        </pic:spPr>
                      </pic:pic>
                    </a:graphicData>
                  </a:graphic>
                </wp:inline>
              </w:drawing>
            </w:r>
          </w:p>
          <w:p w14:paraId="51A7E012" w14:textId="77777777" w:rsidR="00360219" w:rsidRDefault="003015F4">
            <w:pPr>
              <w:spacing w:before="40" w:after="0" w:line="252" w:lineRule="auto"/>
              <w:jc w:val="center"/>
            </w:pPr>
            <w:r>
              <w:rPr>
                <w:b/>
                <w:color w:val="172033"/>
                <w:sz w:val="18"/>
              </w:rPr>
              <w:t xml:space="preserve">Figure 24. </w:t>
            </w:r>
            <w:r>
              <w:rPr>
                <w:color w:val="5B6577"/>
                <w:sz w:val="18"/>
              </w:rPr>
              <w:t>Gated normalization selects among declared formula regimes before publishing one normalized state.</w:t>
            </w:r>
          </w:p>
        </w:tc>
      </w:tr>
    </w:tbl>
    <w:p w14:paraId="6A0EAA0C" w14:textId="77777777" w:rsidR="00360219" w:rsidRDefault="00360219">
      <w:pPr>
        <w:spacing w:after="60"/>
      </w:pPr>
    </w:p>
    <w:p w14:paraId="4F9E8A37" w14:textId="77777777" w:rsidR="00360219" w:rsidRDefault="003015F4">
      <w:pPr>
        <w:pStyle w:val="Heading1"/>
        <w:spacing w:before="200" w:after="100" w:line="240" w:lineRule="auto"/>
      </w:pPr>
      <w:r>
        <w:rPr>
          <w:rFonts w:ascii="Arial" w:hAnsi="Arial"/>
        </w:rPr>
        <w:t>22. Null, Saturation, Overflow, and Precision</w:t>
      </w:r>
    </w:p>
    <w:p w14:paraId="1029437D" w14:textId="77777777" w:rsidR="00360219" w:rsidRDefault="003015F4">
      <w:pPr>
        <w:pStyle w:val="BodyText"/>
      </w:pPr>
      <w:r>
        <w:rPr>
          <w:color w:val="172033"/>
        </w:rPr>
        <w:t>Out-of-range behavior is a contract decision. Possible policies include CLAMP, SATURATE, OVERFLOW, REJECT, ROUTE TO EXTENSION, or another declared domain-specific rule. If a raw value exceeds RawMax and the Scale publishes 100 through clamping, the runtime must still preserve the fact that the source exceeded the Scale domain. MEE applies the same principle downstream: out-of-range values are clamped only when the applicable contract permits it; otherwise overflow remains inspectable [2].</w:t>
      </w:r>
    </w:p>
    <w:tbl>
      <w:tblPr>
        <w:tblW w:w="0" w:type="auto"/>
        <w:jc w:val="center"/>
        <w:tblLayout w:type="fixed"/>
        <w:tblLook w:val="04A0" w:firstRow="1" w:lastRow="0" w:firstColumn="1" w:lastColumn="0" w:noHBand="0" w:noVBand="1"/>
      </w:tblPr>
      <w:tblGrid>
        <w:gridCol w:w="9864"/>
      </w:tblGrid>
      <w:tr w:rsidR="00360219" w14:paraId="05B1D6DD"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1A0ECE48" w14:textId="77777777" w:rsidR="00360219" w:rsidRDefault="003015F4">
            <w:pPr>
              <w:spacing w:after="80" w:line="240" w:lineRule="auto"/>
              <w:jc w:val="center"/>
            </w:pPr>
            <w:r>
              <w:rPr>
                <w:noProof/>
              </w:rPr>
              <w:drawing>
                <wp:inline distT="0" distB="0" distL="0" distR="0" wp14:anchorId="203CA3C4" wp14:editId="51636720">
                  <wp:extent cx="6126480" cy="3446145"/>
                  <wp:effectExtent l="0" t="0" r="0" b="0"/>
                  <wp:docPr id="25" name="Picture 25" descr="Figure 25. Numeric bounds, saturation, overflow, and null-like states remain explicitly distinct." title="Fig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25_Null_Saturation_Overflow.png"/>
                          <pic:cNvPicPr/>
                        </pic:nvPicPr>
                        <pic:blipFill>
                          <a:blip r:embed="rId32"/>
                          <a:stretch>
                            <a:fillRect/>
                          </a:stretch>
                        </pic:blipFill>
                        <pic:spPr>
                          <a:xfrm>
                            <a:off x="0" y="0"/>
                            <a:ext cx="6126480" cy="3446145"/>
                          </a:xfrm>
                          <a:prstGeom prst="rect">
                            <a:avLst/>
                          </a:prstGeom>
                        </pic:spPr>
                      </pic:pic>
                    </a:graphicData>
                  </a:graphic>
                </wp:inline>
              </w:drawing>
            </w:r>
          </w:p>
          <w:p w14:paraId="450C58A7" w14:textId="77777777" w:rsidR="00360219" w:rsidRDefault="003015F4">
            <w:pPr>
              <w:spacing w:before="40" w:after="0" w:line="252" w:lineRule="auto"/>
              <w:jc w:val="center"/>
            </w:pPr>
            <w:r>
              <w:rPr>
                <w:b/>
                <w:color w:val="172033"/>
                <w:sz w:val="18"/>
              </w:rPr>
              <w:t xml:space="preserve">Figure 25. </w:t>
            </w:r>
            <w:r>
              <w:rPr>
                <w:color w:val="5B6577"/>
                <w:sz w:val="18"/>
              </w:rPr>
              <w:t>Numeric bounds, saturation, overflow, and null-like states remain explicitly distinct.</w:t>
            </w:r>
          </w:p>
        </w:tc>
      </w:tr>
    </w:tbl>
    <w:p w14:paraId="128C87BF" w14:textId="77777777" w:rsidR="00360219" w:rsidRDefault="00360219">
      <w:pPr>
        <w:spacing w:after="60"/>
      </w:pPr>
    </w:p>
    <w:p w14:paraId="34406B5A" w14:textId="77777777" w:rsidR="00360219" w:rsidRDefault="003015F4">
      <w:pPr>
        <w:pStyle w:val="Heading1"/>
        <w:spacing w:before="200" w:after="100" w:line="240" w:lineRule="auto"/>
      </w:pPr>
      <w:r>
        <w:rPr>
          <w:rFonts w:ascii="Arial" w:hAnsi="Arial"/>
        </w:rPr>
        <w:t>23. Versioning and Contextual Scale Selection</w:t>
      </w:r>
    </w:p>
    <w:p w14:paraId="266321AE" w14:textId="77777777" w:rsidR="00360219" w:rsidRDefault="003015F4">
      <w:pPr>
        <w:pStyle w:val="BodyText"/>
      </w:pPr>
      <w:r>
        <w:rPr>
          <w:color w:val="172033"/>
        </w:rPr>
        <w:t>Normalization Scales are versioned independently of raw measurements, Normalized Perception identity, Transform Matrix relationships, Masks, and renderers. A revised MEAT_TEMP_SCALE v2 can therefore coexist with historical values generated under v1 without redefining TEMPERATURE itself.</w:t>
      </w:r>
    </w:p>
    <w:p w14:paraId="440FDCB6" w14:textId="77777777" w:rsidR="00360219" w:rsidRDefault="003015F4">
      <w:pPr>
        <w:pStyle w:val="BodyText"/>
      </w:pPr>
      <w:r>
        <w:rPr>
          <w:color w:val="172033"/>
        </w:rPr>
        <w:t>Scale selection may be explicit on the measurable item or supplied by an inspectable contextual Model. The same raw state may legitimately feed several Normalization Scales at once - for example process temperature, safety temperature, and a human thermal-response Model - provided each normalized result retains its ScaleRef and provenance.</w:t>
      </w:r>
    </w:p>
    <w:p w14:paraId="2F931D6A" w14:textId="77777777" w:rsidR="00360219" w:rsidRDefault="003015F4">
      <w:pPr>
        <w:pageBreakBefore/>
        <w:spacing w:before="2200"/>
      </w:pPr>
      <w:r>
        <w:rPr>
          <w:b/>
          <w:color w:val="1E5AA8"/>
          <w:sz w:val="26"/>
        </w:rPr>
        <w:t>PART IV</w:t>
      </w:r>
    </w:p>
    <w:p w14:paraId="39DC498B" w14:textId="77777777" w:rsidR="00360219" w:rsidRDefault="003015F4">
      <w:pPr>
        <w:spacing w:before="160" w:after="240" w:line="240" w:lineRule="auto"/>
      </w:pPr>
      <w:r>
        <w:rPr>
          <w:b/>
          <w:color w:val="172033"/>
          <w:sz w:val="56"/>
        </w:rPr>
        <w:t>Normalized Perceptions and the Transform Matrix</w:t>
      </w:r>
    </w:p>
    <w:p w14:paraId="52FE31C3" w14:textId="77777777" w:rsidR="00360219" w:rsidRDefault="003015F4">
      <w:pPr>
        <w:spacing w:after="0" w:line="276" w:lineRule="auto"/>
      </w:pPr>
      <w:r>
        <w:rPr>
          <w:color w:val="5B6577"/>
          <w:sz w:val="25"/>
        </w:rPr>
        <w:t>Defines the stable 0-100 perception vocabulary and the registered mathematical relationships that connect normalized perceptions.</w:t>
      </w:r>
    </w:p>
    <w:tbl>
      <w:tblPr>
        <w:tblW w:w="0" w:type="auto"/>
        <w:tblLayout w:type="fixed"/>
        <w:tblLook w:val="04A0" w:firstRow="1" w:lastRow="0" w:firstColumn="1" w:lastColumn="0" w:noHBand="0" w:noVBand="1"/>
      </w:tblPr>
      <w:tblGrid>
        <w:gridCol w:w="1440"/>
      </w:tblGrid>
      <w:tr w:rsidR="00360219" w14:paraId="1AB4A9B2" w14:textId="77777777">
        <w:tc>
          <w:tcPr>
            <w:tcW w:w="1440" w:type="dxa"/>
            <w:shd w:val="clear" w:color="auto" w:fill="1E5AA8"/>
            <w:tcMar>
              <w:top w:w="20" w:type="dxa"/>
              <w:left w:w="20" w:type="dxa"/>
              <w:bottom w:w="20" w:type="dxa"/>
              <w:right w:w="20" w:type="dxa"/>
            </w:tcMar>
          </w:tcPr>
          <w:p w14:paraId="7CC7DEA0" w14:textId="77777777" w:rsidR="00360219" w:rsidRDefault="00360219"/>
        </w:tc>
      </w:tr>
    </w:tbl>
    <w:p w14:paraId="1FDED806" w14:textId="77777777" w:rsidR="00360219" w:rsidRDefault="003015F4">
      <w:r>
        <w:br w:type="page"/>
      </w:r>
    </w:p>
    <w:p w14:paraId="43122729" w14:textId="77777777" w:rsidR="00360219" w:rsidRDefault="003015F4">
      <w:pPr>
        <w:pStyle w:val="Heading1"/>
        <w:spacing w:before="200" w:after="100" w:line="240" w:lineRule="auto"/>
      </w:pPr>
      <w:r>
        <w:rPr>
          <w:rFonts w:ascii="Arial" w:hAnsi="Arial"/>
        </w:rPr>
        <w:t>24. Normalized Perception Records</w:t>
      </w:r>
    </w:p>
    <w:p w14:paraId="2A752697" w14:textId="77777777" w:rsidR="00360219" w:rsidRDefault="003015F4">
      <w:pPr>
        <w:pStyle w:val="BodyText"/>
      </w:pPr>
      <w:r>
        <w:rPr>
          <w:color w:val="172033"/>
        </w:rPr>
        <w:t>A Normalized Perception Record defines the stable semantic dimension that receives normalized values and participates in the Transform Matrix. It is distinct from a runtime value. TEMPERATURE is the definition; TEMPERATURE = 63/100 under a specific Scale at a specific time is an instance of state against that definition.</w:t>
      </w:r>
    </w:p>
    <w:tbl>
      <w:tblPr>
        <w:tblStyle w:val="TableGrid"/>
        <w:tblW w:w="0" w:type="auto"/>
        <w:jc w:val="center"/>
        <w:tblLayout w:type="fixed"/>
        <w:tblLook w:val="04A0" w:firstRow="1" w:lastRow="0" w:firstColumn="1" w:lastColumn="0" w:noHBand="0" w:noVBand="1"/>
      </w:tblPr>
      <w:tblGrid>
        <w:gridCol w:w="2232"/>
        <w:gridCol w:w="7416"/>
      </w:tblGrid>
      <w:tr w:rsidR="00360219" w14:paraId="5E80C3D4" w14:textId="77777777">
        <w:trPr>
          <w:tblHeader/>
          <w:jc w:val="center"/>
        </w:trPr>
        <w:tc>
          <w:tcPr>
            <w:tcW w:w="2232" w:type="dxa"/>
            <w:shd w:val="clear" w:color="auto" w:fill="172033"/>
            <w:tcMar>
              <w:top w:w="100" w:type="dxa"/>
              <w:left w:w="110" w:type="dxa"/>
              <w:bottom w:w="100" w:type="dxa"/>
              <w:right w:w="110" w:type="dxa"/>
            </w:tcMar>
            <w:vAlign w:val="center"/>
          </w:tcPr>
          <w:p w14:paraId="6B562866" w14:textId="77777777" w:rsidR="00360219" w:rsidRDefault="003015F4">
            <w:pPr>
              <w:jc w:val="center"/>
            </w:pPr>
            <w:r>
              <w:rPr>
                <w:b/>
                <w:color w:val="FFFFFF"/>
                <w:sz w:val="18"/>
              </w:rPr>
              <w:t>Field family</w:t>
            </w:r>
          </w:p>
        </w:tc>
        <w:tc>
          <w:tcPr>
            <w:tcW w:w="7416" w:type="dxa"/>
            <w:shd w:val="clear" w:color="auto" w:fill="172033"/>
            <w:tcMar>
              <w:top w:w="100" w:type="dxa"/>
              <w:left w:w="110" w:type="dxa"/>
              <w:bottom w:w="100" w:type="dxa"/>
              <w:right w:w="110" w:type="dxa"/>
            </w:tcMar>
            <w:vAlign w:val="center"/>
          </w:tcPr>
          <w:p w14:paraId="6358BE13" w14:textId="77777777" w:rsidR="00360219" w:rsidRDefault="003015F4">
            <w:pPr>
              <w:jc w:val="center"/>
            </w:pPr>
            <w:r>
              <w:rPr>
                <w:b/>
                <w:color w:val="FFFFFF"/>
                <w:sz w:val="18"/>
              </w:rPr>
              <w:t>Semantic content</w:t>
            </w:r>
          </w:p>
        </w:tc>
      </w:tr>
      <w:tr w:rsidR="00360219" w14:paraId="53BDA552" w14:textId="77777777">
        <w:trPr>
          <w:cantSplit/>
          <w:jc w:val="center"/>
        </w:trPr>
        <w:tc>
          <w:tcPr>
            <w:tcW w:w="2232" w:type="dxa"/>
            <w:shd w:val="clear" w:color="auto" w:fill="F4F6F8"/>
            <w:tcMar>
              <w:top w:w="100" w:type="dxa"/>
              <w:left w:w="110" w:type="dxa"/>
              <w:bottom w:w="100" w:type="dxa"/>
              <w:right w:w="110" w:type="dxa"/>
            </w:tcMar>
            <w:vAlign w:val="center"/>
          </w:tcPr>
          <w:p w14:paraId="0CE58F8F" w14:textId="77777777" w:rsidR="00360219" w:rsidRDefault="003015F4">
            <w:pPr>
              <w:spacing w:after="0" w:line="252" w:lineRule="auto"/>
              <w:jc w:val="center"/>
            </w:pPr>
            <w:r>
              <w:rPr>
                <w:b/>
                <w:color w:val="172033"/>
                <w:sz w:val="18"/>
              </w:rPr>
              <w:t>Identity</w:t>
            </w:r>
          </w:p>
        </w:tc>
        <w:tc>
          <w:tcPr>
            <w:tcW w:w="7416" w:type="dxa"/>
            <w:tcMar>
              <w:top w:w="100" w:type="dxa"/>
              <w:left w:w="110" w:type="dxa"/>
              <w:bottom w:w="100" w:type="dxa"/>
              <w:right w:w="110" w:type="dxa"/>
            </w:tcMar>
            <w:vAlign w:val="center"/>
          </w:tcPr>
          <w:p w14:paraId="5DC117DF" w14:textId="77777777" w:rsidR="00360219" w:rsidRDefault="003015F4">
            <w:pPr>
              <w:spacing w:after="0" w:line="252" w:lineRule="auto"/>
            </w:pPr>
            <w:r>
              <w:rPr>
                <w:color w:val="172033"/>
                <w:sz w:val="18"/>
              </w:rPr>
              <w:t>PerceptionKey, Name, Perception Family or Type.</w:t>
            </w:r>
          </w:p>
        </w:tc>
      </w:tr>
      <w:tr w:rsidR="00360219" w14:paraId="073489AA" w14:textId="77777777">
        <w:trPr>
          <w:cantSplit/>
          <w:jc w:val="center"/>
        </w:trPr>
        <w:tc>
          <w:tcPr>
            <w:tcW w:w="2232" w:type="dxa"/>
            <w:shd w:val="clear" w:color="auto" w:fill="F4F6F8"/>
            <w:tcMar>
              <w:top w:w="100" w:type="dxa"/>
              <w:left w:w="110" w:type="dxa"/>
              <w:bottom w:w="100" w:type="dxa"/>
              <w:right w:w="110" w:type="dxa"/>
            </w:tcMar>
            <w:vAlign w:val="center"/>
          </w:tcPr>
          <w:p w14:paraId="2D7C166E" w14:textId="77777777" w:rsidR="00360219" w:rsidRDefault="003015F4">
            <w:pPr>
              <w:spacing w:after="0" w:line="252" w:lineRule="auto"/>
              <w:jc w:val="center"/>
            </w:pPr>
            <w:r>
              <w:rPr>
                <w:b/>
                <w:color w:val="172033"/>
                <w:sz w:val="18"/>
              </w:rPr>
              <w:t>Domain</w:t>
            </w:r>
          </w:p>
        </w:tc>
        <w:tc>
          <w:tcPr>
            <w:tcW w:w="7416" w:type="dxa"/>
            <w:tcMar>
              <w:top w:w="100" w:type="dxa"/>
              <w:left w:w="110" w:type="dxa"/>
              <w:bottom w:w="100" w:type="dxa"/>
              <w:right w:w="110" w:type="dxa"/>
            </w:tcMar>
            <w:vAlign w:val="center"/>
          </w:tcPr>
          <w:p w14:paraId="0C75330F" w14:textId="77777777" w:rsidR="00360219" w:rsidRDefault="003015F4">
            <w:pPr>
              <w:spacing w:after="0" w:line="252" w:lineRule="auto"/>
            </w:pPr>
            <w:r>
              <w:rPr>
                <w:color w:val="172033"/>
                <w:sz w:val="18"/>
              </w:rPr>
              <w:t>Normalized Domain: 0-100.</w:t>
            </w:r>
          </w:p>
        </w:tc>
      </w:tr>
      <w:tr w:rsidR="00360219" w14:paraId="48658FCF" w14:textId="77777777">
        <w:trPr>
          <w:cantSplit/>
          <w:jc w:val="center"/>
        </w:trPr>
        <w:tc>
          <w:tcPr>
            <w:tcW w:w="2232" w:type="dxa"/>
            <w:shd w:val="clear" w:color="auto" w:fill="F4F6F8"/>
            <w:tcMar>
              <w:top w:w="100" w:type="dxa"/>
              <w:left w:w="110" w:type="dxa"/>
              <w:bottom w:w="100" w:type="dxa"/>
              <w:right w:w="110" w:type="dxa"/>
            </w:tcMar>
            <w:vAlign w:val="center"/>
          </w:tcPr>
          <w:p w14:paraId="0591EF9D" w14:textId="77777777" w:rsidR="00360219" w:rsidRDefault="003015F4">
            <w:pPr>
              <w:spacing w:after="0" w:line="252" w:lineRule="auto"/>
              <w:jc w:val="center"/>
            </w:pPr>
            <w:r>
              <w:rPr>
                <w:b/>
                <w:color w:val="172033"/>
                <w:sz w:val="18"/>
              </w:rPr>
              <w:t>Capabilities</w:t>
            </w:r>
          </w:p>
        </w:tc>
        <w:tc>
          <w:tcPr>
            <w:tcW w:w="7416" w:type="dxa"/>
            <w:tcMar>
              <w:top w:w="100" w:type="dxa"/>
              <w:left w:w="110" w:type="dxa"/>
              <w:bottom w:w="100" w:type="dxa"/>
              <w:right w:w="110" w:type="dxa"/>
            </w:tcMar>
            <w:vAlign w:val="center"/>
          </w:tcPr>
          <w:p w14:paraId="4AA21DFF" w14:textId="77777777" w:rsidR="00360219" w:rsidRDefault="003015F4">
            <w:pPr>
              <w:spacing w:after="0" w:line="252" w:lineRule="auto"/>
            </w:pPr>
            <w:r>
              <w:rPr>
                <w:color w:val="172033"/>
                <w:sz w:val="18"/>
              </w:rPr>
              <w:t>Detectable, Expressible, or conditional capability states.</w:t>
            </w:r>
          </w:p>
        </w:tc>
      </w:tr>
      <w:tr w:rsidR="00360219" w14:paraId="2E2A20D4" w14:textId="77777777">
        <w:trPr>
          <w:cantSplit/>
          <w:jc w:val="center"/>
        </w:trPr>
        <w:tc>
          <w:tcPr>
            <w:tcW w:w="2232" w:type="dxa"/>
            <w:shd w:val="clear" w:color="auto" w:fill="F4F6F8"/>
            <w:tcMar>
              <w:top w:w="100" w:type="dxa"/>
              <w:left w:w="110" w:type="dxa"/>
              <w:bottom w:w="100" w:type="dxa"/>
              <w:right w:w="110" w:type="dxa"/>
            </w:tcMar>
            <w:vAlign w:val="center"/>
          </w:tcPr>
          <w:p w14:paraId="7B4ADFAC" w14:textId="77777777" w:rsidR="00360219" w:rsidRDefault="003015F4">
            <w:pPr>
              <w:spacing w:after="0" w:line="252" w:lineRule="auto"/>
              <w:jc w:val="center"/>
            </w:pPr>
            <w:r>
              <w:rPr>
                <w:b/>
                <w:color w:val="172033"/>
                <w:sz w:val="18"/>
              </w:rPr>
              <w:t>Relations</w:t>
            </w:r>
          </w:p>
        </w:tc>
        <w:tc>
          <w:tcPr>
            <w:tcW w:w="7416" w:type="dxa"/>
            <w:tcMar>
              <w:top w:w="100" w:type="dxa"/>
              <w:left w:w="110" w:type="dxa"/>
              <w:bottom w:w="100" w:type="dxa"/>
              <w:right w:w="110" w:type="dxa"/>
            </w:tcMar>
            <w:vAlign w:val="center"/>
          </w:tcPr>
          <w:p w14:paraId="0273C3C5" w14:textId="77777777" w:rsidR="00360219" w:rsidRDefault="003015F4">
            <w:pPr>
              <w:spacing w:after="0" w:line="252" w:lineRule="auto"/>
            </w:pPr>
            <w:r>
              <w:rPr>
                <w:color w:val="172033"/>
                <w:sz w:val="18"/>
              </w:rPr>
              <w:t>Inbound Transform Relations; Outbound Transform Relations.</w:t>
            </w:r>
          </w:p>
        </w:tc>
      </w:tr>
      <w:tr w:rsidR="00360219" w14:paraId="3CD1C988" w14:textId="77777777">
        <w:trPr>
          <w:cantSplit/>
          <w:jc w:val="center"/>
        </w:trPr>
        <w:tc>
          <w:tcPr>
            <w:tcW w:w="2232" w:type="dxa"/>
            <w:shd w:val="clear" w:color="auto" w:fill="F4F6F8"/>
            <w:tcMar>
              <w:top w:w="100" w:type="dxa"/>
              <w:left w:w="110" w:type="dxa"/>
              <w:bottom w:w="100" w:type="dxa"/>
              <w:right w:w="110" w:type="dxa"/>
            </w:tcMar>
            <w:vAlign w:val="center"/>
          </w:tcPr>
          <w:p w14:paraId="213A2AB4" w14:textId="77777777" w:rsidR="00360219" w:rsidRDefault="003015F4">
            <w:pPr>
              <w:spacing w:after="0" w:line="252" w:lineRule="auto"/>
              <w:jc w:val="center"/>
            </w:pPr>
            <w:r>
              <w:rPr>
                <w:b/>
                <w:color w:val="172033"/>
                <w:sz w:val="18"/>
              </w:rPr>
              <w:t>Ingress</w:t>
            </w:r>
          </w:p>
        </w:tc>
        <w:tc>
          <w:tcPr>
            <w:tcW w:w="7416" w:type="dxa"/>
            <w:tcMar>
              <w:top w:w="100" w:type="dxa"/>
              <w:left w:w="110" w:type="dxa"/>
              <w:bottom w:w="100" w:type="dxa"/>
              <w:right w:w="110" w:type="dxa"/>
            </w:tcMar>
            <w:vAlign w:val="center"/>
          </w:tcPr>
          <w:p w14:paraId="4F850305" w14:textId="77777777" w:rsidR="00360219" w:rsidRDefault="003015F4">
            <w:pPr>
              <w:spacing w:after="0" w:line="252" w:lineRule="auto"/>
            </w:pPr>
            <w:r>
              <w:rPr>
                <w:color w:val="172033"/>
                <w:sz w:val="18"/>
              </w:rPr>
              <w:t>Compatible Normalization Scales.</w:t>
            </w:r>
          </w:p>
        </w:tc>
      </w:tr>
      <w:tr w:rsidR="00360219" w14:paraId="19B8F234" w14:textId="77777777">
        <w:trPr>
          <w:cantSplit/>
          <w:jc w:val="center"/>
        </w:trPr>
        <w:tc>
          <w:tcPr>
            <w:tcW w:w="2232" w:type="dxa"/>
            <w:shd w:val="clear" w:color="auto" w:fill="F4F6F8"/>
            <w:tcMar>
              <w:top w:w="100" w:type="dxa"/>
              <w:left w:w="110" w:type="dxa"/>
              <w:bottom w:w="100" w:type="dxa"/>
              <w:right w:w="110" w:type="dxa"/>
            </w:tcMar>
            <w:vAlign w:val="center"/>
          </w:tcPr>
          <w:p w14:paraId="572D43C4" w14:textId="77777777" w:rsidR="00360219" w:rsidRDefault="003015F4">
            <w:pPr>
              <w:spacing w:after="0" w:line="252" w:lineRule="auto"/>
              <w:jc w:val="center"/>
            </w:pPr>
            <w:r>
              <w:rPr>
                <w:b/>
                <w:color w:val="172033"/>
                <w:sz w:val="18"/>
              </w:rPr>
              <w:t>Interpretation</w:t>
            </w:r>
          </w:p>
        </w:tc>
        <w:tc>
          <w:tcPr>
            <w:tcW w:w="7416" w:type="dxa"/>
            <w:tcMar>
              <w:top w:w="100" w:type="dxa"/>
              <w:left w:w="110" w:type="dxa"/>
              <w:bottom w:w="100" w:type="dxa"/>
              <w:right w:w="110" w:type="dxa"/>
            </w:tcMar>
            <w:vAlign w:val="center"/>
          </w:tcPr>
          <w:p w14:paraId="7E8D9C7A" w14:textId="77777777" w:rsidR="00360219" w:rsidRDefault="003015F4">
            <w:pPr>
              <w:spacing w:after="0" w:line="252" w:lineRule="auto"/>
            </w:pPr>
            <w:r>
              <w:rPr>
                <w:color w:val="172033"/>
                <w:sz w:val="18"/>
              </w:rPr>
              <w:t>Model and Mask relations where applicable.</w:t>
            </w:r>
          </w:p>
        </w:tc>
      </w:tr>
      <w:tr w:rsidR="00360219" w14:paraId="4206FBEF" w14:textId="77777777">
        <w:trPr>
          <w:cantSplit/>
          <w:jc w:val="center"/>
        </w:trPr>
        <w:tc>
          <w:tcPr>
            <w:tcW w:w="2232" w:type="dxa"/>
            <w:shd w:val="clear" w:color="auto" w:fill="F4F6F8"/>
            <w:tcMar>
              <w:top w:w="100" w:type="dxa"/>
              <w:left w:w="110" w:type="dxa"/>
              <w:bottom w:w="100" w:type="dxa"/>
              <w:right w:w="110" w:type="dxa"/>
            </w:tcMar>
            <w:vAlign w:val="center"/>
          </w:tcPr>
          <w:p w14:paraId="67306E5C" w14:textId="77777777" w:rsidR="00360219" w:rsidRDefault="003015F4">
            <w:pPr>
              <w:spacing w:after="0" w:line="252" w:lineRule="auto"/>
              <w:jc w:val="center"/>
            </w:pPr>
            <w:r>
              <w:rPr>
                <w:b/>
                <w:color w:val="172033"/>
                <w:sz w:val="18"/>
              </w:rPr>
              <w:t>Governance</w:t>
            </w:r>
          </w:p>
        </w:tc>
        <w:tc>
          <w:tcPr>
            <w:tcW w:w="7416" w:type="dxa"/>
            <w:tcMar>
              <w:top w:w="100" w:type="dxa"/>
              <w:left w:w="110" w:type="dxa"/>
              <w:bottom w:w="100" w:type="dxa"/>
              <w:right w:w="110" w:type="dxa"/>
            </w:tcMar>
            <w:vAlign w:val="center"/>
          </w:tcPr>
          <w:p w14:paraId="4806A579" w14:textId="77777777" w:rsidR="00360219" w:rsidRDefault="003015F4">
            <w:pPr>
              <w:spacing w:after="0" w:line="252" w:lineRule="auto"/>
            </w:pPr>
            <w:r>
              <w:rPr>
                <w:color w:val="172033"/>
                <w:sz w:val="18"/>
              </w:rPr>
              <w:t>Version and provenance.</w:t>
            </w:r>
          </w:p>
        </w:tc>
      </w:tr>
    </w:tbl>
    <w:p w14:paraId="20FBC5A9" w14:textId="77777777" w:rsidR="00360219" w:rsidRDefault="00360219">
      <w:pPr>
        <w:spacing w:after="40"/>
      </w:pPr>
    </w:p>
    <w:tbl>
      <w:tblPr>
        <w:tblW w:w="0" w:type="auto"/>
        <w:jc w:val="center"/>
        <w:tblLayout w:type="fixed"/>
        <w:tblLook w:val="04A0" w:firstRow="1" w:lastRow="0" w:firstColumn="1" w:lastColumn="0" w:noHBand="0" w:noVBand="1"/>
      </w:tblPr>
      <w:tblGrid>
        <w:gridCol w:w="9864"/>
      </w:tblGrid>
      <w:tr w:rsidR="00360219" w14:paraId="2BABA5C9"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75DAA2F5" w14:textId="77777777" w:rsidR="00360219" w:rsidRDefault="003015F4">
            <w:pPr>
              <w:spacing w:after="80" w:line="240" w:lineRule="auto"/>
              <w:jc w:val="center"/>
            </w:pPr>
            <w:r>
              <w:rPr>
                <w:noProof/>
              </w:rPr>
              <w:drawing>
                <wp:inline distT="0" distB="0" distL="0" distR="0" wp14:anchorId="6D78170E" wp14:editId="33196B86">
                  <wp:extent cx="6126480" cy="3446145"/>
                  <wp:effectExtent l="0" t="0" r="0" b="0"/>
                  <wp:docPr id="26" name="Picture 26" descr="Figure 26. Stable Normalized Perception definition versus a runtime perception value." title="Fig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26_Perception_Record_Anatomy.png"/>
                          <pic:cNvPicPr/>
                        </pic:nvPicPr>
                        <pic:blipFill>
                          <a:blip r:embed="rId33"/>
                          <a:stretch>
                            <a:fillRect/>
                          </a:stretch>
                        </pic:blipFill>
                        <pic:spPr>
                          <a:xfrm>
                            <a:off x="0" y="0"/>
                            <a:ext cx="6126480" cy="3446145"/>
                          </a:xfrm>
                          <a:prstGeom prst="rect">
                            <a:avLst/>
                          </a:prstGeom>
                        </pic:spPr>
                      </pic:pic>
                    </a:graphicData>
                  </a:graphic>
                </wp:inline>
              </w:drawing>
            </w:r>
          </w:p>
          <w:p w14:paraId="5FAA848B" w14:textId="77777777" w:rsidR="00360219" w:rsidRDefault="003015F4">
            <w:pPr>
              <w:spacing w:before="40" w:after="0" w:line="252" w:lineRule="auto"/>
              <w:jc w:val="center"/>
            </w:pPr>
            <w:r>
              <w:rPr>
                <w:b/>
                <w:color w:val="172033"/>
                <w:sz w:val="18"/>
              </w:rPr>
              <w:t xml:space="preserve">Figure 26. </w:t>
            </w:r>
            <w:r>
              <w:rPr>
                <w:color w:val="5B6577"/>
                <w:sz w:val="18"/>
              </w:rPr>
              <w:t>Stable Normalized Perception definition versus a runtime perception value.</w:t>
            </w:r>
          </w:p>
        </w:tc>
      </w:tr>
    </w:tbl>
    <w:p w14:paraId="7303C8F6" w14:textId="77777777" w:rsidR="00360219" w:rsidRDefault="00360219">
      <w:pPr>
        <w:spacing w:after="60"/>
      </w:pPr>
    </w:p>
    <w:p w14:paraId="7341875D" w14:textId="77777777" w:rsidR="00360219" w:rsidRDefault="003015F4">
      <w:pPr>
        <w:pStyle w:val="Heading1"/>
        <w:spacing w:before="200" w:after="100" w:line="240" w:lineRule="auto"/>
      </w:pPr>
      <w:r>
        <w:rPr>
          <w:rFonts w:ascii="Arial" w:hAnsi="Arial"/>
        </w:rPr>
        <w:t>25. Common Normalized Perception Language</w:t>
      </w:r>
    </w:p>
    <w:p w14:paraId="33F300AF" w14:textId="77777777" w:rsidR="00360219" w:rsidRDefault="003015F4">
      <w:pPr>
        <w:pStyle w:val="BodyText"/>
      </w:pPr>
      <w:r>
        <w:rPr>
          <w:color w:val="172033"/>
        </w:rPr>
        <w:t>The Transform Matrix can maintain a large vocabulary of normalized perceptions such as TEMPERATURE, BRIGHTNESS, PRESSURE, VIBRATION, ROUGHNESS, AIRFLOW, SCENT INTENSITY, LOUDNESS, and later taste, tactile, vestibular, visual, auditory, or machine-oriented dimensions. They share a numeric coordinate but retain separate identity and semantics.</w:t>
      </w:r>
    </w:p>
    <w:tbl>
      <w:tblPr>
        <w:tblW w:w="0" w:type="auto"/>
        <w:jc w:val="center"/>
        <w:tblLayout w:type="fixed"/>
        <w:tblLook w:val="04A0" w:firstRow="1" w:lastRow="0" w:firstColumn="1" w:lastColumn="0" w:noHBand="0" w:noVBand="1"/>
      </w:tblPr>
      <w:tblGrid>
        <w:gridCol w:w="9720"/>
      </w:tblGrid>
      <w:tr w:rsidR="00360219" w14:paraId="517703D7" w14:textId="77777777">
        <w:trPr>
          <w:cantSplit/>
          <w:jc w:val="center"/>
        </w:trPr>
        <w:tc>
          <w:tcPr>
            <w:tcW w:w="9720" w:type="dxa"/>
            <w:tcBorders>
              <w:top w:val="single" w:sz="16" w:space="0" w:color="A36C00"/>
              <w:left w:val="single" w:sz="16" w:space="0" w:color="A36C00"/>
              <w:bottom w:val="single" w:sz="16" w:space="0" w:color="A36C00"/>
              <w:right w:val="single" w:sz="16" w:space="0" w:color="A36C00"/>
            </w:tcBorders>
            <w:shd w:val="clear" w:color="auto" w:fill="F7F1DF"/>
            <w:tcMar>
              <w:top w:w="150" w:type="dxa"/>
              <w:left w:w="170" w:type="dxa"/>
              <w:bottom w:w="150" w:type="dxa"/>
              <w:right w:w="170" w:type="dxa"/>
            </w:tcMar>
          </w:tcPr>
          <w:p w14:paraId="0C6E03D5" w14:textId="77777777" w:rsidR="00360219" w:rsidRDefault="003015F4">
            <w:pPr>
              <w:spacing w:after="80" w:line="240" w:lineRule="auto"/>
            </w:pPr>
            <w:r>
              <w:rPr>
                <w:b/>
                <w:color w:val="A36C00"/>
                <w:sz w:val="19"/>
              </w:rPr>
              <w:t>CRITICAL LAW</w:t>
            </w:r>
          </w:p>
          <w:p w14:paraId="7395B614" w14:textId="77777777" w:rsidR="00360219" w:rsidRDefault="003015F4">
            <w:pPr>
              <w:spacing w:after="0"/>
            </w:pPr>
            <w:r>
              <w:rPr>
                <w:b/>
                <w:color w:val="172033"/>
                <w:sz w:val="21"/>
              </w:rPr>
              <w:t>Common coordinate. Different meanings. A registered Transform is required for correspondence.</w:t>
            </w:r>
          </w:p>
        </w:tc>
      </w:tr>
    </w:tbl>
    <w:p w14:paraId="5DDB4292" w14:textId="77777777" w:rsidR="00360219" w:rsidRDefault="00360219">
      <w:pPr>
        <w:spacing w:after="40"/>
      </w:pPr>
    </w:p>
    <w:tbl>
      <w:tblPr>
        <w:tblW w:w="0" w:type="auto"/>
        <w:jc w:val="center"/>
        <w:tblLayout w:type="fixed"/>
        <w:tblLook w:val="04A0" w:firstRow="1" w:lastRow="0" w:firstColumn="1" w:lastColumn="0" w:noHBand="0" w:noVBand="1"/>
      </w:tblPr>
      <w:tblGrid>
        <w:gridCol w:w="9864"/>
      </w:tblGrid>
      <w:tr w:rsidR="00360219" w14:paraId="62DB3DAC"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3F95B15B" w14:textId="77777777" w:rsidR="00360219" w:rsidRDefault="003015F4">
            <w:pPr>
              <w:spacing w:after="80" w:line="240" w:lineRule="auto"/>
              <w:jc w:val="center"/>
            </w:pPr>
            <w:r>
              <w:rPr>
                <w:noProof/>
              </w:rPr>
              <w:drawing>
                <wp:inline distT="0" distB="0" distL="0" distR="0" wp14:anchorId="713EBBAF" wp14:editId="0EB317C5">
                  <wp:extent cx="6126480" cy="3446145"/>
                  <wp:effectExtent l="0" t="0" r="0" b="0"/>
                  <wp:docPr id="27" name="Picture 27" descr="Figure 27. Different Normalized Perception identities share 0-100 while remaining semantically independent." title="Fig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27_Common_Perception_Language.png"/>
                          <pic:cNvPicPr/>
                        </pic:nvPicPr>
                        <pic:blipFill>
                          <a:blip r:embed="rId34"/>
                          <a:stretch>
                            <a:fillRect/>
                          </a:stretch>
                        </pic:blipFill>
                        <pic:spPr>
                          <a:xfrm>
                            <a:off x="0" y="0"/>
                            <a:ext cx="6126480" cy="3446145"/>
                          </a:xfrm>
                          <a:prstGeom prst="rect">
                            <a:avLst/>
                          </a:prstGeom>
                        </pic:spPr>
                      </pic:pic>
                    </a:graphicData>
                  </a:graphic>
                </wp:inline>
              </w:drawing>
            </w:r>
          </w:p>
          <w:p w14:paraId="6CC1D37C" w14:textId="77777777" w:rsidR="00360219" w:rsidRDefault="003015F4">
            <w:pPr>
              <w:spacing w:before="40" w:after="0" w:line="252" w:lineRule="auto"/>
              <w:jc w:val="center"/>
            </w:pPr>
            <w:r>
              <w:rPr>
                <w:b/>
                <w:color w:val="172033"/>
                <w:sz w:val="18"/>
              </w:rPr>
              <w:t xml:space="preserve">Figure 27. </w:t>
            </w:r>
            <w:r>
              <w:rPr>
                <w:color w:val="5B6577"/>
                <w:sz w:val="18"/>
              </w:rPr>
              <w:t>Different Normalized Perception identities share 0-100 while remaining semantically independent.</w:t>
            </w:r>
          </w:p>
        </w:tc>
      </w:tr>
    </w:tbl>
    <w:p w14:paraId="0FD9D278" w14:textId="77777777" w:rsidR="00360219" w:rsidRDefault="00360219">
      <w:pPr>
        <w:spacing w:after="60"/>
      </w:pPr>
    </w:p>
    <w:p w14:paraId="326BF70C" w14:textId="77777777" w:rsidR="00360219" w:rsidRDefault="003015F4">
      <w:pPr>
        <w:pStyle w:val="Heading1"/>
        <w:spacing w:before="200" w:after="100" w:line="240" w:lineRule="auto"/>
      </w:pPr>
      <w:r>
        <w:rPr>
          <w:rFonts w:ascii="Arial" w:hAnsi="Arial"/>
        </w:rPr>
        <w:t>26. Transform Matrix</w:t>
      </w:r>
    </w:p>
    <w:p w14:paraId="72F15CB3" w14:textId="77777777" w:rsidR="00360219" w:rsidRDefault="003015F4">
      <w:pPr>
        <w:pStyle w:val="BodyText"/>
      </w:pPr>
      <w:r>
        <w:rPr>
          <w:color w:val="172033"/>
        </w:rPr>
        <w:t>The Transform Matrix is the common relational environment for Normalized Perception Records. It answers a different question from the Normalization Table: given a source perception in a normalized state, what declared mathematical correspondence exists to another normalized perception? Every edge is a registered Transform with its own identity, formula or Model, direction, classification, version, and provenance.</w:t>
      </w:r>
    </w:p>
    <w:tbl>
      <w:tblPr>
        <w:tblW w:w="0" w:type="auto"/>
        <w:jc w:val="center"/>
        <w:tblLayout w:type="fixed"/>
        <w:tblLook w:val="04A0" w:firstRow="1" w:lastRow="0" w:firstColumn="1" w:lastColumn="0" w:noHBand="0" w:noVBand="1"/>
      </w:tblPr>
      <w:tblGrid>
        <w:gridCol w:w="9864"/>
      </w:tblGrid>
      <w:tr w:rsidR="00360219" w14:paraId="63FA2D6E"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307E3AF6" w14:textId="77777777" w:rsidR="00360219" w:rsidRDefault="003015F4">
            <w:pPr>
              <w:spacing w:after="80" w:line="240" w:lineRule="auto"/>
              <w:jc w:val="center"/>
            </w:pPr>
            <w:r>
              <w:rPr>
                <w:noProof/>
              </w:rPr>
              <w:drawing>
                <wp:inline distT="0" distB="0" distL="0" distR="0" wp14:anchorId="07A3A953" wp14:editId="2CA396F1">
                  <wp:extent cx="6126480" cy="3446145"/>
                  <wp:effectExtent l="0" t="0" r="0" b="0"/>
                  <wp:docPr id="28" name="Picture 28" descr="Figure 28. Normalized Perception nodes connected by registered Transform Matrix relationships." title="Fig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28_Transform_Matrix_Topology.png"/>
                          <pic:cNvPicPr/>
                        </pic:nvPicPr>
                        <pic:blipFill>
                          <a:blip r:embed="rId35"/>
                          <a:stretch>
                            <a:fillRect/>
                          </a:stretch>
                        </pic:blipFill>
                        <pic:spPr>
                          <a:xfrm>
                            <a:off x="0" y="0"/>
                            <a:ext cx="6126480" cy="3446145"/>
                          </a:xfrm>
                          <a:prstGeom prst="rect">
                            <a:avLst/>
                          </a:prstGeom>
                        </pic:spPr>
                      </pic:pic>
                    </a:graphicData>
                  </a:graphic>
                </wp:inline>
              </w:drawing>
            </w:r>
          </w:p>
          <w:p w14:paraId="75A8B379" w14:textId="77777777" w:rsidR="00360219" w:rsidRDefault="003015F4">
            <w:pPr>
              <w:spacing w:before="40" w:after="0" w:line="252" w:lineRule="auto"/>
              <w:jc w:val="center"/>
            </w:pPr>
            <w:r>
              <w:rPr>
                <w:b/>
                <w:color w:val="172033"/>
                <w:sz w:val="18"/>
              </w:rPr>
              <w:t xml:space="preserve">Figure 28. </w:t>
            </w:r>
            <w:r>
              <w:rPr>
                <w:color w:val="5B6577"/>
                <w:sz w:val="18"/>
              </w:rPr>
              <w:t>Normalized Perception nodes connected by registered Transform Matrix relationships.</w:t>
            </w:r>
          </w:p>
        </w:tc>
      </w:tr>
    </w:tbl>
    <w:p w14:paraId="0FADB433" w14:textId="77777777" w:rsidR="00360219" w:rsidRDefault="00360219">
      <w:pPr>
        <w:spacing w:after="60"/>
      </w:pPr>
    </w:p>
    <w:p w14:paraId="15E6B6D6" w14:textId="77777777" w:rsidR="00360219" w:rsidRDefault="003015F4">
      <w:pPr>
        <w:pStyle w:val="Heading1"/>
        <w:spacing w:before="200" w:after="100" w:line="240" w:lineRule="auto"/>
      </w:pPr>
      <w:r>
        <w:rPr>
          <w:rFonts w:ascii="Arial" w:hAnsi="Arial"/>
        </w:rPr>
        <w:t>27. Transform Relationship Types</w:t>
      </w:r>
    </w:p>
    <w:p w14:paraId="4F00ECF5" w14:textId="77777777" w:rsidR="00360219" w:rsidRDefault="003015F4">
      <w:pPr>
        <w:pStyle w:val="BodyText"/>
      </w:pPr>
      <w:r>
        <w:rPr>
          <w:color w:val="172033"/>
        </w:rPr>
        <w:t>A Transform may preserve the source value directly or compute a different target. Useful relationship types include IDENTITY, INVERT, CURVE, SCALE, WINDOW, THRESHOLD, QUANTIZE, PIECEWISE, GATE, MULTI-INPUT, and CUSTOM FORMULA. Shared 0-100 normalization removes much raw-unit conversion from the edge logic, but it does not eliminate the need for explicit semantics.</w:t>
      </w:r>
    </w:p>
    <w:tbl>
      <w:tblPr>
        <w:tblW w:w="0" w:type="auto"/>
        <w:jc w:val="center"/>
        <w:tblLayout w:type="fixed"/>
        <w:tblLook w:val="04A0" w:firstRow="1" w:lastRow="0" w:firstColumn="1" w:lastColumn="0" w:noHBand="0" w:noVBand="1"/>
      </w:tblPr>
      <w:tblGrid>
        <w:gridCol w:w="9864"/>
      </w:tblGrid>
      <w:tr w:rsidR="00360219" w14:paraId="269E2621"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718F5C33" w14:textId="77777777" w:rsidR="00360219" w:rsidRDefault="003015F4">
            <w:pPr>
              <w:spacing w:after="80" w:line="240" w:lineRule="auto"/>
              <w:jc w:val="center"/>
            </w:pPr>
            <w:r>
              <w:rPr>
                <w:noProof/>
              </w:rPr>
              <w:drawing>
                <wp:inline distT="0" distB="0" distL="0" distR="0" wp14:anchorId="1AE26176" wp14:editId="79C1B166">
                  <wp:extent cx="6126480" cy="3446145"/>
                  <wp:effectExtent l="0" t="0" r="0" b="0"/>
                  <wp:docPr id="29" name="Picture 29" descr="Figure 29. Representative Transform relationship types over normalized source and target perceptions." title="Fig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29_Transform_Types.png"/>
                          <pic:cNvPicPr/>
                        </pic:nvPicPr>
                        <pic:blipFill>
                          <a:blip r:embed="rId36"/>
                          <a:stretch>
                            <a:fillRect/>
                          </a:stretch>
                        </pic:blipFill>
                        <pic:spPr>
                          <a:xfrm>
                            <a:off x="0" y="0"/>
                            <a:ext cx="6126480" cy="3446145"/>
                          </a:xfrm>
                          <a:prstGeom prst="rect">
                            <a:avLst/>
                          </a:prstGeom>
                        </pic:spPr>
                      </pic:pic>
                    </a:graphicData>
                  </a:graphic>
                </wp:inline>
              </w:drawing>
            </w:r>
          </w:p>
          <w:p w14:paraId="23D111A1" w14:textId="77777777" w:rsidR="00360219" w:rsidRDefault="003015F4">
            <w:pPr>
              <w:spacing w:before="40" w:after="0" w:line="252" w:lineRule="auto"/>
              <w:jc w:val="center"/>
            </w:pPr>
            <w:r>
              <w:rPr>
                <w:b/>
                <w:color w:val="172033"/>
                <w:sz w:val="18"/>
              </w:rPr>
              <w:t xml:space="preserve">Figure 29. </w:t>
            </w:r>
            <w:r>
              <w:rPr>
                <w:color w:val="5B6577"/>
                <w:sz w:val="18"/>
              </w:rPr>
              <w:t>Representative Transform relationship types over normalized source and target perceptions.</w:t>
            </w:r>
          </w:p>
        </w:tc>
      </w:tr>
    </w:tbl>
    <w:p w14:paraId="1C299542" w14:textId="77777777" w:rsidR="00360219" w:rsidRDefault="00360219">
      <w:pPr>
        <w:spacing w:after="60"/>
      </w:pPr>
    </w:p>
    <w:p w14:paraId="024FD395" w14:textId="77777777" w:rsidR="00360219" w:rsidRDefault="003015F4">
      <w:pPr>
        <w:pStyle w:val="Heading1"/>
        <w:spacing w:before="200" w:after="100" w:line="240" w:lineRule="auto"/>
      </w:pPr>
      <w:r>
        <w:rPr>
          <w:rFonts w:ascii="Arial" w:hAnsi="Arial"/>
        </w:rPr>
        <w:t>28. One-to-Many and Many-to-One Composition</w:t>
      </w:r>
    </w:p>
    <w:p w14:paraId="4B749CFF" w14:textId="77777777" w:rsidR="00360219" w:rsidRDefault="003015F4">
      <w:pPr>
        <w:pStyle w:val="BodyText"/>
      </w:pPr>
      <w:r>
        <w:rPr>
          <w:color w:val="172033"/>
        </w:rPr>
        <w:t>One normalized perception may drive several target perceptions through independent registered Transform edges. TEMPERATURE may influence COLOR, HAPTIC, LIGHT, and SOUND in one expressive profile. Conversely, several normalized perceptions may feed an explicit derived Model. TEMPERATURE, HUMIDITY, and AIRFLOW can contribute to a modeled THERMAL COMFORT perception if the Model is defensible. Fan-in never means silent averaging merely because all inputs happen to use 0-100.</w:t>
      </w:r>
    </w:p>
    <w:tbl>
      <w:tblPr>
        <w:tblW w:w="0" w:type="auto"/>
        <w:jc w:val="center"/>
        <w:tblLayout w:type="fixed"/>
        <w:tblLook w:val="04A0" w:firstRow="1" w:lastRow="0" w:firstColumn="1" w:lastColumn="0" w:noHBand="0" w:noVBand="1"/>
      </w:tblPr>
      <w:tblGrid>
        <w:gridCol w:w="9864"/>
      </w:tblGrid>
      <w:tr w:rsidR="00360219" w14:paraId="22039547"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53B7C060" w14:textId="77777777" w:rsidR="00360219" w:rsidRDefault="003015F4">
            <w:pPr>
              <w:spacing w:after="80" w:line="240" w:lineRule="auto"/>
              <w:jc w:val="center"/>
            </w:pPr>
            <w:r>
              <w:rPr>
                <w:noProof/>
              </w:rPr>
              <w:drawing>
                <wp:inline distT="0" distB="0" distL="0" distR="0" wp14:anchorId="16BF857A" wp14:editId="4C7050B1">
                  <wp:extent cx="6126480" cy="3446145"/>
                  <wp:effectExtent l="0" t="0" r="0" b="0"/>
                  <wp:docPr id="30" name="Picture 30" descr="Figure 30. Explicit one-to-many Transform fan-out and many-to-one Model composition." title="Fig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30_One_to_Many_Many_to_One.png"/>
                          <pic:cNvPicPr/>
                        </pic:nvPicPr>
                        <pic:blipFill>
                          <a:blip r:embed="rId37"/>
                          <a:stretch>
                            <a:fillRect/>
                          </a:stretch>
                        </pic:blipFill>
                        <pic:spPr>
                          <a:xfrm>
                            <a:off x="0" y="0"/>
                            <a:ext cx="6126480" cy="3446145"/>
                          </a:xfrm>
                          <a:prstGeom prst="rect">
                            <a:avLst/>
                          </a:prstGeom>
                        </pic:spPr>
                      </pic:pic>
                    </a:graphicData>
                  </a:graphic>
                </wp:inline>
              </w:drawing>
            </w:r>
          </w:p>
          <w:p w14:paraId="4B5BF645" w14:textId="77777777" w:rsidR="00360219" w:rsidRDefault="003015F4">
            <w:pPr>
              <w:spacing w:before="40" w:after="0" w:line="252" w:lineRule="auto"/>
              <w:jc w:val="center"/>
            </w:pPr>
            <w:r>
              <w:rPr>
                <w:b/>
                <w:color w:val="172033"/>
                <w:sz w:val="18"/>
              </w:rPr>
              <w:t xml:space="preserve">Figure 30. </w:t>
            </w:r>
            <w:r>
              <w:rPr>
                <w:color w:val="5B6577"/>
                <w:sz w:val="18"/>
              </w:rPr>
              <w:t>Explicit one-to-many Transform fan-out and many-to-one Model composition.</w:t>
            </w:r>
          </w:p>
        </w:tc>
      </w:tr>
    </w:tbl>
    <w:p w14:paraId="7E8280F5" w14:textId="77777777" w:rsidR="00360219" w:rsidRDefault="00360219">
      <w:pPr>
        <w:spacing w:after="60"/>
      </w:pPr>
    </w:p>
    <w:p w14:paraId="6F9A31BC" w14:textId="77777777" w:rsidR="00360219" w:rsidRDefault="003015F4">
      <w:pPr>
        <w:pStyle w:val="Heading1"/>
        <w:spacing w:before="200" w:after="100" w:line="240" w:lineRule="auto"/>
      </w:pPr>
      <w:r>
        <w:rPr>
          <w:rFonts w:ascii="Arial" w:hAnsi="Arial"/>
        </w:rPr>
        <w:t>29. Detectable, Expressible, and Modeled Dimensions</w:t>
      </w:r>
    </w:p>
    <w:p w14:paraId="0972E75F" w14:textId="77777777" w:rsidR="00360219" w:rsidRDefault="003015F4">
      <w:pPr>
        <w:pStyle w:val="BodyText"/>
      </w:pPr>
      <w:r>
        <w:rPr>
          <w:color w:val="172033"/>
        </w:rPr>
        <w:t>A Normalized Perception Record may be DETECTABLE ONLY, EXPRESSIBLE ONLY, BOTH, or MODELLED / SYNTHETIC depending on system capabilities. A chemical concentration may be detected directly while no device can express that exact modality. The Transform Matrix can still route the normalized state into color, sound, haptics, text, or another available channel.</w:t>
      </w:r>
    </w:p>
    <w:p w14:paraId="1822D48C" w14:textId="77777777" w:rsidR="00360219" w:rsidRDefault="003015F4">
      <w:pPr>
        <w:pStyle w:val="Heading1"/>
        <w:spacing w:before="200" w:after="100" w:line="240" w:lineRule="auto"/>
      </w:pPr>
      <w:r>
        <w:rPr>
          <w:rFonts w:ascii="Arial" w:hAnsi="Arial"/>
        </w:rPr>
        <w:t>30. Reverse Normalization and Actuation Boundary</w:t>
      </w:r>
    </w:p>
    <w:p w14:paraId="0B40B8B5" w14:textId="77777777" w:rsidR="00360219" w:rsidRDefault="003015F4">
      <w:pPr>
        <w:pStyle w:val="BodyText"/>
      </w:pPr>
      <w:r>
        <w:rPr>
          <w:color w:val="172033"/>
        </w:rPr>
        <w:t>Where a Scale is reversible, a normalized target may be converted into a candidate physical target value. That computation is not actuation authority. MEE explicitly separates projection from operational state change: if an endpoint is intended to change canonical or physical state, the operation must pass through the appropriate Rules, permissions, and state-transition pathway [2].</w:t>
      </w:r>
    </w:p>
    <w:tbl>
      <w:tblPr>
        <w:tblW w:w="0" w:type="auto"/>
        <w:jc w:val="center"/>
        <w:tblLayout w:type="fixed"/>
        <w:tblLook w:val="04A0" w:firstRow="1" w:lastRow="0" w:firstColumn="1" w:lastColumn="0" w:noHBand="0" w:noVBand="1"/>
      </w:tblPr>
      <w:tblGrid>
        <w:gridCol w:w="9720"/>
      </w:tblGrid>
      <w:tr w:rsidR="00360219" w14:paraId="36FC8884" w14:textId="77777777">
        <w:trPr>
          <w:cantSplit/>
          <w:jc w:val="center"/>
        </w:trPr>
        <w:tc>
          <w:tcPr>
            <w:tcW w:w="9720" w:type="dxa"/>
            <w:tcBorders>
              <w:top w:val="single" w:sz="16" w:space="0" w:color="A23A3A"/>
              <w:left w:val="single" w:sz="16" w:space="0" w:color="A23A3A"/>
              <w:bottom w:val="single" w:sz="16" w:space="0" w:color="A23A3A"/>
              <w:right w:val="single" w:sz="16" w:space="0" w:color="A23A3A"/>
            </w:tcBorders>
            <w:shd w:val="clear" w:color="auto" w:fill="F8ECEF"/>
            <w:tcMar>
              <w:top w:w="150" w:type="dxa"/>
              <w:left w:w="170" w:type="dxa"/>
              <w:bottom w:w="150" w:type="dxa"/>
              <w:right w:w="170" w:type="dxa"/>
            </w:tcMar>
          </w:tcPr>
          <w:p w14:paraId="4CFAB3EC" w14:textId="77777777" w:rsidR="00360219" w:rsidRDefault="003015F4">
            <w:pPr>
              <w:spacing w:after="80" w:line="240" w:lineRule="auto"/>
            </w:pPr>
            <w:r>
              <w:rPr>
                <w:b/>
                <w:color w:val="A23A3A"/>
                <w:sz w:val="19"/>
              </w:rPr>
              <w:t>ACTUATION BOUNDARY</w:t>
            </w:r>
          </w:p>
          <w:p w14:paraId="48D5391A" w14:textId="77777777" w:rsidR="00360219" w:rsidRDefault="003015F4">
            <w:pPr>
              <w:spacing w:after="0"/>
            </w:pPr>
            <w:r>
              <w:rPr>
                <w:b/>
                <w:color w:val="172033"/>
                <w:sz w:val="21"/>
              </w:rPr>
              <w:t>Inverse normalization computes a candidate physical value. It does not authorize execution.</w:t>
            </w:r>
          </w:p>
        </w:tc>
      </w:tr>
    </w:tbl>
    <w:p w14:paraId="110E0347" w14:textId="77777777" w:rsidR="00360219" w:rsidRDefault="00360219">
      <w:pPr>
        <w:spacing w:after="40"/>
      </w:pPr>
    </w:p>
    <w:p w14:paraId="61A06DAB" w14:textId="77777777" w:rsidR="00360219" w:rsidRDefault="003015F4">
      <w:pPr>
        <w:pageBreakBefore/>
        <w:spacing w:before="2200"/>
      </w:pPr>
      <w:r>
        <w:rPr>
          <w:b/>
          <w:color w:val="1E5AA8"/>
          <w:sz w:val="26"/>
        </w:rPr>
        <w:t>PART V</w:t>
      </w:r>
    </w:p>
    <w:p w14:paraId="629C1FC5" w14:textId="77777777" w:rsidR="00360219" w:rsidRDefault="003015F4">
      <w:pPr>
        <w:spacing w:before="160" w:after="240" w:line="240" w:lineRule="auto"/>
      </w:pPr>
      <w:r>
        <w:rPr>
          <w:b/>
          <w:color w:val="172033"/>
          <w:sz w:val="56"/>
        </w:rPr>
        <w:t>Bitmapping and Human Variability</w:t>
      </w:r>
    </w:p>
    <w:p w14:paraId="1A7BC2ED" w14:textId="77777777" w:rsidR="00360219" w:rsidRDefault="003015F4">
      <w:pPr>
        <w:spacing w:after="0" w:line="276" w:lineRule="auto"/>
      </w:pPr>
      <w:r>
        <w:rPr>
          <w:color w:val="5B6577"/>
          <w:sz w:val="25"/>
        </w:rPr>
        <w:t>Defines how normalized semantic state is encoded and where mathematical modeling yields to observer-scoped interpretation.</w:t>
      </w:r>
    </w:p>
    <w:tbl>
      <w:tblPr>
        <w:tblW w:w="0" w:type="auto"/>
        <w:tblLayout w:type="fixed"/>
        <w:tblLook w:val="04A0" w:firstRow="1" w:lastRow="0" w:firstColumn="1" w:lastColumn="0" w:noHBand="0" w:noVBand="1"/>
      </w:tblPr>
      <w:tblGrid>
        <w:gridCol w:w="1440"/>
      </w:tblGrid>
      <w:tr w:rsidR="00360219" w14:paraId="0EC55D15" w14:textId="77777777">
        <w:tc>
          <w:tcPr>
            <w:tcW w:w="1440" w:type="dxa"/>
            <w:shd w:val="clear" w:color="auto" w:fill="1E5AA8"/>
            <w:tcMar>
              <w:top w:w="20" w:type="dxa"/>
              <w:left w:w="20" w:type="dxa"/>
              <w:bottom w:w="20" w:type="dxa"/>
              <w:right w:w="20" w:type="dxa"/>
            </w:tcMar>
          </w:tcPr>
          <w:p w14:paraId="18F1C954" w14:textId="77777777" w:rsidR="00360219" w:rsidRDefault="00360219"/>
        </w:tc>
      </w:tr>
    </w:tbl>
    <w:p w14:paraId="44909FA2" w14:textId="77777777" w:rsidR="00360219" w:rsidRDefault="003015F4">
      <w:r>
        <w:br w:type="page"/>
      </w:r>
    </w:p>
    <w:p w14:paraId="7B48DBBF" w14:textId="77777777" w:rsidR="00360219" w:rsidRDefault="003015F4">
      <w:pPr>
        <w:pStyle w:val="Heading1"/>
        <w:spacing w:before="200" w:after="100" w:line="240" w:lineRule="auto"/>
      </w:pPr>
      <w:r>
        <w:rPr>
          <w:rFonts w:ascii="Arial" w:hAnsi="Arial"/>
        </w:rPr>
        <w:t>31. Normalized Perception to Sensory Bitmap</w:t>
      </w:r>
    </w:p>
    <w:p w14:paraId="35231CAF" w14:textId="77777777" w:rsidR="00360219" w:rsidRDefault="003015F4">
      <w:pPr>
        <w:pStyle w:val="BodyText"/>
      </w:pPr>
      <w:r>
        <w:rPr>
          <w:color w:val="172033"/>
        </w:rPr>
        <w:t>The common 0-100 semantic domain is not itself a BitWord layout. A future sensory SK may encode a Normalized Perception with whatever bit capacity is sufficient for its justified precision, validity state, Step or Gate identity, and routing requirements. Encoding resolution follows the semantic contract; it does not create additional information.</w:t>
      </w:r>
    </w:p>
    <w:p w14:paraId="1F102770" w14:textId="77777777" w:rsidR="00360219" w:rsidRDefault="003015F4">
      <w:pPr>
        <w:pStyle w:val="BodyText"/>
      </w:pPr>
      <w:r>
        <w:rPr>
          <w:color w:val="172033"/>
        </w:rPr>
        <w:t>A runtime sensory packet should remain resolvable to the Normalized Perception identity, normalized value, applied Scale, validity, precision, provenance, and any active Step or Gate state. The Reader can then decode the BitWord without treating the binary representation as the source of meaning.</w:t>
      </w:r>
    </w:p>
    <w:p w14:paraId="49C5C090" w14:textId="77777777" w:rsidR="00360219" w:rsidRDefault="003015F4">
      <w:pPr>
        <w:pStyle w:val="Heading1"/>
        <w:spacing w:before="200" w:after="100" w:line="240" w:lineRule="auto"/>
      </w:pPr>
      <w:r>
        <w:rPr>
          <w:rFonts w:ascii="Arial" w:hAnsi="Arial"/>
        </w:rPr>
        <w:t>32. Mathematics Ends; Masks Begin</w:t>
      </w:r>
    </w:p>
    <w:p w14:paraId="42793C17" w14:textId="77777777" w:rsidR="00360219" w:rsidRDefault="003015F4">
      <w:pPr>
        <w:pStyle w:val="BodyText"/>
      </w:pPr>
      <w:r>
        <w:rPr>
          <w:color w:val="172033"/>
        </w:rPr>
        <w:t>Some human experiences are partially measurable and partially observer-dependent. A physical temperature can be measured. A calibrated thermal-response Model may be developed for a person or population. The semantic judgment pleasantly warm or too hot may still depend on observer, context, acclimation, body location, expectation, culture, or current activity. The architecture preserves those layers instead of forcing them into one falsely objective number.</w:t>
      </w:r>
    </w:p>
    <w:tbl>
      <w:tblPr>
        <w:tblW w:w="0" w:type="auto"/>
        <w:jc w:val="center"/>
        <w:tblLayout w:type="fixed"/>
        <w:tblLook w:val="04A0" w:firstRow="1" w:lastRow="0" w:firstColumn="1" w:lastColumn="0" w:noHBand="0" w:noVBand="1"/>
      </w:tblPr>
      <w:tblGrid>
        <w:gridCol w:w="9864"/>
      </w:tblGrid>
      <w:tr w:rsidR="00360219" w14:paraId="1230E014"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400307C9" w14:textId="77777777" w:rsidR="00360219" w:rsidRDefault="003015F4">
            <w:pPr>
              <w:spacing w:after="80" w:line="240" w:lineRule="auto"/>
              <w:jc w:val="center"/>
            </w:pPr>
            <w:r>
              <w:rPr>
                <w:noProof/>
              </w:rPr>
              <w:drawing>
                <wp:inline distT="0" distB="0" distL="0" distR="0" wp14:anchorId="0BD4790F" wp14:editId="7134F75C">
                  <wp:extent cx="6126480" cy="3446145"/>
                  <wp:effectExtent l="0" t="0" r="0" b="0"/>
                  <wp:docPr id="31" name="Picture 31" descr="Figure 31. Normalized semantic encoding, quantitative Model boundary, and observer-local Mask interpretation." title="Fig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31_Bitmap_Model_Mask.png"/>
                          <pic:cNvPicPr/>
                        </pic:nvPicPr>
                        <pic:blipFill>
                          <a:blip r:embed="rId38"/>
                          <a:stretch>
                            <a:fillRect/>
                          </a:stretch>
                        </pic:blipFill>
                        <pic:spPr>
                          <a:xfrm>
                            <a:off x="0" y="0"/>
                            <a:ext cx="6126480" cy="3446145"/>
                          </a:xfrm>
                          <a:prstGeom prst="rect">
                            <a:avLst/>
                          </a:prstGeom>
                        </pic:spPr>
                      </pic:pic>
                    </a:graphicData>
                  </a:graphic>
                </wp:inline>
              </w:drawing>
            </w:r>
          </w:p>
          <w:p w14:paraId="4F4E8428" w14:textId="77777777" w:rsidR="00360219" w:rsidRDefault="003015F4">
            <w:pPr>
              <w:spacing w:before="40" w:after="0" w:line="252" w:lineRule="auto"/>
              <w:jc w:val="center"/>
            </w:pPr>
            <w:r>
              <w:rPr>
                <w:b/>
                <w:color w:val="172033"/>
                <w:sz w:val="18"/>
              </w:rPr>
              <w:t xml:space="preserve">Figure 31. </w:t>
            </w:r>
            <w:r>
              <w:rPr>
                <w:color w:val="5B6577"/>
                <w:sz w:val="18"/>
              </w:rPr>
              <w:t>Normalized semantic encoding, quantitative Model boundary, and observer-local Mask interpretation.</w:t>
            </w:r>
          </w:p>
        </w:tc>
      </w:tr>
    </w:tbl>
    <w:p w14:paraId="7811282B" w14:textId="77777777" w:rsidR="00360219" w:rsidRDefault="00360219">
      <w:pPr>
        <w:spacing w:after="60"/>
      </w:pPr>
    </w:p>
    <w:p w14:paraId="453EEFB5" w14:textId="77777777" w:rsidR="00360219" w:rsidRDefault="003015F4">
      <w:pPr>
        <w:pStyle w:val="Heading1"/>
        <w:spacing w:before="200" w:after="100" w:line="240" w:lineRule="auto"/>
      </w:pPr>
      <w:r>
        <w:rPr>
          <w:rFonts w:ascii="Arial" w:hAnsi="Arial"/>
        </w:rPr>
        <w:t>33. Mask Scope</w:t>
      </w:r>
    </w:p>
    <w:tbl>
      <w:tblPr>
        <w:tblStyle w:val="TableGrid"/>
        <w:tblW w:w="0" w:type="auto"/>
        <w:jc w:val="center"/>
        <w:tblLayout w:type="fixed"/>
        <w:tblLook w:val="04A0" w:firstRow="1" w:lastRow="0" w:firstColumn="1" w:lastColumn="0" w:noHBand="0" w:noVBand="1"/>
      </w:tblPr>
      <w:tblGrid>
        <w:gridCol w:w="2232"/>
        <w:gridCol w:w="7416"/>
      </w:tblGrid>
      <w:tr w:rsidR="00360219" w14:paraId="733FA958" w14:textId="77777777">
        <w:trPr>
          <w:tblHeader/>
          <w:jc w:val="center"/>
        </w:trPr>
        <w:tc>
          <w:tcPr>
            <w:tcW w:w="2232" w:type="dxa"/>
            <w:shd w:val="clear" w:color="auto" w:fill="172033"/>
            <w:tcMar>
              <w:top w:w="100" w:type="dxa"/>
              <w:left w:w="110" w:type="dxa"/>
              <w:bottom w:w="100" w:type="dxa"/>
              <w:right w:w="110" w:type="dxa"/>
            </w:tcMar>
            <w:vAlign w:val="center"/>
          </w:tcPr>
          <w:p w14:paraId="1A7ED6C9" w14:textId="77777777" w:rsidR="00360219" w:rsidRDefault="003015F4">
            <w:pPr>
              <w:jc w:val="center"/>
            </w:pPr>
            <w:r>
              <w:rPr>
                <w:b/>
                <w:color w:val="FFFFFF"/>
                <w:sz w:val="18"/>
              </w:rPr>
              <w:t>Mask scope</w:t>
            </w:r>
          </w:p>
        </w:tc>
        <w:tc>
          <w:tcPr>
            <w:tcW w:w="7416" w:type="dxa"/>
            <w:shd w:val="clear" w:color="auto" w:fill="172033"/>
            <w:tcMar>
              <w:top w:w="100" w:type="dxa"/>
              <w:left w:w="110" w:type="dxa"/>
              <w:bottom w:w="100" w:type="dxa"/>
              <w:right w:w="110" w:type="dxa"/>
            </w:tcMar>
            <w:vAlign w:val="center"/>
          </w:tcPr>
          <w:p w14:paraId="0F02A34E" w14:textId="77777777" w:rsidR="00360219" w:rsidRDefault="003015F4">
            <w:pPr>
              <w:jc w:val="center"/>
            </w:pPr>
            <w:r>
              <w:rPr>
                <w:b/>
                <w:color w:val="FFFFFF"/>
                <w:sz w:val="18"/>
              </w:rPr>
              <w:t>Meaning</w:t>
            </w:r>
          </w:p>
        </w:tc>
      </w:tr>
      <w:tr w:rsidR="00360219" w14:paraId="20A28914" w14:textId="77777777">
        <w:trPr>
          <w:cantSplit/>
          <w:jc w:val="center"/>
        </w:trPr>
        <w:tc>
          <w:tcPr>
            <w:tcW w:w="2232" w:type="dxa"/>
            <w:shd w:val="clear" w:color="auto" w:fill="F4F6F8"/>
            <w:tcMar>
              <w:top w:w="100" w:type="dxa"/>
              <w:left w:w="110" w:type="dxa"/>
              <w:bottom w:w="100" w:type="dxa"/>
              <w:right w:w="110" w:type="dxa"/>
            </w:tcMar>
            <w:vAlign w:val="center"/>
          </w:tcPr>
          <w:p w14:paraId="6C509625" w14:textId="77777777" w:rsidR="00360219" w:rsidRDefault="003015F4">
            <w:pPr>
              <w:spacing w:after="0" w:line="252" w:lineRule="auto"/>
              <w:jc w:val="center"/>
            </w:pPr>
            <w:r>
              <w:rPr>
                <w:b/>
                <w:color w:val="172033"/>
                <w:sz w:val="18"/>
              </w:rPr>
              <w:t>INDIVIDUAL</w:t>
            </w:r>
          </w:p>
        </w:tc>
        <w:tc>
          <w:tcPr>
            <w:tcW w:w="7416" w:type="dxa"/>
            <w:tcMar>
              <w:top w:w="100" w:type="dxa"/>
              <w:left w:w="110" w:type="dxa"/>
              <w:bottom w:w="100" w:type="dxa"/>
              <w:right w:w="110" w:type="dxa"/>
            </w:tcMar>
            <w:vAlign w:val="center"/>
          </w:tcPr>
          <w:p w14:paraId="6A9CE8F9" w14:textId="77777777" w:rsidR="00360219" w:rsidRDefault="003015F4">
            <w:pPr>
              <w:spacing w:after="0" w:line="252" w:lineRule="auto"/>
            </w:pPr>
            <w:r>
              <w:rPr>
                <w:color w:val="172033"/>
                <w:sz w:val="18"/>
              </w:rPr>
              <w:t>Interpretation, association, preference, or sensitivity scoped to one person.</w:t>
            </w:r>
          </w:p>
        </w:tc>
      </w:tr>
      <w:tr w:rsidR="00360219" w14:paraId="11E814BB" w14:textId="77777777">
        <w:trPr>
          <w:cantSplit/>
          <w:jc w:val="center"/>
        </w:trPr>
        <w:tc>
          <w:tcPr>
            <w:tcW w:w="2232" w:type="dxa"/>
            <w:shd w:val="clear" w:color="auto" w:fill="F4F6F8"/>
            <w:tcMar>
              <w:top w:w="100" w:type="dxa"/>
              <w:left w:w="110" w:type="dxa"/>
              <w:bottom w:w="100" w:type="dxa"/>
              <w:right w:w="110" w:type="dxa"/>
            </w:tcMar>
            <w:vAlign w:val="center"/>
          </w:tcPr>
          <w:p w14:paraId="167177F8" w14:textId="77777777" w:rsidR="00360219" w:rsidRDefault="003015F4">
            <w:pPr>
              <w:spacing w:after="0" w:line="252" w:lineRule="auto"/>
              <w:jc w:val="center"/>
            </w:pPr>
            <w:r>
              <w:rPr>
                <w:b/>
                <w:color w:val="172033"/>
                <w:sz w:val="18"/>
              </w:rPr>
              <w:t>GROUP</w:t>
            </w:r>
          </w:p>
        </w:tc>
        <w:tc>
          <w:tcPr>
            <w:tcW w:w="7416" w:type="dxa"/>
            <w:tcMar>
              <w:top w:w="100" w:type="dxa"/>
              <w:left w:w="110" w:type="dxa"/>
              <w:bottom w:w="100" w:type="dxa"/>
              <w:right w:w="110" w:type="dxa"/>
            </w:tcMar>
            <w:vAlign w:val="center"/>
          </w:tcPr>
          <w:p w14:paraId="1A14254F" w14:textId="77777777" w:rsidR="00360219" w:rsidRDefault="003015F4">
            <w:pPr>
              <w:spacing w:after="0" w:line="252" w:lineRule="auto"/>
            </w:pPr>
            <w:r>
              <w:rPr>
                <w:color w:val="172033"/>
                <w:sz w:val="18"/>
              </w:rPr>
              <w:t>Shared semantic mapping for a team or defined group.</w:t>
            </w:r>
          </w:p>
        </w:tc>
      </w:tr>
      <w:tr w:rsidR="00360219" w14:paraId="72AE209F" w14:textId="77777777">
        <w:trPr>
          <w:cantSplit/>
          <w:jc w:val="center"/>
        </w:trPr>
        <w:tc>
          <w:tcPr>
            <w:tcW w:w="2232" w:type="dxa"/>
            <w:shd w:val="clear" w:color="auto" w:fill="F4F6F8"/>
            <w:tcMar>
              <w:top w:w="100" w:type="dxa"/>
              <w:left w:w="110" w:type="dxa"/>
              <w:bottom w:w="100" w:type="dxa"/>
              <w:right w:w="110" w:type="dxa"/>
            </w:tcMar>
            <w:vAlign w:val="center"/>
          </w:tcPr>
          <w:p w14:paraId="0F6FF2EC" w14:textId="77777777" w:rsidR="00360219" w:rsidRDefault="003015F4">
            <w:pPr>
              <w:spacing w:after="0" w:line="252" w:lineRule="auto"/>
              <w:jc w:val="center"/>
            </w:pPr>
            <w:r>
              <w:rPr>
                <w:b/>
                <w:color w:val="172033"/>
                <w:sz w:val="18"/>
              </w:rPr>
              <w:t>CULTURAL</w:t>
            </w:r>
          </w:p>
        </w:tc>
        <w:tc>
          <w:tcPr>
            <w:tcW w:w="7416" w:type="dxa"/>
            <w:tcMar>
              <w:top w:w="100" w:type="dxa"/>
              <w:left w:w="110" w:type="dxa"/>
              <w:bottom w:w="100" w:type="dxa"/>
              <w:right w:w="110" w:type="dxa"/>
            </w:tcMar>
            <w:vAlign w:val="center"/>
          </w:tcPr>
          <w:p w14:paraId="54C708EC" w14:textId="77777777" w:rsidR="00360219" w:rsidRDefault="003015F4">
            <w:pPr>
              <w:spacing w:after="0" w:line="252" w:lineRule="auto"/>
            </w:pPr>
            <w:r>
              <w:rPr>
                <w:color w:val="172033"/>
                <w:sz w:val="18"/>
              </w:rPr>
              <w:t>Contextual mapping associated with a declared cultural framework.</w:t>
            </w:r>
          </w:p>
        </w:tc>
      </w:tr>
      <w:tr w:rsidR="00360219" w14:paraId="34941450" w14:textId="77777777">
        <w:trPr>
          <w:cantSplit/>
          <w:jc w:val="center"/>
        </w:trPr>
        <w:tc>
          <w:tcPr>
            <w:tcW w:w="2232" w:type="dxa"/>
            <w:shd w:val="clear" w:color="auto" w:fill="F4F6F8"/>
            <w:tcMar>
              <w:top w:w="100" w:type="dxa"/>
              <w:left w:w="110" w:type="dxa"/>
              <w:bottom w:w="100" w:type="dxa"/>
              <w:right w:w="110" w:type="dxa"/>
            </w:tcMar>
            <w:vAlign w:val="center"/>
          </w:tcPr>
          <w:p w14:paraId="1D265A44" w14:textId="77777777" w:rsidR="00360219" w:rsidRDefault="003015F4">
            <w:pPr>
              <w:spacing w:after="0" w:line="252" w:lineRule="auto"/>
              <w:jc w:val="center"/>
            </w:pPr>
            <w:r>
              <w:rPr>
                <w:b/>
                <w:color w:val="172033"/>
                <w:sz w:val="18"/>
              </w:rPr>
              <w:t>TASK</w:t>
            </w:r>
          </w:p>
        </w:tc>
        <w:tc>
          <w:tcPr>
            <w:tcW w:w="7416" w:type="dxa"/>
            <w:tcMar>
              <w:top w:w="100" w:type="dxa"/>
              <w:left w:w="110" w:type="dxa"/>
              <w:bottom w:w="100" w:type="dxa"/>
              <w:right w:w="110" w:type="dxa"/>
            </w:tcMar>
            <w:vAlign w:val="center"/>
          </w:tcPr>
          <w:p w14:paraId="6361A8C2" w14:textId="77777777" w:rsidR="00360219" w:rsidRDefault="003015F4">
            <w:pPr>
              <w:spacing w:after="0" w:line="252" w:lineRule="auto"/>
            </w:pPr>
            <w:r>
              <w:rPr>
                <w:color w:val="172033"/>
                <w:sz w:val="18"/>
              </w:rPr>
              <w:t>Interpretation optimized for one operational or analytical task.</w:t>
            </w:r>
          </w:p>
        </w:tc>
      </w:tr>
      <w:tr w:rsidR="00360219" w14:paraId="1EFD0FC4" w14:textId="77777777">
        <w:trPr>
          <w:cantSplit/>
          <w:jc w:val="center"/>
        </w:trPr>
        <w:tc>
          <w:tcPr>
            <w:tcW w:w="2232" w:type="dxa"/>
            <w:shd w:val="clear" w:color="auto" w:fill="F4F6F8"/>
            <w:tcMar>
              <w:top w:w="100" w:type="dxa"/>
              <w:left w:w="110" w:type="dxa"/>
              <w:bottom w:w="100" w:type="dxa"/>
              <w:right w:w="110" w:type="dxa"/>
            </w:tcMar>
            <w:vAlign w:val="center"/>
          </w:tcPr>
          <w:p w14:paraId="2FDC01E0" w14:textId="77777777" w:rsidR="00360219" w:rsidRDefault="003015F4">
            <w:pPr>
              <w:spacing w:after="0" w:line="252" w:lineRule="auto"/>
              <w:jc w:val="center"/>
            </w:pPr>
            <w:r>
              <w:rPr>
                <w:b/>
                <w:color w:val="172033"/>
                <w:sz w:val="18"/>
              </w:rPr>
              <w:t>CONTEXT</w:t>
            </w:r>
          </w:p>
        </w:tc>
        <w:tc>
          <w:tcPr>
            <w:tcW w:w="7416" w:type="dxa"/>
            <w:tcMar>
              <w:top w:w="100" w:type="dxa"/>
              <w:left w:w="110" w:type="dxa"/>
              <w:bottom w:w="100" w:type="dxa"/>
              <w:right w:w="110" w:type="dxa"/>
            </w:tcMar>
            <w:vAlign w:val="center"/>
          </w:tcPr>
          <w:p w14:paraId="2640CCC9" w14:textId="77777777" w:rsidR="00360219" w:rsidRDefault="003015F4">
            <w:pPr>
              <w:spacing w:after="0" w:line="252" w:lineRule="auto"/>
            </w:pPr>
            <w:r>
              <w:rPr>
                <w:color w:val="172033"/>
                <w:sz w:val="18"/>
              </w:rPr>
              <w:t>Temporary or situational interpretation.</w:t>
            </w:r>
          </w:p>
        </w:tc>
      </w:tr>
      <w:tr w:rsidR="00360219" w14:paraId="4A79362F" w14:textId="77777777">
        <w:trPr>
          <w:cantSplit/>
          <w:jc w:val="center"/>
        </w:trPr>
        <w:tc>
          <w:tcPr>
            <w:tcW w:w="2232" w:type="dxa"/>
            <w:shd w:val="clear" w:color="auto" w:fill="F4F6F8"/>
            <w:tcMar>
              <w:top w:w="100" w:type="dxa"/>
              <w:left w:w="110" w:type="dxa"/>
              <w:bottom w:w="100" w:type="dxa"/>
              <w:right w:w="110" w:type="dxa"/>
            </w:tcMar>
            <w:vAlign w:val="center"/>
          </w:tcPr>
          <w:p w14:paraId="6D529663" w14:textId="77777777" w:rsidR="00360219" w:rsidRDefault="003015F4">
            <w:pPr>
              <w:spacing w:after="0" w:line="252" w:lineRule="auto"/>
              <w:jc w:val="center"/>
            </w:pPr>
            <w:r>
              <w:rPr>
                <w:b/>
                <w:color w:val="172033"/>
                <w:sz w:val="18"/>
              </w:rPr>
              <w:t>POPULATION MODEL</w:t>
            </w:r>
          </w:p>
        </w:tc>
        <w:tc>
          <w:tcPr>
            <w:tcW w:w="7416" w:type="dxa"/>
            <w:tcMar>
              <w:top w:w="100" w:type="dxa"/>
              <w:left w:w="110" w:type="dxa"/>
              <w:bottom w:w="100" w:type="dxa"/>
              <w:right w:w="110" w:type="dxa"/>
            </w:tcMar>
            <w:vAlign w:val="center"/>
          </w:tcPr>
          <w:p w14:paraId="1460390C" w14:textId="77777777" w:rsidR="00360219" w:rsidRDefault="003015F4">
            <w:pPr>
              <w:spacing w:after="0" w:line="252" w:lineRule="auto"/>
            </w:pPr>
            <w:r>
              <w:rPr>
                <w:color w:val="172033"/>
                <w:sz w:val="18"/>
              </w:rPr>
              <w:t>Modeled group behavior that is not asserted as universal human truth.</w:t>
            </w:r>
          </w:p>
        </w:tc>
      </w:tr>
      <w:tr w:rsidR="00360219" w14:paraId="4B92176E" w14:textId="77777777">
        <w:trPr>
          <w:cantSplit/>
          <w:jc w:val="center"/>
        </w:trPr>
        <w:tc>
          <w:tcPr>
            <w:tcW w:w="2232" w:type="dxa"/>
            <w:shd w:val="clear" w:color="auto" w:fill="F4F6F8"/>
            <w:tcMar>
              <w:top w:w="100" w:type="dxa"/>
              <w:left w:w="110" w:type="dxa"/>
              <w:bottom w:w="100" w:type="dxa"/>
              <w:right w:w="110" w:type="dxa"/>
            </w:tcMar>
            <w:vAlign w:val="center"/>
          </w:tcPr>
          <w:p w14:paraId="27208517" w14:textId="77777777" w:rsidR="00360219" w:rsidRDefault="003015F4">
            <w:pPr>
              <w:spacing w:after="0" w:line="252" w:lineRule="auto"/>
              <w:jc w:val="center"/>
            </w:pPr>
            <w:r>
              <w:rPr>
                <w:b/>
                <w:color w:val="172033"/>
                <w:sz w:val="18"/>
              </w:rPr>
              <w:t>ARTISTIC</w:t>
            </w:r>
          </w:p>
        </w:tc>
        <w:tc>
          <w:tcPr>
            <w:tcW w:w="7416" w:type="dxa"/>
            <w:tcMar>
              <w:top w:w="100" w:type="dxa"/>
              <w:left w:w="110" w:type="dxa"/>
              <w:bottom w:w="100" w:type="dxa"/>
              <w:right w:w="110" w:type="dxa"/>
            </w:tcMar>
            <w:vAlign w:val="center"/>
          </w:tcPr>
          <w:p w14:paraId="259E78EE" w14:textId="77777777" w:rsidR="00360219" w:rsidRDefault="003015F4">
            <w:pPr>
              <w:spacing w:after="0" w:line="252" w:lineRule="auto"/>
            </w:pPr>
            <w:r>
              <w:rPr>
                <w:color w:val="172033"/>
                <w:sz w:val="18"/>
              </w:rPr>
              <w:t>Deliberate expressive interpretation.</w:t>
            </w:r>
          </w:p>
        </w:tc>
      </w:tr>
      <w:tr w:rsidR="00360219" w14:paraId="0F3A93ED" w14:textId="77777777">
        <w:trPr>
          <w:cantSplit/>
          <w:jc w:val="center"/>
        </w:trPr>
        <w:tc>
          <w:tcPr>
            <w:tcW w:w="2232" w:type="dxa"/>
            <w:shd w:val="clear" w:color="auto" w:fill="F4F6F8"/>
            <w:tcMar>
              <w:top w:w="100" w:type="dxa"/>
              <w:left w:w="110" w:type="dxa"/>
              <w:bottom w:w="100" w:type="dxa"/>
              <w:right w:w="110" w:type="dxa"/>
            </w:tcMar>
            <w:vAlign w:val="center"/>
          </w:tcPr>
          <w:p w14:paraId="3E99B00D" w14:textId="77777777" w:rsidR="00360219" w:rsidRDefault="003015F4">
            <w:pPr>
              <w:spacing w:after="0" w:line="252" w:lineRule="auto"/>
              <w:jc w:val="center"/>
            </w:pPr>
            <w:r>
              <w:rPr>
                <w:b/>
                <w:color w:val="172033"/>
                <w:sz w:val="18"/>
              </w:rPr>
              <w:t>EXPERIMENTAL</w:t>
            </w:r>
          </w:p>
        </w:tc>
        <w:tc>
          <w:tcPr>
            <w:tcW w:w="7416" w:type="dxa"/>
            <w:tcMar>
              <w:top w:w="100" w:type="dxa"/>
              <w:left w:w="110" w:type="dxa"/>
              <w:bottom w:w="100" w:type="dxa"/>
              <w:right w:w="110" w:type="dxa"/>
            </w:tcMar>
            <w:vAlign w:val="center"/>
          </w:tcPr>
          <w:p w14:paraId="2903BB71" w14:textId="77777777" w:rsidR="00360219" w:rsidRDefault="003015F4">
            <w:pPr>
              <w:spacing w:after="0" w:line="252" w:lineRule="auto"/>
            </w:pPr>
            <w:r>
              <w:rPr>
                <w:color w:val="172033"/>
                <w:sz w:val="18"/>
              </w:rPr>
              <w:t>Provisional mapping under evaluation.</w:t>
            </w:r>
          </w:p>
        </w:tc>
      </w:tr>
    </w:tbl>
    <w:p w14:paraId="5549B593" w14:textId="77777777" w:rsidR="00360219" w:rsidRDefault="00360219">
      <w:pPr>
        <w:spacing w:after="40"/>
      </w:pPr>
    </w:p>
    <w:p w14:paraId="07C7B760" w14:textId="77777777" w:rsidR="00360219" w:rsidRDefault="003015F4">
      <w:pPr>
        <w:pStyle w:val="BodyText"/>
      </w:pPr>
      <w:r>
        <w:rPr>
          <w:color w:val="172033"/>
        </w:rPr>
        <w:t>A Mask can consume a Normalized Perception state or Model result, but it cannot silently rewrite the raw measurement, the Scale mathematics, or the normalized state. Observer-local truth remains local.</w:t>
      </w:r>
    </w:p>
    <w:p w14:paraId="13D291BA" w14:textId="77777777" w:rsidR="00360219" w:rsidRDefault="003015F4">
      <w:pPr>
        <w:pStyle w:val="Heading1"/>
        <w:spacing w:before="200" w:after="100" w:line="240" w:lineRule="auto"/>
      </w:pPr>
      <w:r>
        <w:rPr>
          <w:rFonts w:ascii="Arial" w:hAnsi="Arial"/>
        </w:rPr>
        <w:t>34. Mask-to-Model Evolution</w:t>
      </w:r>
    </w:p>
    <w:p w14:paraId="102D5AB9" w14:textId="77777777" w:rsidR="00360219" w:rsidRDefault="003015F4">
      <w:pPr>
        <w:pStyle w:val="BodyText"/>
      </w:pPr>
      <w:r>
        <w:rPr>
          <w:color w:val="172033"/>
        </w:rPr>
        <w:t>A Mask does not mean a concept is inherently beyond mathematics. It means the current system does not yet justify promoting that interpretation into a canonical quantitative Model. Research, calibration, improved sensors, or validated psychophysical relationships may later support an explicit Model and Normalization Scale. That promotion must be versioned, evidence-backed, and inspectable; historical Mask evidence remains provenance rather than disappearing.</w:t>
      </w:r>
    </w:p>
    <w:p w14:paraId="36FE2FFE" w14:textId="77777777" w:rsidR="00360219" w:rsidRDefault="003015F4">
      <w:pPr>
        <w:pageBreakBefore/>
        <w:spacing w:before="2200"/>
      </w:pPr>
      <w:r>
        <w:rPr>
          <w:b/>
          <w:color w:val="1E5AA8"/>
          <w:sz w:val="26"/>
        </w:rPr>
        <w:t>PART VI</w:t>
      </w:r>
    </w:p>
    <w:p w14:paraId="5083F35F" w14:textId="77777777" w:rsidR="00360219" w:rsidRDefault="003015F4">
      <w:pPr>
        <w:spacing w:before="160" w:after="240" w:line="240" w:lineRule="auto"/>
      </w:pPr>
      <w:r>
        <w:rPr>
          <w:b/>
          <w:color w:val="172033"/>
          <w:sz w:val="56"/>
        </w:rPr>
        <w:t>Multimodal Projection and Worked Examples</w:t>
      </w:r>
    </w:p>
    <w:p w14:paraId="711C6404" w14:textId="77777777" w:rsidR="00360219" w:rsidRDefault="003015F4">
      <w:pPr>
        <w:spacing w:after="0" w:line="276" w:lineRule="auto"/>
      </w:pPr>
      <w:r>
        <w:rPr>
          <w:color w:val="5B6577"/>
          <w:sz w:val="25"/>
        </w:rPr>
        <w:t>Shows how normalized state feeds PPL/MRMM and MEE, then applies the architecture to temperature, tactile, scent, flavor, and accessibility.</w:t>
      </w:r>
    </w:p>
    <w:tbl>
      <w:tblPr>
        <w:tblW w:w="0" w:type="auto"/>
        <w:tblLayout w:type="fixed"/>
        <w:tblLook w:val="04A0" w:firstRow="1" w:lastRow="0" w:firstColumn="1" w:lastColumn="0" w:noHBand="0" w:noVBand="1"/>
      </w:tblPr>
      <w:tblGrid>
        <w:gridCol w:w="1440"/>
      </w:tblGrid>
      <w:tr w:rsidR="00360219" w14:paraId="54A61AE2" w14:textId="77777777">
        <w:tc>
          <w:tcPr>
            <w:tcW w:w="1440" w:type="dxa"/>
            <w:shd w:val="clear" w:color="auto" w:fill="1E5AA8"/>
            <w:tcMar>
              <w:top w:w="20" w:type="dxa"/>
              <w:left w:w="20" w:type="dxa"/>
              <w:bottom w:w="20" w:type="dxa"/>
              <w:right w:w="20" w:type="dxa"/>
            </w:tcMar>
          </w:tcPr>
          <w:p w14:paraId="6935EBDB" w14:textId="77777777" w:rsidR="00360219" w:rsidRDefault="00360219"/>
        </w:tc>
      </w:tr>
    </w:tbl>
    <w:p w14:paraId="03622047" w14:textId="77777777" w:rsidR="00360219" w:rsidRDefault="003015F4">
      <w:r>
        <w:br w:type="page"/>
      </w:r>
    </w:p>
    <w:p w14:paraId="667D04E7" w14:textId="77777777" w:rsidR="00360219" w:rsidRDefault="003015F4">
      <w:pPr>
        <w:pStyle w:val="Heading1"/>
        <w:spacing w:before="200" w:after="100" w:line="240" w:lineRule="auto"/>
      </w:pPr>
      <w:r>
        <w:rPr>
          <w:rFonts w:ascii="Arial" w:hAnsi="Arial"/>
        </w:rPr>
        <w:t>35. Integration with PPL / MRMM</w:t>
      </w:r>
    </w:p>
    <w:p w14:paraId="65320C33" w14:textId="77777777" w:rsidR="00360219" w:rsidRDefault="003015F4">
      <w:pPr>
        <w:pStyle w:val="BodyText"/>
      </w:pPr>
      <w:r>
        <w:rPr>
          <w:color w:val="172033"/>
        </w:rPr>
        <w:t>PPL/MRMM treats normalization, scaling, mathematical relationships, and projection models as explicit components of a perceptual language [1]. Its reference normalized scalar is a convenient bridge between arbitrary domain values and renderer parameters, and it requires missing, uncertain, and reversible states to be declared rather than hidden. This guide turns that normalization step into a reusable registered Normalization Table and standardizes the Transform Matrix perception coordinate as 0-100.</w:t>
      </w:r>
    </w:p>
    <w:p w14:paraId="4C0AEB26" w14:textId="77777777" w:rsidR="00360219" w:rsidRDefault="003015F4">
      <w:pPr>
        <w:pStyle w:val="BodyText"/>
      </w:pPr>
      <w:r>
        <w:rPr>
          <w:color w:val="172033"/>
        </w:rPr>
        <w:t>The resulting handoff is: Canonical or Measured Quantity -&gt; Normalization Scale -&gt; Normalized Perception -&gt; Transform Matrix -&gt; MRMM Projection Contract -&gt; Renderer-Neutral Parameter. MRMM therefore consumes stable normalized source dimensions instead of repeatedly reinterpreting raw physical units.</w:t>
      </w:r>
    </w:p>
    <w:p w14:paraId="59EBFCDA" w14:textId="77777777" w:rsidR="00360219" w:rsidRDefault="003015F4">
      <w:pPr>
        <w:pStyle w:val="Heading1"/>
        <w:spacing w:before="200" w:after="100" w:line="240" w:lineRule="auto"/>
      </w:pPr>
      <w:r>
        <w:rPr>
          <w:rFonts w:ascii="Arial" w:hAnsi="Arial"/>
        </w:rPr>
        <w:t>36. Integration with Multimodal Expressive Environments</w:t>
      </w:r>
    </w:p>
    <w:p w14:paraId="4D500E30" w14:textId="77777777" w:rsidR="00360219" w:rsidRDefault="003015F4">
      <w:pPr>
        <w:pStyle w:val="BodyText"/>
      </w:pPr>
      <w:r>
        <w:rPr>
          <w:color w:val="172033"/>
        </w:rPr>
        <w:t>MEE remains the downstream expressive architecture. It preserves source ownership, Expression Event eligibility, MRMM Projection Contracts, endpoint capability, local calibration, provenance, accessibility, and renderer independence [2]. The Normalization Table and Transform Matrix strengthen the quantitative input side of that system; they do not replace its expressive lifecycle.</w:t>
      </w:r>
    </w:p>
    <w:tbl>
      <w:tblPr>
        <w:tblW w:w="0" w:type="auto"/>
        <w:jc w:val="center"/>
        <w:tblLayout w:type="fixed"/>
        <w:tblLook w:val="04A0" w:firstRow="1" w:lastRow="0" w:firstColumn="1" w:lastColumn="0" w:noHBand="0" w:noVBand="1"/>
      </w:tblPr>
      <w:tblGrid>
        <w:gridCol w:w="9720"/>
      </w:tblGrid>
      <w:tr w:rsidR="00360219" w14:paraId="5F23B112" w14:textId="77777777">
        <w:trPr>
          <w:cantSplit/>
          <w:jc w:val="center"/>
        </w:trPr>
        <w:tc>
          <w:tcPr>
            <w:tcW w:w="9720" w:type="dxa"/>
            <w:tcBorders>
              <w:top w:val="single" w:sz="16" w:space="0" w:color="66508F"/>
              <w:left w:val="single" w:sz="16" w:space="0" w:color="66508F"/>
              <w:bottom w:val="single" w:sz="16" w:space="0" w:color="66508F"/>
              <w:right w:val="single" w:sz="16" w:space="0" w:color="66508F"/>
            </w:tcBorders>
            <w:shd w:val="clear" w:color="auto" w:fill="F1ECF7"/>
            <w:tcMar>
              <w:top w:w="150" w:type="dxa"/>
              <w:left w:w="170" w:type="dxa"/>
              <w:bottom w:w="150" w:type="dxa"/>
              <w:right w:w="170" w:type="dxa"/>
            </w:tcMar>
          </w:tcPr>
          <w:p w14:paraId="133D1CDC" w14:textId="77777777" w:rsidR="00360219" w:rsidRDefault="003015F4">
            <w:pPr>
              <w:spacing w:after="80" w:line="240" w:lineRule="auto"/>
            </w:pPr>
            <w:r>
              <w:rPr>
                <w:b/>
                <w:color w:val="66508F"/>
                <w:sz w:val="19"/>
              </w:rPr>
              <w:t>DOWNSTREAM BOUNDARY</w:t>
            </w:r>
          </w:p>
          <w:p w14:paraId="2A88DA19" w14:textId="77777777" w:rsidR="00360219" w:rsidRDefault="003015F4">
            <w:pPr>
              <w:spacing w:after="0"/>
            </w:pPr>
            <w:r>
              <w:rPr>
                <w:b/>
                <w:color w:val="172033"/>
                <w:sz w:val="21"/>
              </w:rPr>
              <w:t>Resolve measured state through the Normalization Table. Compute perception correspondence in the Transform Matrix. Let MRMM map the resulting state into modality parameters. Let MEE govern expression and renderer context. Projection remains projection.</w:t>
            </w:r>
          </w:p>
        </w:tc>
      </w:tr>
    </w:tbl>
    <w:p w14:paraId="774CDE05" w14:textId="77777777" w:rsidR="00360219" w:rsidRDefault="00360219">
      <w:pPr>
        <w:spacing w:after="40"/>
      </w:pPr>
    </w:p>
    <w:p w14:paraId="5AEE67E4" w14:textId="77777777" w:rsidR="00360219" w:rsidRDefault="003015F4">
      <w:pPr>
        <w:pStyle w:val="Heading1"/>
        <w:spacing w:before="200" w:after="100" w:line="240" w:lineRule="auto"/>
      </w:pPr>
      <w:r>
        <w:rPr>
          <w:rFonts w:ascii="Arial" w:hAnsi="Arial"/>
        </w:rPr>
        <w:t>37. Temperature Reference Example</w:t>
      </w:r>
    </w:p>
    <w:p w14:paraId="07147C42" w14:textId="77777777" w:rsidR="00360219" w:rsidRDefault="003015F4">
      <w:pPr>
        <w:pStyle w:val="BodyText"/>
      </w:pPr>
      <w:r>
        <w:rPr>
          <w:color w:val="172033"/>
        </w:rPr>
        <w:t>Temperature is the primary worked example because one physical Quantity can appear in radically different bounded questions. A meat-cooking Scale may use culinary raw bounds, a chosen formula, ordered Steps, and instructional colors. A stellar Scale may use a vastly different raw domain, formula, Steps, and color treatment. Both can target the same TEMPERATURE Normalized Perception Record while preserving their Scale identity.</w:t>
      </w:r>
    </w:p>
    <w:p w14:paraId="37EFAF11" w14:textId="77777777" w:rsidR="00360219" w:rsidRDefault="003015F4">
      <w:pPr>
        <w:pStyle w:val="BodyText"/>
      </w:pPr>
      <w:r>
        <w:rPr>
          <w:color w:val="172033"/>
        </w:rPr>
        <w:t>The conceptual labels Frozen, Refrigerated, and Thawed and their example colors are instructional Scale content, not authoritative food-safety thresholds in this guide. Likewise, the stellar branch demonstrates architectural scale independence without asserting astrophysical thresholds not supplied by an authoritative source.</w:t>
      </w:r>
    </w:p>
    <w:tbl>
      <w:tblPr>
        <w:tblW w:w="0" w:type="auto"/>
        <w:jc w:val="center"/>
        <w:tblLayout w:type="fixed"/>
        <w:tblLook w:val="04A0" w:firstRow="1" w:lastRow="0" w:firstColumn="1" w:lastColumn="0" w:noHBand="0" w:noVBand="1"/>
      </w:tblPr>
      <w:tblGrid>
        <w:gridCol w:w="9864"/>
      </w:tblGrid>
      <w:tr w:rsidR="00360219" w14:paraId="419EDE19" w14:textId="77777777">
        <w:trPr>
          <w:cantSplit/>
          <w:jc w:val="center"/>
        </w:trPr>
        <w:tc>
          <w:tcPr>
            <w:tcW w:w="9864" w:type="dxa"/>
            <w:tcBorders>
              <w:top w:val="single" w:sz="4" w:space="0" w:color="D9DEE6"/>
              <w:left w:val="single" w:sz="4" w:space="0" w:color="D9DEE6"/>
              <w:bottom w:val="single" w:sz="4" w:space="0" w:color="D9DEE6"/>
              <w:right w:val="single" w:sz="4" w:space="0" w:color="D9DEE6"/>
            </w:tcBorders>
            <w:tcMar>
              <w:top w:w="50" w:type="dxa"/>
              <w:left w:w="60" w:type="dxa"/>
              <w:bottom w:w="50" w:type="dxa"/>
              <w:right w:w="60" w:type="dxa"/>
            </w:tcMar>
          </w:tcPr>
          <w:p w14:paraId="011BF6C5" w14:textId="77777777" w:rsidR="00360219" w:rsidRDefault="003015F4">
            <w:pPr>
              <w:spacing w:after="80" w:line="240" w:lineRule="auto"/>
              <w:jc w:val="center"/>
            </w:pPr>
            <w:r>
              <w:rPr>
                <w:noProof/>
              </w:rPr>
              <w:drawing>
                <wp:inline distT="0" distB="0" distL="0" distR="0" wp14:anchorId="18026622" wp14:editId="2F14D46F">
                  <wp:extent cx="6126480" cy="3446145"/>
                  <wp:effectExtent l="0" t="0" r="0" b="0"/>
                  <wp:docPr id="32" name="Picture 32" descr="Figure 32. Meat and stellar temperature use different Normalization Scales but enter the same TEMPERATURE Normalized Perception and shared Transform Matrix." title="Fig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NP_Figure_32_Meat_vs_Stellar.png"/>
                          <pic:cNvPicPr/>
                        </pic:nvPicPr>
                        <pic:blipFill>
                          <a:blip r:embed="rId39"/>
                          <a:stretch>
                            <a:fillRect/>
                          </a:stretch>
                        </pic:blipFill>
                        <pic:spPr>
                          <a:xfrm>
                            <a:off x="0" y="0"/>
                            <a:ext cx="6126480" cy="3446145"/>
                          </a:xfrm>
                          <a:prstGeom prst="rect">
                            <a:avLst/>
                          </a:prstGeom>
                        </pic:spPr>
                      </pic:pic>
                    </a:graphicData>
                  </a:graphic>
                </wp:inline>
              </w:drawing>
            </w:r>
          </w:p>
          <w:p w14:paraId="28D6A402" w14:textId="77777777" w:rsidR="00360219" w:rsidRDefault="003015F4">
            <w:pPr>
              <w:spacing w:before="40" w:after="0" w:line="252" w:lineRule="auto"/>
              <w:jc w:val="center"/>
            </w:pPr>
            <w:r>
              <w:rPr>
                <w:b/>
                <w:color w:val="172033"/>
                <w:sz w:val="18"/>
              </w:rPr>
              <w:t xml:space="preserve">Figure 32. </w:t>
            </w:r>
            <w:r>
              <w:rPr>
                <w:color w:val="5B6577"/>
                <w:sz w:val="18"/>
              </w:rPr>
              <w:t>Meat and stellar temperature use different Normalization Scales but enter the same TEMPERATURE Normalized Perception and shared Transform Matrix.</w:t>
            </w:r>
          </w:p>
          <w:p w14:paraId="4D5E9C4C" w14:textId="77777777" w:rsidR="00360219" w:rsidRDefault="003015F4">
            <w:pPr>
              <w:spacing w:before="80" w:after="0" w:line="247" w:lineRule="auto"/>
            </w:pPr>
            <w:r>
              <w:rPr>
                <w:i/>
                <w:color w:val="5B6577"/>
                <w:sz w:val="16"/>
              </w:rPr>
              <w:t>Instructional architecture only: exact scientific thresholds and formulas remain domain-owned.</w:t>
            </w:r>
          </w:p>
        </w:tc>
      </w:tr>
    </w:tbl>
    <w:p w14:paraId="06BB3615" w14:textId="77777777" w:rsidR="00360219" w:rsidRDefault="00360219">
      <w:pPr>
        <w:spacing w:after="60"/>
      </w:pPr>
    </w:p>
    <w:p w14:paraId="571684AA" w14:textId="77777777" w:rsidR="00360219" w:rsidRDefault="003015F4">
      <w:pPr>
        <w:pStyle w:val="Heading1"/>
        <w:spacing w:before="200" w:after="100" w:line="240" w:lineRule="auto"/>
      </w:pPr>
      <w:r>
        <w:rPr>
          <w:rFonts w:ascii="Arial" w:hAnsi="Arial"/>
        </w:rPr>
        <w:t>38. Tactile State as a Compound Example</w:t>
      </w:r>
    </w:p>
    <w:p w14:paraId="15EC6113" w14:textId="77777777" w:rsidR="00360219" w:rsidRDefault="003015F4">
      <w:pPr>
        <w:pStyle w:val="BodyText"/>
      </w:pPr>
      <w:r>
        <w:rPr>
          <w:color w:val="172033"/>
        </w:rPr>
        <w:t>A tactile system illustrates why the Transform Matrix should contain multiple normalized perception dimensions rather than one vague touch intensity. Candidate quantitative dimensions can include PRESSURE, SHEAR, FRICTION, VIBRATION FREQUENCY, VIBRATION AMPLITUDE, ROUGHNESS, COMPLIANCE, MOISTURE, TEMPERATURE, CONTACT AREA, DURATION, and VELOCITY. Each dimension may have its own Normalization Scale and Transform routes. Higher semantic descriptions such as silky, sticky, scratchy, comfortable, or gross remai</w:t>
      </w:r>
      <w:r>
        <w:rPr>
          <w:color w:val="172033"/>
        </w:rPr>
        <w:t>n Masks unless a defensible Model exists.</w:t>
      </w:r>
    </w:p>
    <w:p w14:paraId="2854DE49" w14:textId="77777777" w:rsidR="00360219" w:rsidRDefault="003015F4">
      <w:pPr>
        <w:pStyle w:val="Heading1"/>
        <w:spacing w:before="200" w:after="100" w:line="240" w:lineRule="auto"/>
      </w:pPr>
      <w:r>
        <w:rPr>
          <w:rFonts w:ascii="Arial" w:hAnsi="Arial"/>
        </w:rPr>
        <w:t>39. Scent and Flavor</w:t>
      </w:r>
    </w:p>
    <w:p w14:paraId="5AE05BD4" w14:textId="77777777" w:rsidR="00360219" w:rsidRDefault="003015F4">
      <w:pPr>
        <w:pStyle w:val="BodyText"/>
      </w:pPr>
      <w:r>
        <w:rPr>
          <w:color w:val="172033"/>
        </w:rPr>
        <w:t>Scent is a useful boundary case because measurable chemistry and personal semantic association can diverge sharply. Compound identity, concentration, volatility, diffusion, temperature, humidity, exposure time, decay, and validated receptor-response Models may all be quantitative. Descriptors such as woody, fresh, smoky, clean, medical, or a personal memory association remain semantic interpretation unless they have separately validated quantitative Models.</w:t>
      </w:r>
    </w:p>
    <w:p w14:paraId="6C2FAE87" w14:textId="77777777" w:rsidR="00360219" w:rsidRDefault="003015F4">
      <w:pPr>
        <w:pStyle w:val="BodyText"/>
      </w:pPr>
      <w:r>
        <w:rPr>
          <w:color w:val="172033"/>
        </w:rPr>
        <w:t>Flavor further demonstrates compound experience. Taste, retronasal scent, thermal state, tactile texture, trigeminal response, sound, and TIME may each contribute independently. A higher Model can compose those states while preserving the source identity of each component. The compound does not erase its inputs.</w:t>
      </w:r>
    </w:p>
    <w:p w14:paraId="7C475B10" w14:textId="77777777" w:rsidR="00360219" w:rsidRDefault="003015F4">
      <w:r>
        <w:br w:type="page"/>
      </w:r>
    </w:p>
    <w:p w14:paraId="587D75EA" w14:textId="77777777" w:rsidR="00360219" w:rsidRDefault="003015F4">
      <w:pPr>
        <w:pStyle w:val="Heading1"/>
        <w:spacing w:before="200" w:after="100" w:line="240" w:lineRule="auto"/>
      </w:pPr>
      <w:r>
        <w:rPr>
          <w:rFonts w:ascii="Arial" w:hAnsi="Arial"/>
        </w:rPr>
        <w:t>40. Accessibility and Personal Perceptual Languages</w:t>
      </w:r>
    </w:p>
    <w:p w14:paraId="60216AA5" w14:textId="77777777" w:rsidR="00360219" w:rsidRDefault="003015F4">
      <w:pPr>
        <w:pStyle w:val="BodyText"/>
      </w:pPr>
      <w:r>
        <w:rPr>
          <w:color w:val="172033"/>
        </w:rPr>
        <w:t>The Transform Matrix is particularly useful for sensory substitution. If a perception is detectable but unavailable or overloaded for a user, an explicit Transform may route it into another channel - for example SOUND -&gt; HAPTIC or COLOR -&gt; TEXT / SYMBOL. PPL/MRMM already treats accessibility, personalization, learnability, and calibration as first-class design concerns [1], while MEE allows alternate modality mappings that preserve relevant semantics without changing the source state [2].</w:t>
      </w:r>
    </w:p>
    <w:p w14:paraId="7D053792" w14:textId="77777777" w:rsidR="00360219" w:rsidRDefault="003015F4">
      <w:pPr>
        <w:pageBreakBefore/>
        <w:spacing w:before="2200"/>
      </w:pPr>
      <w:r>
        <w:rPr>
          <w:b/>
          <w:color w:val="1E5AA8"/>
          <w:sz w:val="26"/>
        </w:rPr>
        <w:t>PART VII</w:t>
      </w:r>
    </w:p>
    <w:p w14:paraId="4C31D100" w14:textId="77777777" w:rsidR="00360219" w:rsidRDefault="003015F4">
      <w:pPr>
        <w:spacing w:before="160" w:after="240" w:line="240" w:lineRule="auto"/>
      </w:pPr>
      <w:r>
        <w:rPr>
          <w:b/>
          <w:color w:val="172033"/>
          <w:sz w:val="56"/>
        </w:rPr>
        <w:t>Runtime, Conformance, and Extension</w:t>
      </w:r>
    </w:p>
    <w:p w14:paraId="2E2BDBAC" w14:textId="77777777" w:rsidR="00360219" w:rsidRDefault="003015F4">
      <w:pPr>
        <w:spacing w:after="0" w:line="276" w:lineRule="auto"/>
      </w:pPr>
      <w:r>
        <w:rPr>
          <w:color w:val="5B6577"/>
          <w:sz w:val="25"/>
        </w:rPr>
        <w:t>Defines the runtime packet, forward and reverse traceability, failure behavior, conformance tests, implementation sequence, and future extension boundary.</w:t>
      </w:r>
    </w:p>
    <w:tbl>
      <w:tblPr>
        <w:tblW w:w="0" w:type="auto"/>
        <w:tblLayout w:type="fixed"/>
        <w:tblLook w:val="04A0" w:firstRow="1" w:lastRow="0" w:firstColumn="1" w:lastColumn="0" w:noHBand="0" w:noVBand="1"/>
      </w:tblPr>
      <w:tblGrid>
        <w:gridCol w:w="1440"/>
      </w:tblGrid>
      <w:tr w:rsidR="00360219" w14:paraId="35E0644A" w14:textId="77777777">
        <w:tc>
          <w:tcPr>
            <w:tcW w:w="1440" w:type="dxa"/>
            <w:shd w:val="clear" w:color="auto" w:fill="1E5AA8"/>
            <w:tcMar>
              <w:top w:w="20" w:type="dxa"/>
              <w:left w:w="20" w:type="dxa"/>
              <w:bottom w:w="20" w:type="dxa"/>
              <w:right w:w="20" w:type="dxa"/>
            </w:tcMar>
          </w:tcPr>
          <w:p w14:paraId="639713D3" w14:textId="77777777" w:rsidR="00360219" w:rsidRDefault="00360219"/>
        </w:tc>
      </w:tr>
    </w:tbl>
    <w:p w14:paraId="7C742E2A" w14:textId="77777777" w:rsidR="00360219" w:rsidRDefault="003015F4">
      <w:r>
        <w:br w:type="page"/>
      </w:r>
    </w:p>
    <w:p w14:paraId="101C05CF" w14:textId="77777777" w:rsidR="00360219" w:rsidRDefault="003015F4">
      <w:pPr>
        <w:pStyle w:val="Heading1"/>
        <w:spacing w:before="200" w:after="100" w:line="240" w:lineRule="auto"/>
      </w:pPr>
      <w:r>
        <w:rPr>
          <w:rFonts w:ascii="Arial" w:hAnsi="Arial"/>
        </w:rPr>
        <w:t>41. Common Runtime Packet</w:t>
      </w:r>
    </w:p>
    <w:p w14:paraId="1E17961E" w14:textId="77777777" w:rsidR="00360219" w:rsidRDefault="003015F4">
      <w:pPr>
        <w:pStyle w:val="BodyText"/>
      </w:pPr>
      <w:r>
        <w:rPr>
          <w:color w:val="172033"/>
        </w:rPr>
        <w:t>A normalized measurement moving into the Transform Matrix should remain reconstructable from a compact runtime packet. Storage technology may vary, but the semantic content should be sufficient for routing, explanation, replay, and error handling.</w:t>
      </w:r>
    </w:p>
    <w:tbl>
      <w:tblPr>
        <w:tblStyle w:val="TableGrid"/>
        <w:tblW w:w="0" w:type="auto"/>
        <w:jc w:val="center"/>
        <w:tblLayout w:type="fixed"/>
        <w:tblLook w:val="04A0" w:firstRow="1" w:lastRow="0" w:firstColumn="1" w:lastColumn="0" w:noHBand="0" w:noVBand="1"/>
      </w:tblPr>
      <w:tblGrid>
        <w:gridCol w:w="2880"/>
        <w:gridCol w:w="6768"/>
      </w:tblGrid>
      <w:tr w:rsidR="00360219" w14:paraId="094515A4" w14:textId="77777777">
        <w:trPr>
          <w:tblHeader/>
          <w:jc w:val="center"/>
        </w:trPr>
        <w:tc>
          <w:tcPr>
            <w:tcW w:w="2880" w:type="dxa"/>
            <w:shd w:val="clear" w:color="auto" w:fill="172033"/>
            <w:tcMar>
              <w:top w:w="100" w:type="dxa"/>
              <w:left w:w="110" w:type="dxa"/>
              <w:bottom w:w="100" w:type="dxa"/>
              <w:right w:w="110" w:type="dxa"/>
            </w:tcMar>
            <w:vAlign w:val="center"/>
          </w:tcPr>
          <w:p w14:paraId="09E6AE0E" w14:textId="77777777" w:rsidR="00360219" w:rsidRDefault="003015F4">
            <w:pPr>
              <w:jc w:val="center"/>
            </w:pPr>
            <w:r>
              <w:rPr>
                <w:b/>
                <w:color w:val="FFFFFF"/>
                <w:sz w:val="18"/>
              </w:rPr>
              <w:t>Field</w:t>
            </w:r>
          </w:p>
        </w:tc>
        <w:tc>
          <w:tcPr>
            <w:tcW w:w="6768" w:type="dxa"/>
            <w:shd w:val="clear" w:color="auto" w:fill="172033"/>
            <w:tcMar>
              <w:top w:w="100" w:type="dxa"/>
              <w:left w:w="110" w:type="dxa"/>
              <w:bottom w:w="100" w:type="dxa"/>
              <w:right w:w="110" w:type="dxa"/>
            </w:tcMar>
            <w:vAlign w:val="center"/>
          </w:tcPr>
          <w:p w14:paraId="71B0088E" w14:textId="77777777" w:rsidR="00360219" w:rsidRDefault="003015F4">
            <w:pPr>
              <w:jc w:val="center"/>
            </w:pPr>
            <w:r>
              <w:rPr>
                <w:b/>
                <w:color w:val="FFFFFF"/>
                <w:sz w:val="18"/>
              </w:rPr>
              <w:t>Purpose</w:t>
            </w:r>
          </w:p>
        </w:tc>
      </w:tr>
      <w:tr w:rsidR="00360219" w14:paraId="6E51A3C7" w14:textId="77777777">
        <w:trPr>
          <w:cantSplit/>
          <w:jc w:val="center"/>
        </w:trPr>
        <w:tc>
          <w:tcPr>
            <w:tcW w:w="2880" w:type="dxa"/>
            <w:shd w:val="clear" w:color="auto" w:fill="F4F6F8"/>
            <w:tcMar>
              <w:top w:w="100" w:type="dxa"/>
              <w:left w:w="110" w:type="dxa"/>
              <w:bottom w:w="100" w:type="dxa"/>
              <w:right w:w="110" w:type="dxa"/>
            </w:tcMar>
            <w:vAlign w:val="center"/>
          </w:tcPr>
          <w:p w14:paraId="3A5BF731" w14:textId="77777777" w:rsidR="00360219" w:rsidRDefault="003015F4">
            <w:pPr>
              <w:spacing w:after="0" w:line="252" w:lineRule="auto"/>
              <w:jc w:val="center"/>
            </w:pPr>
            <w:r>
              <w:rPr>
                <w:b/>
                <w:color w:val="172033"/>
                <w:sz w:val="18"/>
              </w:rPr>
              <w:t>SourceIdentity</w:t>
            </w:r>
          </w:p>
        </w:tc>
        <w:tc>
          <w:tcPr>
            <w:tcW w:w="6768" w:type="dxa"/>
            <w:tcMar>
              <w:top w:w="100" w:type="dxa"/>
              <w:left w:w="110" w:type="dxa"/>
              <w:bottom w:w="100" w:type="dxa"/>
              <w:right w:w="110" w:type="dxa"/>
            </w:tcMar>
            <w:vAlign w:val="center"/>
          </w:tcPr>
          <w:p w14:paraId="7526D8A2" w14:textId="77777777" w:rsidR="00360219" w:rsidRDefault="003015F4">
            <w:pPr>
              <w:spacing w:after="0" w:line="252" w:lineRule="auto"/>
            </w:pPr>
            <w:r>
              <w:rPr>
                <w:color w:val="172033"/>
                <w:sz w:val="18"/>
              </w:rPr>
              <w:t>Exact source state, record, event, or Model output.</w:t>
            </w:r>
          </w:p>
        </w:tc>
      </w:tr>
      <w:tr w:rsidR="00360219" w14:paraId="395A26D4" w14:textId="77777777">
        <w:trPr>
          <w:cantSplit/>
          <w:jc w:val="center"/>
        </w:trPr>
        <w:tc>
          <w:tcPr>
            <w:tcW w:w="2880" w:type="dxa"/>
            <w:shd w:val="clear" w:color="auto" w:fill="F4F6F8"/>
            <w:tcMar>
              <w:top w:w="100" w:type="dxa"/>
              <w:left w:w="110" w:type="dxa"/>
              <w:bottom w:w="100" w:type="dxa"/>
              <w:right w:w="110" w:type="dxa"/>
            </w:tcMar>
            <w:vAlign w:val="center"/>
          </w:tcPr>
          <w:p w14:paraId="4D04FCE8" w14:textId="77777777" w:rsidR="00360219" w:rsidRDefault="003015F4">
            <w:pPr>
              <w:spacing w:after="0" w:line="252" w:lineRule="auto"/>
              <w:jc w:val="center"/>
            </w:pPr>
            <w:r>
              <w:rPr>
                <w:b/>
                <w:color w:val="172033"/>
                <w:sz w:val="18"/>
              </w:rPr>
              <w:t>RawValue / RawUnit</w:t>
            </w:r>
          </w:p>
        </w:tc>
        <w:tc>
          <w:tcPr>
            <w:tcW w:w="6768" w:type="dxa"/>
            <w:tcMar>
              <w:top w:w="100" w:type="dxa"/>
              <w:left w:w="110" w:type="dxa"/>
              <w:bottom w:w="100" w:type="dxa"/>
              <w:right w:w="110" w:type="dxa"/>
            </w:tcMar>
            <w:vAlign w:val="center"/>
          </w:tcPr>
          <w:p w14:paraId="5367349C" w14:textId="77777777" w:rsidR="00360219" w:rsidRDefault="003015F4">
            <w:pPr>
              <w:spacing w:after="0" w:line="252" w:lineRule="auto"/>
            </w:pPr>
            <w:r>
              <w:rPr>
                <w:color w:val="172033"/>
                <w:sz w:val="18"/>
              </w:rPr>
              <w:t>Native measurement and unit.</w:t>
            </w:r>
          </w:p>
        </w:tc>
      </w:tr>
      <w:tr w:rsidR="00360219" w14:paraId="14D5F2AB" w14:textId="77777777">
        <w:trPr>
          <w:cantSplit/>
          <w:jc w:val="center"/>
        </w:trPr>
        <w:tc>
          <w:tcPr>
            <w:tcW w:w="2880" w:type="dxa"/>
            <w:shd w:val="clear" w:color="auto" w:fill="F4F6F8"/>
            <w:tcMar>
              <w:top w:w="100" w:type="dxa"/>
              <w:left w:w="110" w:type="dxa"/>
              <w:bottom w:w="100" w:type="dxa"/>
              <w:right w:w="110" w:type="dxa"/>
            </w:tcMar>
            <w:vAlign w:val="center"/>
          </w:tcPr>
          <w:p w14:paraId="52906AE8" w14:textId="77777777" w:rsidR="00360219" w:rsidRDefault="003015F4">
            <w:pPr>
              <w:spacing w:after="0" w:line="252" w:lineRule="auto"/>
              <w:jc w:val="center"/>
            </w:pPr>
            <w:r>
              <w:rPr>
                <w:b/>
                <w:color w:val="172033"/>
                <w:sz w:val="18"/>
              </w:rPr>
              <w:t>NormalizationScaleRef</w:t>
            </w:r>
          </w:p>
        </w:tc>
        <w:tc>
          <w:tcPr>
            <w:tcW w:w="6768" w:type="dxa"/>
            <w:tcMar>
              <w:top w:w="100" w:type="dxa"/>
              <w:left w:w="110" w:type="dxa"/>
              <w:bottom w:w="100" w:type="dxa"/>
              <w:right w:w="110" w:type="dxa"/>
            </w:tcMar>
            <w:vAlign w:val="center"/>
          </w:tcPr>
          <w:p w14:paraId="09622299" w14:textId="77777777" w:rsidR="00360219" w:rsidRDefault="003015F4">
            <w:pPr>
              <w:spacing w:after="0" w:line="252" w:lineRule="auto"/>
            </w:pPr>
            <w:r>
              <w:rPr>
                <w:color w:val="172033"/>
                <w:sz w:val="18"/>
              </w:rPr>
              <w:t>Exact Normalization Table record applied.</w:t>
            </w:r>
          </w:p>
        </w:tc>
      </w:tr>
      <w:tr w:rsidR="00360219" w14:paraId="1A78C443" w14:textId="77777777">
        <w:trPr>
          <w:cantSplit/>
          <w:jc w:val="center"/>
        </w:trPr>
        <w:tc>
          <w:tcPr>
            <w:tcW w:w="2880" w:type="dxa"/>
            <w:shd w:val="clear" w:color="auto" w:fill="F4F6F8"/>
            <w:tcMar>
              <w:top w:w="100" w:type="dxa"/>
              <w:left w:w="110" w:type="dxa"/>
              <w:bottom w:w="100" w:type="dxa"/>
              <w:right w:w="110" w:type="dxa"/>
            </w:tcMar>
            <w:vAlign w:val="center"/>
          </w:tcPr>
          <w:p w14:paraId="6ECB4E9A" w14:textId="77777777" w:rsidR="00360219" w:rsidRDefault="003015F4">
            <w:pPr>
              <w:spacing w:after="0" w:line="252" w:lineRule="auto"/>
              <w:jc w:val="center"/>
            </w:pPr>
            <w:r>
              <w:rPr>
                <w:b/>
                <w:color w:val="172033"/>
                <w:sz w:val="18"/>
              </w:rPr>
              <w:t>NormalizationScaleVersion</w:t>
            </w:r>
          </w:p>
        </w:tc>
        <w:tc>
          <w:tcPr>
            <w:tcW w:w="6768" w:type="dxa"/>
            <w:tcMar>
              <w:top w:w="100" w:type="dxa"/>
              <w:left w:w="110" w:type="dxa"/>
              <w:bottom w:w="100" w:type="dxa"/>
              <w:right w:w="110" w:type="dxa"/>
            </w:tcMar>
            <w:vAlign w:val="center"/>
          </w:tcPr>
          <w:p w14:paraId="08936AE7" w14:textId="77777777" w:rsidR="00360219" w:rsidRDefault="003015F4">
            <w:pPr>
              <w:spacing w:after="0" w:line="252" w:lineRule="auto"/>
            </w:pPr>
            <w:r>
              <w:rPr>
                <w:color w:val="172033"/>
                <w:sz w:val="18"/>
              </w:rPr>
              <w:t>Version used to produce the normalized result.</w:t>
            </w:r>
          </w:p>
        </w:tc>
      </w:tr>
      <w:tr w:rsidR="00360219" w14:paraId="1DB7FB9E" w14:textId="77777777">
        <w:trPr>
          <w:cantSplit/>
          <w:jc w:val="center"/>
        </w:trPr>
        <w:tc>
          <w:tcPr>
            <w:tcW w:w="2880" w:type="dxa"/>
            <w:shd w:val="clear" w:color="auto" w:fill="F4F6F8"/>
            <w:tcMar>
              <w:top w:w="100" w:type="dxa"/>
              <w:left w:w="110" w:type="dxa"/>
              <w:bottom w:w="100" w:type="dxa"/>
              <w:right w:w="110" w:type="dxa"/>
            </w:tcMar>
            <w:vAlign w:val="center"/>
          </w:tcPr>
          <w:p w14:paraId="260DF57D" w14:textId="77777777" w:rsidR="00360219" w:rsidRDefault="003015F4">
            <w:pPr>
              <w:spacing w:after="0" w:line="252" w:lineRule="auto"/>
              <w:jc w:val="center"/>
            </w:pPr>
            <w:r>
              <w:rPr>
                <w:b/>
                <w:color w:val="172033"/>
                <w:sz w:val="18"/>
              </w:rPr>
              <w:t>NormalizedPerceptionRef</w:t>
            </w:r>
          </w:p>
        </w:tc>
        <w:tc>
          <w:tcPr>
            <w:tcW w:w="6768" w:type="dxa"/>
            <w:tcMar>
              <w:top w:w="100" w:type="dxa"/>
              <w:left w:w="110" w:type="dxa"/>
              <w:bottom w:w="100" w:type="dxa"/>
              <w:right w:w="110" w:type="dxa"/>
            </w:tcMar>
            <w:vAlign w:val="center"/>
          </w:tcPr>
          <w:p w14:paraId="008F8A44" w14:textId="77777777" w:rsidR="00360219" w:rsidRDefault="003015F4">
            <w:pPr>
              <w:spacing w:after="0" w:line="252" w:lineRule="auto"/>
            </w:pPr>
            <w:r>
              <w:rPr>
                <w:color w:val="172033"/>
                <w:sz w:val="18"/>
              </w:rPr>
              <w:t>Exact target perception identity.</w:t>
            </w:r>
          </w:p>
        </w:tc>
      </w:tr>
      <w:tr w:rsidR="00360219" w14:paraId="20345A19" w14:textId="77777777">
        <w:trPr>
          <w:cantSplit/>
          <w:jc w:val="center"/>
        </w:trPr>
        <w:tc>
          <w:tcPr>
            <w:tcW w:w="2880" w:type="dxa"/>
            <w:shd w:val="clear" w:color="auto" w:fill="F4F6F8"/>
            <w:tcMar>
              <w:top w:w="100" w:type="dxa"/>
              <w:left w:w="110" w:type="dxa"/>
              <w:bottom w:w="100" w:type="dxa"/>
              <w:right w:w="110" w:type="dxa"/>
            </w:tcMar>
            <w:vAlign w:val="center"/>
          </w:tcPr>
          <w:p w14:paraId="363C969F" w14:textId="77777777" w:rsidR="00360219" w:rsidRDefault="003015F4">
            <w:pPr>
              <w:spacing w:after="0" w:line="252" w:lineRule="auto"/>
              <w:jc w:val="center"/>
            </w:pPr>
            <w:r>
              <w:rPr>
                <w:b/>
                <w:color w:val="172033"/>
                <w:sz w:val="18"/>
              </w:rPr>
              <w:t>NormalizedValue</w:t>
            </w:r>
          </w:p>
        </w:tc>
        <w:tc>
          <w:tcPr>
            <w:tcW w:w="6768" w:type="dxa"/>
            <w:tcMar>
              <w:top w:w="100" w:type="dxa"/>
              <w:left w:w="110" w:type="dxa"/>
              <w:bottom w:w="100" w:type="dxa"/>
              <w:right w:w="110" w:type="dxa"/>
            </w:tcMar>
            <w:vAlign w:val="center"/>
          </w:tcPr>
          <w:p w14:paraId="4D6B15E9" w14:textId="77777777" w:rsidR="00360219" w:rsidRDefault="003015F4">
            <w:pPr>
              <w:spacing w:after="0" w:line="252" w:lineRule="auto"/>
            </w:pPr>
            <w:r>
              <w:rPr>
                <w:color w:val="172033"/>
                <w:sz w:val="18"/>
              </w:rPr>
              <w:t>0-100 state.</w:t>
            </w:r>
          </w:p>
        </w:tc>
      </w:tr>
      <w:tr w:rsidR="00360219" w14:paraId="66607833" w14:textId="77777777">
        <w:trPr>
          <w:cantSplit/>
          <w:jc w:val="center"/>
        </w:trPr>
        <w:tc>
          <w:tcPr>
            <w:tcW w:w="2880" w:type="dxa"/>
            <w:shd w:val="clear" w:color="auto" w:fill="F4F6F8"/>
            <w:tcMar>
              <w:top w:w="100" w:type="dxa"/>
              <w:left w:w="110" w:type="dxa"/>
              <w:bottom w:w="100" w:type="dxa"/>
              <w:right w:w="110" w:type="dxa"/>
            </w:tcMar>
            <w:vAlign w:val="center"/>
          </w:tcPr>
          <w:p w14:paraId="13712B61" w14:textId="77777777" w:rsidR="00360219" w:rsidRDefault="003015F4">
            <w:pPr>
              <w:spacing w:after="0" w:line="252" w:lineRule="auto"/>
              <w:jc w:val="center"/>
            </w:pPr>
            <w:r>
              <w:rPr>
                <w:b/>
                <w:color w:val="172033"/>
                <w:sz w:val="18"/>
              </w:rPr>
              <w:t>ResolvedStep</w:t>
            </w:r>
          </w:p>
        </w:tc>
        <w:tc>
          <w:tcPr>
            <w:tcW w:w="6768" w:type="dxa"/>
            <w:tcMar>
              <w:top w:w="100" w:type="dxa"/>
              <w:left w:w="110" w:type="dxa"/>
              <w:bottom w:w="100" w:type="dxa"/>
              <w:right w:w="110" w:type="dxa"/>
            </w:tcMar>
            <w:vAlign w:val="center"/>
          </w:tcPr>
          <w:p w14:paraId="7799E7D9" w14:textId="77777777" w:rsidR="00360219" w:rsidRDefault="003015F4">
            <w:pPr>
              <w:spacing w:after="0" w:line="252" w:lineRule="auto"/>
            </w:pPr>
            <w:r>
              <w:rPr>
                <w:color w:val="172033"/>
                <w:sz w:val="18"/>
              </w:rPr>
              <w:t>Optional GRADED Step identity.</w:t>
            </w:r>
          </w:p>
        </w:tc>
      </w:tr>
      <w:tr w:rsidR="00360219" w14:paraId="587F99E0" w14:textId="77777777">
        <w:trPr>
          <w:cantSplit/>
          <w:jc w:val="center"/>
        </w:trPr>
        <w:tc>
          <w:tcPr>
            <w:tcW w:w="2880" w:type="dxa"/>
            <w:shd w:val="clear" w:color="auto" w:fill="F4F6F8"/>
            <w:tcMar>
              <w:top w:w="100" w:type="dxa"/>
              <w:left w:w="110" w:type="dxa"/>
              <w:bottom w:w="100" w:type="dxa"/>
              <w:right w:w="110" w:type="dxa"/>
            </w:tcMar>
            <w:vAlign w:val="center"/>
          </w:tcPr>
          <w:p w14:paraId="1DF02CD9" w14:textId="77777777" w:rsidR="00360219" w:rsidRDefault="003015F4">
            <w:pPr>
              <w:spacing w:after="0" w:line="252" w:lineRule="auto"/>
              <w:jc w:val="center"/>
            </w:pPr>
            <w:r>
              <w:rPr>
                <w:b/>
                <w:color w:val="172033"/>
                <w:sz w:val="18"/>
              </w:rPr>
              <w:t>GateState</w:t>
            </w:r>
          </w:p>
        </w:tc>
        <w:tc>
          <w:tcPr>
            <w:tcW w:w="6768" w:type="dxa"/>
            <w:tcMar>
              <w:top w:w="100" w:type="dxa"/>
              <w:left w:w="110" w:type="dxa"/>
              <w:bottom w:w="100" w:type="dxa"/>
              <w:right w:w="110" w:type="dxa"/>
            </w:tcMar>
            <w:vAlign w:val="center"/>
          </w:tcPr>
          <w:p w14:paraId="21F53F06" w14:textId="77777777" w:rsidR="00360219" w:rsidRDefault="003015F4">
            <w:pPr>
              <w:spacing w:after="0" w:line="252" w:lineRule="auto"/>
            </w:pPr>
            <w:r>
              <w:rPr>
                <w:color w:val="172033"/>
                <w:sz w:val="18"/>
              </w:rPr>
              <w:t>Optional active Gate identity.</w:t>
            </w:r>
          </w:p>
        </w:tc>
      </w:tr>
      <w:tr w:rsidR="00360219" w14:paraId="4EC819F6" w14:textId="77777777">
        <w:trPr>
          <w:cantSplit/>
          <w:jc w:val="center"/>
        </w:trPr>
        <w:tc>
          <w:tcPr>
            <w:tcW w:w="2880" w:type="dxa"/>
            <w:shd w:val="clear" w:color="auto" w:fill="F4F6F8"/>
            <w:tcMar>
              <w:top w:w="100" w:type="dxa"/>
              <w:left w:w="110" w:type="dxa"/>
              <w:bottom w:w="100" w:type="dxa"/>
              <w:right w:w="110" w:type="dxa"/>
            </w:tcMar>
            <w:vAlign w:val="center"/>
          </w:tcPr>
          <w:p w14:paraId="323F1844" w14:textId="77777777" w:rsidR="00360219" w:rsidRDefault="003015F4">
            <w:pPr>
              <w:spacing w:after="0" w:line="252" w:lineRule="auto"/>
              <w:jc w:val="center"/>
            </w:pPr>
            <w:r>
              <w:rPr>
                <w:b/>
                <w:color w:val="172033"/>
                <w:sz w:val="18"/>
              </w:rPr>
              <w:t>Validity</w:t>
            </w:r>
          </w:p>
        </w:tc>
        <w:tc>
          <w:tcPr>
            <w:tcW w:w="6768" w:type="dxa"/>
            <w:tcMar>
              <w:top w:w="100" w:type="dxa"/>
              <w:left w:w="110" w:type="dxa"/>
              <w:bottom w:w="100" w:type="dxa"/>
              <w:right w:w="110" w:type="dxa"/>
            </w:tcMar>
            <w:vAlign w:val="center"/>
          </w:tcPr>
          <w:p w14:paraId="3992C624" w14:textId="77777777" w:rsidR="00360219" w:rsidRDefault="003015F4">
            <w:pPr>
              <w:spacing w:after="0" w:line="252" w:lineRule="auto"/>
            </w:pPr>
            <w:r>
              <w:rPr>
                <w:color w:val="172033"/>
                <w:sz w:val="18"/>
              </w:rPr>
              <w:t>VALID, MISSING, UNKNOWN, etc.</w:t>
            </w:r>
          </w:p>
        </w:tc>
      </w:tr>
      <w:tr w:rsidR="00360219" w14:paraId="0A7370E5" w14:textId="77777777">
        <w:trPr>
          <w:cantSplit/>
          <w:jc w:val="center"/>
        </w:trPr>
        <w:tc>
          <w:tcPr>
            <w:tcW w:w="2880" w:type="dxa"/>
            <w:shd w:val="clear" w:color="auto" w:fill="F4F6F8"/>
            <w:tcMar>
              <w:top w:w="100" w:type="dxa"/>
              <w:left w:w="110" w:type="dxa"/>
              <w:bottom w:w="100" w:type="dxa"/>
              <w:right w:w="110" w:type="dxa"/>
            </w:tcMar>
            <w:vAlign w:val="center"/>
          </w:tcPr>
          <w:p w14:paraId="6D98C5C3" w14:textId="77777777" w:rsidR="00360219" w:rsidRDefault="003015F4">
            <w:pPr>
              <w:spacing w:after="0" w:line="252" w:lineRule="auto"/>
              <w:jc w:val="center"/>
            </w:pPr>
            <w:r>
              <w:rPr>
                <w:b/>
                <w:color w:val="172033"/>
                <w:sz w:val="18"/>
              </w:rPr>
              <w:t>Saturation / Overflow</w:t>
            </w:r>
          </w:p>
        </w:tc>
        <w:tc>
          <w:tcPr>
            <w:tcW w:w="6768" w:type="dxa"/>
            <w:tcMar>
              <w:top w:w="100" w:type="dxa"/>
              <w:left w:w="110" w:type="dxa"/>
              <w:bottom w:w="100" w:type="dxa"/>
              <w:right w:w="110" w:type="dxa"/>
            </w:tcMar>
            <w:vAlign w:val="center"/>
          </w:tcPr>
          <w:p w14:paraId="18E7AA0D" w14:textId="77777777" w:rsidR="00360219" w:rsidRDefault="003015F4">
            <w:pPr>
              <w:spacing w:after="0" w:line="252" w:lineRule="auto"/>
            </w:pPr>
            <w:r>
              <w:rPr>
                <w:color w:val="172033"/>
                <w:sz w:val="18"/>
              </w:rPr>
              <w:t>Explicit boundary state where relevant.</w:t>
            </w:r>
          </w:p>
        </w:tc>
      </w:tr>
      <w:tr w:rsidR="00360219" w14:paraId="7873741D" w14:textId="77777777">
        <w:trPr>
          <w:cantSplit/>
          <w:jc w:val="center"/>
        </w:trPr>
        <w:tc>
          <w:tcPr>
            <w:tcW w:w="2880" w:type="dxa"/>
            <w:shd w:val="clear" w:color="auto" w:fill="F4F6F8"/>
            <w:tcMar>
              <w:top w:w="100" w:type="dxa"/>
              <w:left w:w="110" w:type="dxa"/>
              <w:bottom w:w="100" w:type="dxa"/>
              <w:right w:w="110" w:type="dxa"/>
            </w:tcMar>
            <w:vAlign w:val="center"/>
          </w:tcPr>
          <w:p w14:paraId="09BEAF33" w14:textId="77777777" w:rsidR="00360219" w:rsidRDefault="003015F4">
            <w:pPr>
              <w:spacing w:after="0" w:line="252" w:lineRule="auto"/>
              <w:jc w:val="center"/>
            </w:pPr>
            <w:r>
              <w:rPr>
                <w:b/>
                <w:color w:val="172033"/>
                <w:sz w:val="18"/>
              </w:rPr>
              <w:t>DeclaredPrecision</w:t>
            </w:r>
          </w:p>
        </w:tc>
        <w:tc>
          <w:tcPr>
            <w:tcW w:w="6768" w:type="dxa"/>
            <w:tcMar>
              <w:top w:w="100" w:type="dxa"/>
              <w:left w:w="110" w:type="dxa"/>
              <w:bottom w:w="100" w:type="dxa"/>
              <w:right w:w="110" w:type="dxa"/>
            </w:tcMar>
            <w:vAlign w:val="center"/>
          </w:tcPr>
          <w:p w14:paraId="7353FF3B" w14:textId="77777777" w:rsidR="00360219" w:rsidRDefault="003015F4">
            <w:pPr>
              <w:spacing w:after="0" w:line="252" w:lineRule="auto"/>
            </w:pPr>
            <w:r>
              <w:rPr>
                <w:color w:val="172033"/>
                <w:sz w:val="18"/>
              </w:rPr>
              <w:t>Effective precision of the normalized result.</w:t>
            </w:r>
          </w:p>
        </w:tc>
      </w:tr>
      <w:tr w:rsidR="00360219" w14:paraId="01AA9705" w14:textId="77777777">
        <w:trPr>
          <w:cantSplit/>
          <w:jc w:val="center"/>
        </w:trPr>
        <w:tc>
          <w:tcPr>
            <w:tcW w:w="2880" w:type="dxa"/>
            <w:shd w:val="clear" w:color="auto" w:fill="F4F6F8"/>
            <w:tcMar>
              <w:top w:w="100" w:type="dxa"/>
              <w:left w:w="110" w:type="dxa"/>
              <w:bottom w:w="100" w:type="dxa"/>
              <w:right w:w="110" w:type="dxa"/>
            </w:tcMar>
            <w:vAlign w:val="center"/>
          </w:tcPr>
          <w:p w14:paraId="003A7C24" w14:textId="77777777" w:rsidR="00360219" w:rsidRDefault="003015F4">
            <w:pPr>
              <w:spacing w:after="0" w:line="252" w:lineRule="auto"/>
              <w:jc w:val="center"/>
            </w:pPr>
            <w:r>
              <w:rPr>
                <w:b/>
                <w:color w:val="172033"/>
                <w:sz w:val="18"/>
              </w:rPr>
              <w:t>Error / Confidence</w:t>
            </w:r>
          </w:p>
        </w:tc>
        <w:tc>
          <w:tcPr>
            <w:tcW w:w="6768" w:type="dxa"/>
            <w:tcMar>
              <w:top w:w="100" w:type="dxa"/>
              <w:left w:w="110" w:type="dxa"/>
              <w:bottom w:w="100" w:type="dxa"/>
              <w:right w:w="110" w:type="dxa"/>
            </w:tcMar>
            <w:vAlign w:val="center"/>
          </w:tcPr>
          <w:p w14:paraId="5EB93171" w14:textId="77777777" w:rsidR="00360219" w:rsidRDefault="003015F4">
            <w:pPr>
              <w:spacing w:after="0" w:line="252" w:lineRule="auto"/>
            </w:pPr>
            <w:r>
              <w:rPr>
                <w:color w:val="172033"/>
                <w:sz w:val="18"/>
              </w:rPr>
              <w:t>Measurement or Model uncertainty where available.</w:t>
            </w:r>
          </w:p>
        </w:tc>
      </w:tr>
      <w:tr w:rsidR="00360219" w14:paraId="44D07E19" w14:textId="77777777">
        <w:trPr>
          <w:cantSplit/>
          <w:jc w:val="center"/>
        </w:trPr>
        <w:tc>
          <w:tcPr>
            <w:tcW w:w="2880" w:type="dxa"/>
            <w:shd w:val="clear" w:color="auto" w:fill="F4F6F8"/>
            <w:tcMar>
              <w:top w:w="100" w:type="dxa"/>
              <w:left w:w="110" w:type="dxa"/>
              <w:bottom w:w="100" w:type="dxa"/>
              <w:right w:w="110" w:type="dxa"/>
            </w:tcMar>
            <w:vAlign w:val="center"/>
          </w:tcPr>
          <w:p w14:paraId="087049F3" w14:textId="77777777" w:rsidR="00360219" w:rsidRDefault="003015F4">
            <w:pPr>
              <w:spacing w:after="0" w:line="252" w:lineRule="auto"/>
              <w:jc w:val="center"/>
            </w:pPr>
            <w:r>
              <w:rPr>
                <w:b/>
                <w:color w:val="172033"/>
                <w:sz w:val="18"/>
              </w:rPr>
              <w:t>Timestamp</w:t>
            </w:r>
          </w:p>
        </w:tc>
        <w:tc>
          <w:tcPr>
            <w:tcW w:w="6768" w:type="dxa"/>
            <w:tcMar>
              <w:top w:w="100" w:type="dxa"/>
              <w:left w:w="110" w:type="dxa"/>
              <w:bottom w:w="100" w:type="dxa"/>
              <w:right w:w="110" w:type="dxa"/>
            </w:tcMar>
            <w:vAlign w:val="center"/>
          </w:tcPr>
          <w:p w14:paraId="56D1AC6C" w14:textId="77777777" w:rsidR="00360219" w:rsidRDefault="003015F4">
            <w:pPr>
              <w:spacing w:after="0" w:line="252" w:lineRule="auto"/>
            </w:pPr>
            <w:r>
              <w:rPr>
                <w:color w:val="172033"/>
                <w:sz w:val="18"/>
              </w:rPr>
              <w:t>Time associated with the state.</w:t>
            </w:r>
          </w:p>
        </w:tc>
      </w:tr>
      <w:tr w:rsidR="00360219" w14:paraId="7C629860" w14:textId="77777777">
        <w:trPr>
          <w:cantSplit/>
          <w:jc w:val="center"/>
        </w:trPr>
        <w:tc>
          <w:tcPr>
            <w:tcW w:w="2880" w:type="dxa"/>
            <w:shd w:val="clear" w:color="auto" w:fill="F4F6F8"/>
            <w:tcMar>
              <w:top w:w="100" w:type="dxa"/>
              <w:left w:w="110" w:type="dxa"/>
              <w:bottom w:w="100" w:type="dxa"/>
              <w:right w:w="110" w:type="dxa"/>
            </w:tcMar>
            <w:vAlign w:val="center"/>
          </w:tcPr>
          <w:p w14:paraId="0D824B98" w14:textId="77777777" w:rsidR="00360219" w:rsidRDefault="003015F4">
            <w:pPr>
              <w:spacing w:after="0" w:line="252" w:lineRule="auto"/>
              <w:jc w:val="center"/>
            </w:pPr>
            <w:r>
              <w:rPr>
                <w:b/>
                <w:color w:val="172033"/>
                <w:sz w:val="18"/>
              </w:rPr>
              <w:t>Provenance</w:t>
            </w:r>
          </w:p>
        </w:tc>
        <w:tc>
          <w:tcPr>
            <w:tcW w:w="6768" w:type="dxa"/>
            <w:tcMar>
              <w:top w:w="100" w:type="dxa"/>
              <w:left w:w="110" w:type="dxa"/>
              <w:bottom w:w="100" w:type="dxa"/>
              <w:right w:w="110" w:type="dxa"/>
            </w:tcMar>
            <w:vAlign w:val="center"/>
          </w:tcPr>
          <w:p w14:paraId="5A9AB6C5" w14:textId="77777777" w:rsidR="00360219" w:rsidRDefault="003015F4">
            <w:pPr>
              <w:spacing w:after="0" w:line="252" w:lineRule="auto"/>
            </w:pPr>
            <w:r>
              <w:rPr>
                <w:color w:val="172033"/>
                <w:sz w:val="18"/>
              </w:rPr>
              <w:t>Source, Scale, Formula, calibration, and relevant versions.</w:t>
            </w:r>
          </w:p>
        </w:tc>
      </w:tr>
    </w:tbl>
    <w:p w14:paraId="6D7CA1E5" w14:textId="77777777" w:rsidR="00360219" w:rsidRDefault="00360219">
      <w:pPr>
        <w:spacing w:after="40"/>
      </w:pPr>
    </w:p>
    <w:p w14:paraId="615BB42B" w14:textId="77777777" w:rsidR="00360219" w:rsidRDefault="003015F4">
      <w:pPr>
        <w:pStyle w:val="Heading1"/>
        <w:spacing w:before="200" w:after="100" w:line="240" w:lineRule="auto"/>
      </w:pPr>
      <w:r>
        <w:rPr>
          <w:rFonts w:ascii="Arial" w:hAnsi="Arial"/>
        </w:rPr>
        <w:t>42. Canonical Runtime Route</w:t>
      </w:r>
    </w:p>
    <w:tbl>
      <w:tblPr>
        <w:tblW w:w="0" w:type="auto"/>
        <w:jc w:val="center"/>
        <w:tblLayout w:type="fixed"/>
        <w:tblLook w:val="04A0" w:firstRow="1" w:lastRow="0" w:firstColumn="1" w:lastColumn="0" w:noHBand="0" w:noVBand="1"/>
      </w:tblPr>
      <w:tblGrid>
        <w:gridCol w:w="9720"/>
      </w:tblGrid>
      <w:tr w:rsidR="00360219" w14:paraId="3B66EE7F" w14:textId="77777777">
        <w:trPr>
          <w:cantSplit/>
          <w:jc w:val="center"/>
        </w:trPr>
        <w:tc>
          <w:tcPr>
            <w:tcW w:w="9720" w:type="dxa"/>
            <w:tcBorders>
              <w:top w:val="single" w:sz="16" w:space="0" w:color="1E5AA8"/>
              <w:left w:val="single" w:sz="16" w:space="0" w:color="1E5AA8"/>
              <w:bottom w:val="single" w:sz="16" w:space="0" w:color="1E5AA8"/>
              <w:right w:val="single" w:sz="16" w:space="0" w:color="1E5AA8"/>
            </w:tcBorders>
            <w:shd w:val="clear" w:color="auto" w:fill="EAF1FA"/>
            <w:tcMar>
              <w:top w:w="150" w:type="dxa"/>
              <w:left w:w="170" w:type="dxa"/>
              <w:bottom w:w="150" w:type="dxa"/>
              <w:right w:w="170" w:type="dxa"/>
            </w:tcMar>
          </w:tcPr>
          <w:p w14:paraId="161BB7B5" w14:textId="77777777" w:rsidR="00360219" w:rsidRDefault="003015F4">
            <w:pPr>
              <w:spacing w:after="80" w:line="240" w:lineRule="auto"/>
            </w:pPr>
            <w:r>
              <w:rPr>
                <w:b/>
                <w:color w:val="1E5AA8"/>
                <w:sz w:val="19"/>
              </w:rPr>
              <w:t>FORWARD ROUTE</w:t>
            </w:r>
          </w:p>
          <w:p w14:paraId="40634550" w14:textId="77777777" w:rsidR="00360219" w:rsidRDefault="003015F4">
            <w:pPr>
              <w:spacing w:after="0"/>
            </w:pPr>
            <w:r>
              <w:rPr>
                <w:b/>
                <w:color w:val="172033"/>
                <w:sz w:val="21"/>
              </w:rPr>
              <w:t>Physical / simulated / measured state -&gt; detector -&gt; raw measurement -&gt; NormalizationContractRef -&gt; Normalization Table -&gt; registered Scale -&gt; formula + bounds + Step/state logic -&gt; 0-100 -&gt; Normalized Perception Record -&gt; Transform Matrix -&gt; target perception(s) -&gt; Model and/or Mask -&gt; MRMM -&gt; expression endpoint -&gt; perceptual experience.</w:t>
            </w:r>
          </w:p>
        </w:tc>
      </w:tr>
    </w:tbl>
    <w:p w14:paraId="76D84F35" w14:textId="77777777" w:rsidR="00360219" w:rsidRDefault="00360219">
      <w:pPr>
        <w:spacing w:after="40"/>
      </w:pPr>
    </w:p>
    <w:p w14:paraId="6363929F" w14:textId="77777777" w:rsidR="00360219" w:rsidRDefault="003015F4">
      <w:pPr>
        <w:pStyle w:val="BodyText"/>
      </w:pPr>
      <w:r>
        <w:rPr>
          <w:color w:val="172033"/>
        </w:rPr>
        <w:t>The architectural value of this route is that each stage can evolve independently. Sensor technology can change without rewriting Transform edges. Normalization Scales can be versioned without redefining the Perception identity. New perceptual renderers can be added without changing the raw source. This mirrors MEE runtime pluralism and PPL renderer independence [1][2].</w:t>
      </w:r>
    </w:p>
    <w:p w14:paraId="7DFCCD07" w14:textId="77777777" w:rsidR="00360219" w:rsidRDefault="003015F4">
      <w:pPr>
        <w:pStyle w:val="Heading1"/>
        <w:spacing w:before="200" w:after="100" w:line="240" w:lineRule="auto"/>
      </w:pPr>
      <w:r>
        <w:rPr>
          <w:rFonts w:ascii="Arial" w:hAnsi="Arial"/>
        </w:rPr>
        <w:t>43. Source Traceback</w:t>
      </w:r>
    </w:p>
    <w:tbl>
      <w:tblPr>
        <w:tblW w:w="0" w:type="auto"/>
        <w:jc w:val="center"/>
        <w:tblLayout w:type="fixed"/>
        <w:tblLook w:val="04A0" w:firstRow="1" w:lastRow="0" w:firstColumn="1" w:lastColumn="0" w:noHBand="0" w:noVBand="1"/>
      </w:tblPr>
      <w:tblGrid>
        <w:gridCol w:w="9720"/>
      </w:tblGrid>
      <w:tr w:rsidR="00360219" w14:paraId="76BCBB99" w14:textId="77777777">
        <w:trPr>
          <w:cantSplit/>
          <w:jc w:val="center"/>
        </w:trPr>
        <w:tc>
          <w:tcPr>
            <w:tcW w:w="9720" w:type="dxa"/>
            <w:tcBorders>
              <w:top w:val="single" w:sz="16" w:space="0" w:color="2B7A5E"/>
              <w:left w:val="single" w:sz="16" w:space="0" w:color="2B7A5E"/>
              <w:bottom w:val="single" w:sz="16" w:space="0" w:color="2B7A5E"/>
              <w:right w:val="single" w:sz="16" w:space="0" w:color="2B7A5E"/>
            </w:tcBorders>
            <w:shd w:val="clear" w:color="auto" w:fill="EAF5F0"/>
            <w:tcMar>
              <w:top w:w="150" w:type="dxa"/>
              <w:left w:w="170" w:type="dxa"/>
              <w:bottom w:w="150" w:type="dxa"/>
              <w:right w:w="170" w:type="dxa"/>
            </w:tcMar>
          </w:tcPr>
          <w:p w14:paraId="66527BA1" w14:textId="77777777" w:rsidR="00360219" w:rsidRDefault="003015F4">
            <w:pPr>
              <w:spacing w:after="80" w:line="240" w:lineRule="auto"/>
            </w:pPr>
            <w:r>
              <w:rPr>
                <w:b/>
                <w:color w:val="2B7A5E"/>
                <w:sz w:val="19"/>
              </w:rPr>
              <w:t>REVERSE EXPLANATION ROUTE</w:t>
            </w:r>
          </w:p>
          <w:p w14:paraId="055DB385" w14:textId="77777777" w:rsidR="00360219" w:rsidRDefault="003015F4">
            <w:pPr>
              <w:spacing w:after="0"/>
            </w:pPr>
            <w:r>
              <w:rPr>
                <w:b/>
                <w:color w:val="172033"/>
                <w:sz w:val="21"/>
              </w:rPr>
              <w:t>Perceptual output -&gt; Projection Contract -&gt; target Normalized Perception -&gt; Transform -&gt; source Normalized Perception -&gt; Normalization Scale -&gt; Formula + bounds -&gt; raw measurement -&gt; detector / source.</w:t>
            </w:r>
          </w:p>
        </w:tc>
      </w:tr>
    </w:tbl>
    <w:p w14:paraId="4175C4F5" w14:textId="77777777" w:rsidR="00360219" w:rsidRDefault="00360219">
      <w:pPr>
        <w:spacing w:after="40"/>
      </w:pPr>
    </w:p>
    <w:p w14:paraId="5E11C5E4" w14:textId="77777777" w:rsidR="00360219" w:rsidRDefault="003015F4">
      <w:pPr>
        <w:pStyle w:val="BodyText"/>
      </w:pPr>
      <w:r>
        <w:rPr>
          <w:color w:val="172033"/>
        </w:rPr>
        <w:t>A user or AI should be able to ask why a color, tone, haptic pattern, or other perceptual output appeared and recover the full semantic path. PPL/MRMM treats this explainability as a central requirement, and MEE preserves provenance through source, phenomenon, Expression Event, Projection Contract, renderer, and captured artifact [1][2].</w:t>
      </w:r>
    </w:p>
    <w:p w14:paraId="6AE1A254" w14:textId="77777777" w:rsidR="00360219" w:rsidRDefault="003015F4">
      <w:pPr>
        <w:pStyle w:val="Heading1"/>
        <w:spacing w:before="200" w:after="100" w:line="240" w:lineRule="auto"/>
      </w:pPr>
      <w:r>
        <w:rPr>
          <w:rFonts w:ascii="Arial" w:hAnsi="Arial"/>
        </w:rPr>
        <w:t>44. Conformance Test Architecture</w:t>
      </w:r>
    </w:p>
    <w:tbl>
      <w:tblPr>
        <w:tblStyle w:val="TableGrid"/>
        <w:tblW w:w="0" w:type="auto"/>
        <w:jc w:val="center"/>
        <w:tblLayout w:type="fixed"/>
        <w:tblLook w:val="04A0" w:firstRow="1" w:lastRow="0" w:firstColumn="1" w:lastColumn="0" w:noHBand="0" w:noVBand="1"/>
      </w:tblPr>
      <w:tblGrid>
        <w:gridCol w:w="2088"/>
        <w:gridCol w:w="1800"/>
        <w:gridCol w:w="5760"/>
      </w:tblGrid>
      <w:tr w:rsidR="00360219" w14:paraId="070EC36E" w14:textId="77777777">
        <w:trPr>
          <w:tblHeader/>
          <w:jc w:val="center"/>
        </w:trPr>
        <w:tc>
          <w:tcPr>
            <w:tcW w:w="2088" w:type="dxa"/>
            <w:shd w:val="clear" w:color="auto" w:fill="172033"/>
            <w:tcMar>
              <w:top w:w="100" w:type="dxa"/>
              <w:left w:w="110" w:type="dxa"/>
              <w:bottom w:w="100" w:type="dxa"/>
              <w:right w:w="110" w:type="dxa"/>
            </w:tcMar>
            <w:vAlign w:val="center"/>
          </w:tcPr>
          <w:p w14:paraId="6D1D5CEF" w14:textId="77777777" w:rsidR="00360219" w:rsidRDefault="003015F4">
            <w:pPr>
              <w:jc w:val="center"/>
            </w:pPr>
            <w:r>
              <w:rPr>
                <w:b/>
                <w:color w:val="FFFFFF"/>
                <w:sz w:val="18"/>
              </w:rPr>
              <w:t>Test family</w:t>
            </w:r>
          </w:p>
        </w:tc>
        <w:tc>
          <w:tcPr>
            <w:tcW w:w="1800" w:type="dxa"/>
            <w:shd w:val="clear" w:color="auto" w:fill="172033"/>
            <w:tcMar>
              <w:top w:w="100" w:type="dxa"/>
              <w:left w:w="110" w:type="dxa"/>
              <w:bottom w:w="100" w:type="dxa"/>
              <w:right w:w="110" w:type="dxa"/>
            </w:tcMar>
            <w:vAlign w:val="center"/>
          </w:tcPr>
          <w:p w14:paraId="1A8336BC" w14:textId="77777777" w:rsidR="00360219" w:rsidRDefault="003015F4">
            <w:pPr>
              <w:jc w:val="center"/>
            </w:pPr>
            <w:r>
              <w:rPr>
                <w:b/>
                <w:color w:val="FFFFFF"/>
                <w:sz w:val="18"/>
              </w:rPr>
              <w:t>Coverage</w:t>
            </w:r>
          </w:p>
        </w:tc>
        <w:tc>
          <w:tcPr>
            <w:tcW w:w="5760" w:type="dxa"/>
            <w:shd w:val="clear" w:color="auto" w:fill="172033"/>
            <w:tcMar>
              <w:top w:w="100" w:type="dxa"/>
              <w:left w:w="110" w:type="dxa"/>
              <w:bottom w:w="100" w:type="dxa"/>
              <w:right w:w="110" w:type="dxa"/>
            </w:tcMar>
            <w:vAlign w:val="center"/>
          </w:tcPr>
          <w:p w14:paraId="36D79227" w14:textId="77777777" w:rsidR="00360219" w:rsidRDefault="003015F4">
            <w:pPr>
              <w:jc w:val="center"/>
            </w:pPr>
            <w:r>
              <w:rPr>
                <w:b/>
                <w:color w:val="FFFFFF"/>
                <w:sz w:val="18"/>
              </w:rPr>
              <w:t>Conformance objective</w:t>
            </w:r>
          </w:p>
        </w:tc>
      </w:tr>
      <w:tr w:rsidR="00360219" w14:paraId="1273E3DD" w14:textId="77777777">
        <w:trPr>
          <w:cantSplit/>
          <w:jc w:val="center"/>
        </w:trPr>
        <w:tc>
          <w:tcPr>
            <w:tcW w:w="2088" w:type="dxa"/>
            <w:tcMar>
              <w:top w:w="100" w:type="dxa"/>
              <w:left w:w="110" w:type="dxa"/>
              <w:bottom w:w="100" w:type="dxa"/>
              <w:right w:w="110" w:type="dxa"/>
            </w:tcMar>
            <w:vAlign w:val="center"/>
          </w:tcPr>
          <w:p w14:paraId="5C6BFD98" w14:textId="77777777" w:rsidR="00360219" w:rsidRDefault="003015F4">
            <w:pPr>
              <w:spacing w:after="0" w:line="252" w:lineRule="auto"/>
              <w:jc w:val="center"/>
            </w:pPr>
            <w:r>
              <w:rPr>
                <w:b/>
                <w:color w:val="172033"/>
                <w:sz w:val="17"/>
              </w:rPr>
              <w:t>Traceability and reconstruction</w:t>
            </w:r>
          </w:p>
        </w:tc>
        <w:tc>
          <w:tcPr>
            <w:tcW w:w="1800" w:type="dxa"/>
            <w:tcMar>
              <w:top w:w="100" w:type="dxa"/>
              <w:left w:w="110" w:type="dxa"/>
              <w:bottom w:w="100" w:type="dxa"/>
              <w:right w:w="110" w:type="dxa"/>
            </w:tcMar>
            <w:vAlign w:val="center"/>
          </w:tcPr>
          <w:p w14:paraId="35EC979F" w14:textId="77777777" w:rsidR="00360219" w:rsidRDefault="003015F4">
            <w:pPr>
              <w:spacing w:after="0" w:line="252" w:lineRule="auto"/>
            </w:pPr>
            <w:r>
              <w:rPr>
                <w:color w:val="172033"/>
                <w:sz w:val="17"/>
              </w:rPr>
              <w:t>NPG-C01–C03, C19</w:t>
            </w:r>
          </w:p>
        </w:tc>
        <w:tc>
          <w:tcPr>
            <w:tcW w:w="5760" w:type="dxa"/>
            <w:tcMar>
              <w:top w:w="100" w:type="dxa"/>
              <w:left w:w="110" w:type="dxa"/>
              <w:bottom w:w="100" w:type="dxa"/>
              <w:right w:w="110" w:type="dxa"/>
            </w:tcMar>
            <w:vAlign w:val="center"/>
          </w:tcPr>
          <w:p w14:paraId="50817BB6" w14:textId="77777777" w:rsidR="00360219" w:rsidRDefault="003015F4">
            <w:pPr>
              <w:spacing w:after="0" w:line="252" w:lineRule="auto"/>
            </w:pPr>
            <w:r>
              <w:rPr>
                <w:color w:val="172033"/>
                <w:sz w:val="17"/>
              </w:rPr>
              <w:t>Recover source value/unit, exact Scale/version, Formula lineage, and full output-to-source explanation path.</w:t>
            </w:r>
          </w:p>
        </w:tc>
      </w:tr>
      <w:tr w:rsidR="00360219" w14:paraId="538FA6AB" w14:textId="77777777">
        <w:trPr>
          <w:cantSplit/>
          <w:jc w:val="center"/>
        </w:trPr>
        <w:tc>
          <w:tcPr>
            <w:tcW w:w="2088" w:type="dxa"/>
            <w:tcMar>
              <w:top w:w="100" w:type="dxa"/>
              <w:left w:w="110" w:type="dxa"/>
              <w:bottom w:w="100" w:type="dxa"/>
              <w:right w:w="110" w:type="dxa"/>
            </w:tcMar>
            <w:vAlign w:val="center"/>
          </w:tcPr>
          <w:p w14:paraId="02F95A99" w14:textId="77777777" w:rsidR="00360219" w:rsidRDefault="003015F4">
            <w:pPr>
              <w:spacing w:after="0" w:line="252" w:lineRule="auto"/>
              <w:jc w:val="center"/>
            </w:pPr>
            <w:r>
              <w:rPr>
                <w:b/>
                <w:color w:val="172033"/>
                <w:sz w:val="17"/>
              </w:rPr>
              <w:t>Scale semantics</w:t>
            </w:r>
          </w:p>
        </w:tc>
        <w:tc>
          <w:tcPr>
            <w:tcW w:w="1800" w:type="dxa"/>
            <w:tcMar>
              <w:top w:w="100" w:type="dxa"/>
              <w:left w:w="110" w:type="dxa"/>
              <w:bottom w:w="100" w:type="dxa"/>
              <w:right w:w="110" w:type="dxa"/>
            </w:tcMar>
            <w:vAlign w:val="center"/>
          </w:tcPr>
          <w:p w14:paraId="331553BC" w14:textId="77777777" w:rsidR="00360219" w:rsidRDefault="003015F4">
            <w:pPr>
              <w:spacing w:after="0" w:line="252" w:lineRule="auto"/>
            </w:pPr>
            <w:r>
              <w:rPr>
                <w:color w:val="172033"/>
                <w:sz w:val="17"/>
              </w:rPr>
              <w:t>NPG-C04–C13</w:t>
            </w:r>
          </w:p>
        </w:tc>
        <w:tc>
          <w:tcPr>
            <w:tcW w:w="5760" w:type="dxa"/>
            <w:tcMar>
              <w:top w:w="100" w:type="dxa"/>
              <w:left w:w="110" w:type="dxa"/>
              <w:bottom w:w="100" w:type="dxa"/>
              <w:right w:w="110" w:type="dxa"/>
            </w:tcMar>
            <w:vAlign w:val="center"/>
          </w:tcPr>
          <w:p w14:paraId="543A16F5" w14:textId="77777777" w:rsidR="00360219" w:rsidRDefault="003015F4">
            <w:pPr>
              <w:spacing w:after="0" w:line="252" w:lineRule="auto"/>
            </w:pPr>
            <w:r>
              <w:rPr>
                <w:color w:val="172033"/>
                <w:sz w:val="17"/>
              </w:rPr>
              <w:t>Verify multi-Scale Quantity use, shared Perception identity, GRADED/GRADIENT behavior, color mode, hysteresis, gates, null separation, overflow, and precision.</w:t>
            </w:r>
          </w:p>
        </w:tc>
      </w:tr>
      <w:tr w:rsidR="00360219" w14:paraId="5DCC5C61" w14:textId="77777777">
        <w:trPr>
          <w:cantSplit/>
          <w:jc w:val="center"/>
        </w:trPr>
        <w:tc>
          <w:tcPr>
            <w:tcW w:w="2088" w:type="dxa"/>
            <w:tcMar>
              <w:top w:w="100" w:type="dxa"/>
              <w:left w:w="110" w:type="dxa"/>
              <w:bottom w:w="100" w:type="dxa"/>
              <w:right w:w="110" w:type="dxa"/>
            </w:tcMar>
            <w:vAlign w:val="center"/>
          </w:tcPr>
          <w:p w14:paraId="48F9DD04" w14:textId="77777777" w:rsidR="00360219" w:rsidRDefault="003015F4">
            <w:pPr>
              <w:spacing w:after="0" w:line="252" w:lineRule="auto"/>
              <w:jc w:val="center"/>
            </w:pPr>
            <w:r>
              <w:rPr>
                <w:b/>
                <w:color w:val="172033"/>
                <w:sz w:val="17"/>
              </w:rPr>
              <w:t>Transform semantics</w:t>
            </w:r>
          </w:p>
        </w:tc>
        <w:tc>
          <w:tcPr>
            <w:tcW w:w="1800" w:type="dxa"/>
            <w:tcMar>
              <w:top w:w="100" w:type="dxa"/>
              <w:left w:w="110" w:type="dxa"/>
              <w:bottom w:w="100" w:type="dxa"/>
              <w:right w:w="110" w:type="dxa"/>
            </w:tcMar>
            <w:vAlign w:val="center"/>
          </w:tcPr>
          <w:p w14:paraId="34A0B5B3" w14:textId="77777777" w:rsidR="00360219" w:rsidRDefault="003015F4">
            <w:pPr>
              <w:spacing w:after="0" w:line="252" w:lineRule="auto"/>
            </w:pPr>
            <w:r>
              <w:rPr>
                <w:color w:val="172033"/>
                <w:sz w:val="17"/>
              </w:rPr>
              <w:t>NPG-C14–C15</w:t>
            </w:r>
          </w:p>
        </w:tc>
        <w:tc>
          <w:tcPr>
            <w:tcW w:w="5760" w:type="dxa"/>
            <w:tcMar>
              <w:top w:w="100" w:type="dxa"/>
              <w:left w:w="110" w:type="dxa"/>
              <w:bottom w:w="100" w:type="dxa"/>
              <w:right w:w="110" w:type="dxa"/>
            </w:tcMar>
            <w:vAlign w:val="center"/>
          </w:tcPr>
          <w:p w14:paraId="1467664D" w14:textId="77777777" w:rsidR="00360219" w:rsidRDefault="003015F4">
            <w:pPr>
              <w:spacing w:after="0" w:line="252" w:lineRule="auto"/>
            </w:pPr>
            <w:r>
              <w:rPr>
                <w:color w:val="172033"/>
                <w:sz w:val="17"/>
              </w:rPr>
              <w:t>Resolve only declared Transform edges and reject correspondence inferred from numeric similarity alone.</w:t>
            </w:r>
          </w:p>
        </w:tc>
      </w:tr>
      <w:tr w:rsidR="00360219" w14:paraId="30574DFB" w14:textId="77777777">
        <w:trPr>
          <w:cantSplit/>
          <w:jc w:val="center"/>
        </w:trPr>
        <w:tc>
          <w:tcPr>
            <w:tcW w:w="2088" w:type="dxa"/>
            <w:tcMar>
              <w:top w:w="100" w:type="dxa"/>
              <w:left w:w="110" w:type="dxa"/>
              <w:bottom w:w="100" w:type="dxa"/>
              <w:right w:w="110" w:type="dxa"/>
            </w:tcMar>
            <w:vAlign w:val="center"/>
          </w:tcPr>
          <w:p w14:paraId="0400EF3A" w14:textId="77777777" w:rsidR="00360219" w:rsidRDefault="003015F4">
            <w:pPr>
              <w:spacing w:after="0" w:line="252" w:lineRule="auto"/>
              <w:jc w:val="center"/>
            </w:pPr>
            <w:r>
              <w:rPr>
                <w:b/>
                <w:color w:val="172033"/>
                <w:sz w:val="17"/>
              </w:rPr>
              <w:t>Human variability</w:t>
            </w:r>
          </w:p>
        </w:tc>
        <w:tc>
          <w:tcPr>
            <w:tcW w:w="1800" w:type="dxa"/>
            <w:tcMar>
              <w:top w:w="100" w:type="dxa"/>
              <w:left w:w="110" w:type="dxa"/>
              <w:bottom w:w="100" w:type="dxa"/>
              <w:right w:w="110" w:type="dxa"/>
            </w:tcMar>
            <w:vAlign w:val="center"/>
          </w:tcPr>
          <w:p w14:paraId="32E62C75" w14:textId="77777777" w:rsidR="00360219" w:rsidRDefault="003015F4">
            <w:pPr>
              <w:spacing w:after="0" w:line="252" w:lineRule="auto"/>
            </w:pPr>
            <w:r>
              <w:rPr>
                <w:color w:val="172033"/>
                <w:sz w:val="17"/>
              </w:rPr>
              <w:t>NPG-C16–C17</w:t>
            </w:r>
          </w:p>
        </w:tc>
        <w:tc>
          <w:tcPr>
            <w:tcW w:w="5760" w:type="dxa"/>
            <w:tcMar>
              <w:top w:w="100" w:type="dxa"/>
              <w:left w:w="110" w:type="dxa"/>
              <w:bottom w:w="100" w:type="dxa"/>
              <w:right w:w="110" w:type="dxa"/>
            </w:tcMar>
            <w:vAlign w:val="center"/>
          </w:tcPr>
          <w:p w14:paraId="43445AAC" w14:textId="77777777" w:rsidR="00360219" w:rsidRDefault="003015F4">
            <w:pPr>
              <w:spacing w:after="0" w:line="252" w:lineRule="auto"/>
            </w:pPr>
            <w:r>
              <w:rPr>
                <w:color w:val="172033"/>
                <w:sz w:val="17"/>
              </w:rPr>
              <w:t>Allow observer-local Masks while preserving the same underlying quantitative state.</w:t>
            </w:r>
          </w:p>
        </w:tc>
      </w:tr>
      <w:tr w:rsidR="00360219" w14:paraId="752D1E0E" w14:textId="77777777">
        <w:trPr>
          <w:cantSplit/>
          <w:jc w:val="center"/>
        </w:trPr>
        <w:tc>
          <w:tcPr>
            <w:tcW w:w="2088" w:type="dxa"/>
            <w:tcMar>
              <w:top w:w="100" w:type="dxa"/>
              <w:left w:w="110" w:type="dxa"/>
              <w:bottom w:w="100" w:type="dxa"/>
              <w:right w:w="110" w:type="dxa"/>
            </w:tcMar>
            <w:vAlign w:val="center"/>
          </w:tcPr>
          <w:p w14:paraId="20575354" w14:textId="77777777" w:rsidR="00360219" w:rsidRDefault="003015F4">
            <w:pPr>
              <w:spacing w:after="0" w:line="252" w:lineRule="auto"/>
              <w:jc w:val="center"/>
            </w:pPr>
            <w:r>
              <w:rPr>
                <w:b/>
                <w:color w:val="172033"/>
                <w:sz w:val="17"/>
              </w:rPr>
              <w:t>Projection portability</w:t>
            </w:r>
          </w:p>
        </w:tc>
        <w:tc>
          <w:tcPr>
            <w:tcW w:w="1800" w:type="dxa"/>
            <w:tcMar>
              <w:top w:w="100" w:type="dxa"/>
              <w:left w:w="110" w:type="dxa"/>
              <w:bottom w:w="100" w:type="dxa"/>
              <w:right w:w="110" w:type="dxa"/>
            </w:tcMar>
            <w:vAlign w:val="center"/>
          </w:tcPr>
          <w:p w14:paraId="51247962" w14:textId="77777777" w:rsidR="00360219" w:rsidRDefault="003015F4">
            <w:pPr>
              <w:spacing w:after="0" w:line="252" w:lineRule="auto"/>
            </w:pPr>
            <w:r>
              <w:rPr>
                <w:color w:val="172033"/>
                <w:sz w:val="17"/>
              </w:rPr>
              <w:t>NPG-C18</w:t>
            </w:r>
          </w:p>
        </w:tc>
        <w:tc>
          <w:tcPr>
            <w:tcW w:w="5760" w:type="dxa"/>
            <w:tcMar>
              <w:top w:w="100" w:type="dxa"/>
              <w:left w:w="110" w:type="dxa"/>
              <w:bottom w:w="100" w:type="dxa"/>
              <w:right w:w="110" w:type="dxa"/>
            </w:tcMar>
            <w:vAlign w:val="center"/>
          </w:tcPr>
          <w:p w14:paraId="7F518375" w14:textId="77777777" w:rsidR="00360219" w:rsidRDefault="003015F4">
            <w:pPr>
              <w:spacing w:after="0" w:line="252" w:lineRule="auto"/>
            </w:pPr>
            <w:r>
              <w:rPr>
                <w:color w:val="172033"/>
                <w:sz w:val="17"/>
              </w:rPr>
              <w:t>Change renderer or endpoint without rewriting the semantic Transform chain.</w:t>
            </w:r>
          </w:p>
        </w:tc>
      </w:tr>
      <w:tr w:rsidR="00360219" w14:paraId="1ACD3C72" w14:textId="77777777">
        <w:trPr>
          <w:cantSplit/>
          <w:jc w:val="center"/>
        </w:trPr>
        <w:tc>
          <w:tcPr>
            <w:tcW w:w="2088" w:type="dxa"/>
            <w:tcMar>
              <w:top w:w="100" w:type="dxa"/>
              <w:left w:w="110" w:type="dxa"/>
              <w:bottom w:w="100" w:type="dxa"/>
              <w:right w:w="110" w:type="dxa"/>
            </w:tcMar>
            <w:vAlign w:val="center"/>
          </w:tcPr>
          <w:p w14:paraId="5EE6F758" w14:textId="77777777" w:rsidR="00360219" w:rsidRDefault="003015F4">
            <w:pPr>
              <w:spacing w:after="0" w:line="252" w:lineRule="auto"/>
              <w:jc w:val="center"/>
            </w:pPr>
            <w:r>
              <w:rPr>
                <w:b/>
                <w:color w:val="172033"/>
                <w:sz w:val="17"/>
              </w:rPr>
              <w:t>Actuation boundary</w:t>
            </w:r>
          </w:p>
        </w:tc>
        <w:tc>
          <w:tcPr>
            <w:tcW w:w="1800" w:type="dxa"/>
            <w:tcMar>
              <w:top w:w="100" w:type="dxa"/>
              <w:left w:w="110" w:type="dxa"/>
              <w:bottom w:w="100" w:type="dxa"/>
              <w:right w:w="110" w:type="dxa"/>
            </w:tcMar>
            <w:vAlign w:val="center"/>
          </w:tcPr>
          <w:p w14:paraId="5DABD956" w14:textId="77777777" w:rsidR="00360219" w:rsidRDefault="003015F4">
            <w:pPr>
              <w:spacing w:after="0" w:line="252" w:lineRule="auto"/>
            </w:pPr>
            <w:r>
              <w:rPr>
                <w:color w:val="172033"/>
                <w:sz w:val="17"/>
              </w:rPr>
              <w:t>NPG-C20</w:t>
            </w:r>
          </w:p>
        </w:tc>
        <w:tc>
          <w:tcPr>
            <w:tcW w:w="5760" w:type="dxa"/>
            <w:tcMar>
              <w:top w:w="100" w:type="dxa"/>
              <w:left w:w="110" w:type="dxa"/>
              <w:bottom w:w="100" w:type="dxa"/>
              <w:right w:w="110" w:type="dxa"/>
            </w:tcMar>
            <w:vAlign w:val="center"/>
          </w:tcPr>
          <w:p w14:paraId="24BDA770" w14:textId="77777777" w:rsidR="00360219" w:rsidRDefault="003015F4">
            <w:pPr>
              <w:spacing w:after="0" w:line="252" w:lineRule="auto"/>
            </w:pPr>
            <w:r>
              <w:rPr>
                <w:color w:val="172033"/>
                <w:sz w:val="17"/>
              </w:rPr>
              <w:t>Require a governed operational path before a computed target can mutate or actuate physical/canonical state.</w:t>
            </w:r>
          </w:p>
        </w:tc>
      </w:tr>
    </w:tbl>
    <w:p w14:paraId="4E94A333" w14:textId="77777777" w:rsidR="00360219" w:rsidRDefault="00360219">
      <w:pPr>
        <w:spacing w:after="40"/>
      </w:pPr>
    </w:p>
    <w:p w14:paraId="3745C7CD" w14:textId="77777777" w:rsidR="00360219" w:rsidRDefault="003015F4">
      <w:pPr>
        <w:pStyle w:val="BodyText"/>
      </w:pPr>
      <w:r>
        <w:rPr>
          <w:color w:val="172033"/>
        </w:rPr>
        <w:t>Appendix C contains the complete twenty-test reference matrix with questions and PASS conditions.</w:t>
      </w:r>
    </w:p>
    <w:p w14:paraId="0B0EC902" w14:textId="77777777" w:rsidR="00360219" w:rsidRDefault="003015F4">
      <w:pPr>
        <w:pStyle w:val="Heading1"/>
        <w:spacing w:before="200" w:after="100" w:line="240" w:lineRule="auto"/>
      </w:pPr>
      <w:r>
        <w:rPr>
          <w:rFonts w:ascii="Arial" w:hAnsi="Arial"/>
        </w:rPr>
        <w:t>45. Implementation Roadmap</w:t>
      </w:r>
    </w:p>
    <w:p w14:paraId="51421AC8" w14:textId="77777777" w:rsidR="00360219" w:rsidRDefault="003015F4">
      <w:pPr>
        <w:pStyle w:val="ListNumber"/>
        <w:spacing w:after="60" w:line="259" w:lineRule="auto"/>
        <w:ind w:left="432" w:hanging="230"/>
      </w:pPr>
      <w:r>
        <w:rPr>
          <w:color w:val="172033"/>
        </w:rPr>
        <w:t>Create the initial Normalized Perception Records that will participate in the Transform Matrix.</w:t>
      </w:r>
    </w:p>
    <w:p w14:paraId="700A4850" w14:textId="77777777" w:rsidR="00360219" w:rsidRDefault="003015F4">
      <w:pPr>
        <w:pStyle w:val="ListNumber"/>
        <w:spacing w:after="60" w:line="259" w:lineRule="auto"/>
        <w:ind w:left="432" w:hanging="230"/>
      </w:pPr>
      <w:r>
        <w:rPr>
          <w:color w:val="172033"/>
        </w:rPr>
        <w:t>Create the Normalization Table as the registered ingress library.</w:t>
      </w:r>
    </w:p>
    <w:p w14:paraId="55852736" w14:textId="77777777" w:rsidR="00360219" w:rsidRDefault="003015F4">
      <w:pPr>
        <w:pStyle w:val="ListNumber"/>
        <w:spacing w:after="60" w:line="259" w:lineRule="auto"/>
        <w:ind w:left="432" w:hanging="230"/>
      </w:pPr>
      <w:r>
        <w:rPr>
          <w:color w:val="172033"/>
        </w:rPr>
        <w:t>Implement simple LINEAR Normalization Scales first.</w:t>
      </w:r>
    </w:p>
    <w:p w14:paraId="703E3016" w14:textId="77777777" w:rsidR="00360219" w:rsidRDefault="003015F4">
      <w:pPr>
        <w:pStyle w:val="ListNumber"/>
        <w:spacing w:after="60" w:line="259" w:lineRule="auto"/>
        <w:ind w:left="432" w:hanging="230"/>
      </w:pPr>
      <w:r>
        <w:rPr>
          <w:color w:val="172033"/>
        </w:rPr>
        <w:t>Add the shared one-to-ten Step architecture.</w:t>
      </w:r>
    </w:p>
    <w:p w14:paraId="1CC7A44B" w14:textId="77777777" w:rsidR="00360219" w:rsidRDefault="003015F4">
      <w:pPr>
        <w:pStyle w:val="ListNumber"/>
        <w:spacing w:after="60" w:line="259" w:lineRule="auto"/>
        <w:ind w:left="432" w:hanging="230"/>
      </w:pPr>
      <w:r>
        <w:rPr>
          <w:color w:val="172033"/>
        </w:rPr>
        <w:t>Implement GRADED and GRADIENT resolution over the same ordered Step definitions.</w:t>
      </w:r>
    </w:p>
    <w:p w14:paraId="31F6A518" w14:textId="77777777" w:rsidR="00360219" w:rsidRDefault="003015F4">
      <w:pPr>
        <w:pStyle w:val="ListNumber"/>
        <w:spacing w:after="60" w:line="259" w:lineRule="auto"/>
        <w:ind w:left="432" w:hanging="230"/>
      </w:pPr>
      <w:r>
        <w:rPr>
          <w:color w:val="172033"/>
        </w:rPr>
        <w:t>Add DEFAULT and CUSTOM Step-color behavior without conflating it with COLOR Transform relationships.</w:t>
      </w:r>
    </w:p>
    <w:p w14:paraId="5E284702" w14:textId="77777777" w:rsidR="00360219" w:rsidRDefault="003015F4">
      <w:pPr>
        <w:pStyle w:val="ListNumber"/>
        <w:spacing w:after="60" w:line="259" w:lineRule="auto"/>
        <w:ind w:left="432" w:hanging="230"/>
      </w:pPr>
      <w:r>
        <w:rPr>
          <w:color w:val="172033"/>
        </w:rPr>
        <w:t>Add gated and hysteretic Scale logic where a domain requires it.</w:t>
      </w:r>
    </w:p>
    <w:p w14:paraId="4A3907E5" w14:textId="77777777" w:rsidR="00360219" w:rsidRDefault="003015F4">
      <w:pPr>
        <w:pStyle w:val="ListNumber"/>
        <w:spacing w:after="60" w:line="259" w:lineRule="auto"/>
        <w:ind w:left="432" w:hanging="230"/>
      </w:pPr>
      <w:r>
        <w:rPr>
          <w:color w:val="172033"/>
        </w:rPr>
        <w:t>Connect measurable records through exact NormalizationContractRef links.</w:t>
      </w:r>
    </w:p>
    <w:p w14:paraId="08F0B2D0" w14:textId="77777777" w:rsidR="00360219" w:rsidRDefault="003015F4">
      <w:pPr>
        <w:pStyle w:val="ListNumber"/>
        <w:spacing w:after="60" w:line="259" w:lineRule="auto"/>
        <w:ind w:left="432" w:hanging="230"/>
      </w:pPr>
      <w:r>
        <w:rPr>
          <w:color w:val="172033"/>
        </w:rPr>
        <w:t>Route normalized runtime state into the Transform Matrix.</w:t>
      </w:r>
    </w:p>
    <w:p w14:paraId="15088824" w14:textId="77777777" w:rsidR="00360219" w:rsidRDefault="003015F4">
      <w:pPr>
        <w:pStyle w:val="ListNumber"/>
        <w:spacing w:after="60" w:line="259" w:lineRule="auto"/>
        <w:ind w:left="432" w:hanging="230"/>
      </w:pPr>
      <w:r>
        <w:rPr>
          <w:color w:val="172033"/>
        </w:rPr>
        <w:t>Implement basic registered cross-perception Transforms and conformance tests.</w:t>
      </w:r>
    </w:p>
    <w:p w14:paraId="035B97DC" w14:textId="77777777" w:rsidR="00360219" w:rsidRDefault="003015F4">
      <w:pPr>
        <w:pStyle w:val="ListNumber"/>
        <w:spacing w:after="60" w:line="259" w:lineRule="auto"/>
        <w:ind w:left="432" w:hanging="230"/>
      </w:pPr>
      <w:r>
        <w:rPr>
          <w:color w:val="172033"/>
        </w:rPr>
        <w:t>Add quantitative Models and scoped Masks for human semantic variability.</w:t>
      </w:r>
    </w:p>
    <w:p w14:paraId="6BDD9109" w14:textId="77777777" w:rsidR="00360219" w:rsidRDefault="003015F4">
      <w:pPr>
        <w:pStyle w:val="ListNumber"/>
        <w:spacing w:after="60" w:line="259" w:lineRule="auto"/>
        <w:ind w:left="432" w:hanging="230"/>
      </w:pPr>
      <w:r>
        <w:rPr>
          <w:color w:val="172033"/>
        </w:rPr>
        <w:t>Connect MRMM, Personal Perceptual Languages, MEE, and endpoint capability contracts; verify full provenance and reconstruction.</w:t>
      </w:r>
    </w:p>
    <w:p w14:paraId="2E11F65D" w14:textId="77777777" w:rsidR="00360219" w:rsidRDefault="003015F4">
      <w:pPr>
        <w:pStyle w:val="Heading1"/>
        <w:spacing w:before="200" w:after="100" w:line="240" w:lineRule="auto"/>
      </w:pPr>
      <w:r>
        <w:rPr>
          <w:rFonts w:ascii="Arial" w:hAnsi="Arial"/>
        </w:rPr>
        <w:t>46. Extension Boundary</w:t>
      </w:r>
    </w:p>
    <w:p w14:paraId="02251D70" w14:textId="77777777" w:rsidR="00360219" w:rsidRDefault="003015F4">
      <w:pPr>
        <w:pStyle w:val="BodyText"/>
      </w:pPr>
      <w:r>
        <w:rPr>
          <w:color w:val="172033"/>
        </w:rPr>
        <w:t>Although this guide is sensory-focused, the Normalization Table is structurally reusable for any measurable state that needs to enter the Transform Matrix: battery state, machine load, pressure, damage, risk, weather severity, manufacturing tolerances, resource levels, population density, latency, queue depth, or future domains. The extension law remains the same: preserve the native source, declare the bounded Scale, publish an explicit normalized perception, and register any cross-domain correspondence ra</w:t>
      </w:r>
      <w:r>
        <w:rPr>
          <w:color w:val="172033"/>
        </w:rPr>
        <w:t>ther than inferring it.</w:t>
      </w:r>
    </w:p>
    <w:tbl>
      <w:tblPr>
        <w:tblW w:w="0" w:type="auto"/>
        <w:jc w:val="center"/>
        <w:tblLayout w:type="fixed"/>
        <w:tblLook w:val="04A0" w:firstRow="1" w:lastRow="0" w:firstColumn="1" w:lastColumn="0" w:noHBand="0" w:noVBand="1"/>
      </w:tblPr>
      <w:tblGrid>
        <w:gridCol w:w="9720"/>
      </w:tblGrid>
      <w:tr w:rsidR="00360219" w14:paraId="50317D27" w14:textId="77777777">
        <w:trPr>
          <w:cantSplit/>
          <w:jc w:val="center"/>
        </w:trPr>
        <w:tc>
          <w:tcPr>
            <w:tcW w:w="9720" w:type="dxa"/>
            <w:tcBorders>
              <w:top w:val="single" w:sz="16" w:space="0" w:color="A36C00"/>
              <w:left w:val="single" w:sz="16" w:space="0" w:color="A36C00"/>
              <w:bottom w:val="single" w:sz="16" w:space="0" w:color="A36C00"/>
              <w:right w:val="single" w:sz="16" w:space="0" w:color="A36C00"/>
            </w:tcBorders>
            <w:shd w:val="clear" w:color="auto" w:fill="F7F1DF"/>
            <w:tcMar>
              <w:top w:w="150" w:type="dxa"/>
              <w:left w:w="170" w:type="dxa"/>
              <w:bottom w:w="150" w:type="dxa"/>
              <w:right w:w="170" w:type="dxa"/>
            </w:tcMar>
          </w:tcPr>
          <w:p w14:paraId="64E70862" w14:textId="77777777" w:rsidR="00360219" w:rsidRDefault="003015F4">
            <w:pPr>
              <w:spacing w:after="80" w:line="240" w:lineRule="auto"/>
            </w:pPr>
            <w:r>
              <w:rPr>
                <w:b/>
                <w:color w:val="A36C00"/>
                <w:sz w:val="19"/>
              </w:rPr>
              <w:t>CLOSING PROPOSITION</w:t>
            </w:r>
          </w:p>
          <w:p w14:paraId="0E398860" w14:textId="77777777" w:rsidR="00360219" w:rsidRDefault="003015F4">
            <w:pPr>
              <w:spacing w:after="0"/>
            </w:pPr>
            <w:r>
              <w:rPr>
                <w:b/>
                <w:color w:val="172033"/>
                <w:sz w:val="21"/>
              </w:rPr>
              <w:t>The Normalization Table absorbs domain heterogeneity. The Transform Matrix provides normalized perceptual interoperability. Masks preserve human semantic variability. MRMM and MEE turn governed state into rich experience without allowing presentation to become source truth.</w:t>
            </w:r>
          </w:p>
        </w:tc>
      </w:tr>
    </w:tbl>
    <w:p w14:paraId="159B1670" w14:textId="77777777" w:rsidR="00360219" w:rsidRDefault="00360219">
      <w:pPr>
        <w:spacing w:after="40"/>
      </w:pPr>
    </w:p>
    <w:p w14:paraId="79B89549" w14:textId="77777777" w:rsidR="00360219" w:rsidRDefault="003015F4">
      <w:pPr>
        <w:pageBreakBefore/>
        <w:spacing w:before="2200"/>
      </w:pPr>
      <w:r>
        <w:rPr>
          <w:b/>
          <w:color w:val="1E5AA8"/>
          <w:sz w:val="26"/>
        </w:rPr>
        <w:t>PART A</w:t>
      </w:r>
    </w:p>
    <w:p w14:paraId="3944001D" w14:textId="77777777" w:rsidR="00360219" w:rsidRDefault="003015F4">
      <w:pPr>
        <w:spacing w:before="160" w:after="240" w:line="240" w:lineRule="auto"/>
      </w:pPr>
      <w:r>
        <w:rPr>
          <w:b/>
          <w:color w:val="172033"/>
          <w:sz w:val="56"/>
        </w:rPr>
        <w:t>Governing Laws</w:t>
      </w:r>
    </w:p>
    <w:p w14:paraId="00C53646" w14:textId="77777777" w:rsidR="00360219" w:rsidRDefault="003015F4">
      <w:pPr>
        <w:spacing w:after="0" w:line="276" w:lineRule="auto"/>
      </w:pPr>
      <w:r>
        <w:rPr>
          <w:color w:val="5B6577"/>
          <w:sz w:val="25"/>
        </w:rPr>
        <w:t>Compact reference for the normative rules that constrain normalization, transformation, masking, and projection.</w:t>
      </w:r>
    </w:p>
    <w:tbl>
      <w:tblPr>
        <w:tblW w:w="0" w:type="auto"/>
        <w:tblLayout w:type="fixed"/>
        <w:tblLook w:val="04A0" w:firstRow="1" w:lastRow="0" w:firstColumn="1" w:lastColumn="0" w:noHBand="0" w:noVBand="1"/>
      </w:tblPr>
      <w:tblGrid>
        <w:gridCol w:w="1440"/>
      </w:tblGrid>
      <w:tr w:rsidR="00360219" w14:paraId="62C77C90" w14:textId="77777777">
        <w:tc>
          <w:tcPr>
            <w:tcW w:w="1440" w:type="dxa"/>
            <w:shd w:val="clear" w:color="auto" w:fill="1E5AA8"/>
            <w:tcMar>
              <w:top w:w="20" w:type="dxa"/>
              <w:left w:w="20" w:type="dxa"/>
              <w:bottom w:w="20" w:type="dxa"/>
              <w:right w:w="20" w:type="dxa"/>
            </w:tcMar>
          </w:tcPr>
          <w:p w14:paraId="28BFD7D3" w14:textId="77777777" w:rsidR="00360219" w:rsidRDefault="00360219"/>
        </w:tc>
      </w:tr>
    </w:tbl>
    <w:p w14:paraId="1A028D86" w14:textId="77777777" w:rsidR="00360219" w:rsidRDefault="003015F4">
      <w:r>
        <w:br w:type="page"/>
      </w:r>
    </w:p>
    <w:tbl>
      <w:tblPr>
        <w:tblStyle w:val="TableGrid"/>
        <w:tblW w:w="0" w:type="auto"/>
        <w:jc w:val="center"/>
        <w:tblLayout w:type="fixed"/>
        <w:tblLook w:val="04A0" w:firstRow="1" w:lastRow="0" w:firstColumn="1" w:lastColumn="0" w:noHBand="0" w:noVBand="1"/>
      </w:tblPr>
      <w:tblGrid>
        <w:gridCol w:w="1152"/>
        <w:gridCol w:w="2232"/>
        <w:gridCol w:w="6263"/>
      </w:tblGrid>
      <w:tr w:rsidR="00360219" w14:paraId="4EEF5A86" w14:textId="77777777">
        <w:trPr>
          <w:tblHeader/>
          <w:jc w:val="center"/>
        </w:trPr>
        <w:tc>
          <w:tcPr>
            <w:tcW w:w="1152" w:type="dxa"/>
            <w:shd w:val="clear" w:color="auto" w:fill="172033"/>
            <w:tcMar>
              <w:top w:w="100" w:type="dxa"/>
              <w:left w:w="110" w:type="dxa"/>
              <w:bottom w:w="100" w:type="dxa"/>
              <w:right w:w="110" w:type="dxa"/>
            </w:tcMar>
            <w:vAlign w:val="center"/>
          </w:tcPr>
          <w:p w14:paraId="6EFC0A72" w14:textId="77777777" w:rsidR="00360219" w:rsidRDefault="003015F4">
            <w:pPr>
              <w:jc w:val="center"/>
            </w:pPr>
            <w:r>
              <w:rPr>
                <w:b/>
                <w:color w:val="FFFFFF"/>
                <w:sz w:val="18"/>
              </w:rPr>
              <w:t>ID</w:t>
            </w:r>
          </w:p>
        </w:tc>
        <w:tc>
          <w:tcPr>
            <w:tcW w:w="2232" w:type="dxa"/>
            <w:shd w:val="clear" w:color="auto" w:fill="172033"/>
            <w:tcMar>
              <w:top w:w="100" w:type="dxa"/>
              <w:left w:w="110" w:type="dxa"/>
              <w:bottom w:w="100" w:type="dxa"/>
              <w:right w:w="110" w:type="dxa"/>
            </w:tcMar>
            <w:vAlign w:val="center"/>
          </w:tcPr>
          <w:p w14:paraId="56299D2A" w14:textId="77777777" w:rsidR="00360219" w:rsidRDefault="003015F4">
            <w:pPr>
              <w:jc w:val="center"/>
            </w:pPr>
            <w:r>
              <w:rPr>
                <w:b/>
                <w:color w:val="FFFFFF"/>
                <w:sz w:val="18"/>
              </w:rPr>
              <w:t>Law</w:t>
            </w:r>
          </w:p>
        </w:tc>
        <w:tc>
          <w:tcPr>
            <w:tcW w:w="6263" w:type="dxa"/>
            <w:shd w:val="clear" w:color="auto" w:fill="172033"/>
            <w:tcMar>
              <w:top w:w="100" w:type="dxa"/>
              <w:left w:w="110" w:type="dxa"/>
              <w:bottom w:w="100" w:type="dxa"/>
              <w:right w:w="110" w:type="dxa"/>
            </w:tcMar>
            <w:vAlign w:val="center"/>
          </w:tcPr>
          <w:p w14:paraId="157F47BA" w14:textId="77777777" w:rsidR="00360219" w:rsidRDefault="003015F4">
            <w:pPr>
              <w:jc w:val="center"/>
            </w:pPr>
            <w:r>
              <w:rPr>
                <w:b/>
                <w:color w:val="FFFFFF"/>
                <w:sz w:val="18"/>
              </w:rPr>
              <w:t>Normative requirement</w:t>
            </w:r>
          </w:p>
        </w:tc>
      </w:tr>
      <w:tr w:rsidR="00360219" w14:paraId="108F6028" w14:textId="77777777">
        <w:trPr>
          <w:cantSplit/>
          <w:jc w:val="center"/>
        </w:trPr>
        <w:tc>
          <w:tcPr>
            <w:tcW w:w="1152" w:type="dxa"/>
            <w:tcMar>
              <w:top w:w="100" w:type="dxa"/>
              <w:left w:w="110" w:type="dxa"/>
              <w:bottom w:w="100" w:type="dxa"/>
              <w:right w:w="110" w:type="dxa"/>
            </w:tcMar>
            <w:vAlign w:val="center"/>
          </w:tcPr>
          <w:p w14:paraId="4F70AA1C" w14:textId="77777777" w:rsidR="00360219" w:rsidRDefault="003015F4">
            <w:pPr>
              <w:spacing w:after="0" w:line="252" w:lineRule="auto"/>
              <w:jc w:val="center"/>
            </w:pPr>
            <w:r>
              <w:rPr>
                <w:b/>
                <w:color w:val="172033"/>
                <w:sz w:val="17"/>
              </w:rPr>
              <w:t>NPG-L01</w:t>
            </w:r>
          </w:p>
        </w:tc>
        <w:tc>
          <w:tcPr>
            <w:tcW w:w="2232" w:type="dxa"/>
            <w:tcMar>
              <w:top w:w="100" w:type="dxa"/>
              <w:left w:w="110" w:type="dxa"/>
              <w:bottom w:w="100" w:type="dxa"/>
              <w:right w:w="110" w:type="dxa"/>
            </w:tcMar>
            <w:vAlign w:val="center"/>
          </w:tcPr>
          <w:p w14:paraId="303ACF70" w14:textId="77777777" w:rsidR="00360219" w:rsidRDefault="003015F4">
            <w:pPr>
              <w:spacing w:after="0" w:line="252" w:lineRule="auto"/>
            </w:pPr>
            <w:r>
              <w:rPr>
                <w:color w:val="172033"/>
                <w:sz w:val="17"/>
              </w:rPr>
              <w:t>Raw State Preservation</w:t>
            </w:r>
          </w:p>
        </w:tc>
        <w:tc>
          <w:tcPr>
            <w:tcW w:w="6263" w:type="dxa"/>
            <w:tcMar>
              <w:top w:w="100" w:type="dxa"/>
              <w:left w:w="110" w:type="dxa"/>
              <w:bottom w:w="100" w:type="dxa"/>
              <w:right w:w="110" w:type="dxa"/>
            </w:tcMar>
            <w:vAlign w:val="center"/>
          </w:tcPr>
          <w:p w14:paraId="5B34B84E" w14:textId="77777777" w:rsidR="00360219" w:rsidRDefault="003015F4">
            <w:pPr>
              <w:spacing w:after="0" w:line="252" w:lineRule="auto"/>
            </w:pPr>
            <w:r>
              <w:rPr>
                <w:color w:val="172033"/>
                <w:sz w:val="17"/>
              </w:rPr>
              <w:t>Normalization SHALL NOT silently replace or erase the raw measurement, unit, or source provenance.</w:t>
            </w:r>
          </w:p>
        </w:tc>
      </w:tr>
      <w:tr w:rsidR="00360219" w14:paraId="370CD979" w14:textId="77777777">
        <w:trPr>
          <w:cantSplit/>
          <w:jc w:val="center"/>
        </w:trPr>
        <w:tc>
          <w:tcPr>
            <w:tcW w:w="1152" w:type="dxa"/>
            <w:tcMar>
              <w:top w:w="100" w:type="dxa"/>
              <w:left w:w="110" w:type="dxa"/>
              <w:bottom w:w="100" w:type="dxa"/>
              <w:right w:w="110" w:type="dxa"/>
            </w:tcMar>
            <w:vAlign w:val="center"/>
          </w:tcPr>
          <w:p w14:paraId="67688D82" w14:textId="77777777" w:rsidR="00360219" w:rsidRDefault="003015F4">
            <w:pPr>
              <w:spacing w:after="0" w:line="252" w:lineRule="auto"/>
              <w:jc w:val="center"/>
            </w:pPr>
            <w:r>
              <w:rPr>
                <w:b/>
                <w:color w:val="172033"/>
                <w:sz w:val="17"/>
              </w:rPr>
              <w:t>NPG-L02</w:t>
            </w:r>
          </w:p>
        </w:tc>
        <w:tc>
          <w:tcPr>
            <w:tcW w:w="2232" w:type="dxa"/>
            <w:tcMar>
              <w:top w:w="100" w:type="dxa"/>
              <w:left w:w="110" w:type="dxa"/>
              <w:bottom w:w="100" w:type="dxa"/>
              <w:right w:w="110" w:type="dxa"/>
            </w:tcMar>
            <w:vAlign w:val="center"/>
          </w:tcPr>
          <w:p w14:paraId="3109B029" w14:textId="77777777" w:rsidR="00360219" w:rsidRDefault="003015F4">
            <w:pPr>
              <w:spacing w:after="0" w:line="252" w:lineRule="auto"/>
            </w:pPr>
            <w:r>
              <w:rPr>
                <w:color w:val="172033"/>
                <w:sz w:val="17"/>
              </w:rPr>
              <w:t>Explicit Ingress</w:t>
            </w:r>
          </w:p>
        </w:tc>
        <w:tc>
          <w:tcPr>
            <w:tcW w:w="6263" w:type="dxa"/>
            <w:tcMar>
              <w:top w:w="100" w:type="dxa"/>
              <w:left w:w="110" w:type="dxa"/>
              <w:bottom w:w="100" w:type="dxa"/>
              <w:right w:w="110" w:type="dxa"/>
            </w:tcMar>
            <w:vAlign w:val="center"/>
          </w:tcPr>
          <w:p w14:paraId="5BB7D901" w14:textId="77777777" w:rsidR="00360219" w:rsidRDefault="003015F4">
            <w:pPr>
              <w:spacing w:after="0" w:line="252" w:lineRule="auto"/>
            </w:pPr>
            <w:r>
              <w:rPr>
                <w:color w:val="172033"/>
                <w:sz w:val="17"/>
              </w:rPr>
              <w:t>A measurable state entering a Normalized Perception SHALL resolve through an identifiable Normalization Scale.</w:t>
            </w:r>
          </w:p>
        </w:tc>
      </w:tr>
      <w:tr w:rsidR="00360219" w14:paraId="55E65530" w14:textId="77777777">
        <w:trPr>
          <w:cantSplit/>
          <w:jc w:val="center"/>
        </w:trPr>
        <w:tc>
          <w:tcPr>
            <w:tcW w:w="1152" w:type="dxa"/>
            <w:tcMar>
              <w:top w:w="100" w:type="dxa"/>
              <w:left w:w="110" w:type="dxa"/>
              <w:bottom w:w="100" w:type="dxa"/>
              <w:right w:w="110" w:type="dxa"/>
            </w:tcMar>
            <w:vAlign w:val="center"/>
          </w:tcPr>
          <w:p w14:paraId="02FFD632" w14:textId="77777777" w:rsidR="00360219" w:rsidRDefault="003015F4">
            <w:pPr>
              <w:spacing w:after="0" w:line="252" w:lineRule="auto"/>
              <w:jc w:val="center"/>
            </w:pPr>
            <w:r>
              <w:rPr>
                <w:b/>
                <w:color w:val="172033"/>
                <w:sz w:val="17"/>
              </w:rPr>
              <w:t>NPG-L03</w:t>
            </w:r>
          </w:p>
        </w:tc>
        <w:tc>
          <w:tcPr>
            <w:tcW w:w="2232" w:type="dxa"/>
            <w:tcMar>
              <w:top w:w="100" w:type="dxa"/>
              <w:left w:w="110" w:type="dxa"/>
              <w:bottom w:w="100" w:type="dxa"/>
              <w:right w:w="110" w:type="dxa"/>
            </w:tcMar>
            <w:vAlign w:val="center"/>
          </w:tcPr>
          <w:p w14:paraId="2BC8EA79" w14:textId="77777777" w:rsidR="00360219" w:rsidRDefault="003015F4">
            <w:pPr>
              <w:spacing w:after="0" w:line="252" w:lineRule="auto"/>
            </w:pPr>
            <w:r>
              <w:rPr>
                <w:color w:val="172033"/>
                <w:sz w:val="17"/>
              </w:rPr>
              <w:t>Scale Ownership</w:t>
            </w:r>
          </w:p>
        </w:tc>
        <w:tc>
          <w:tcPr>
            <w:tcW w:w="6263" w:type="dxa"/>
            <w:tcMar>
              <w:top w:w="100" w:type="dxa"/>
              <w:left w:w="110" w:type="dxa"/>
              <w:bottom w:w="100" w:type="dxa"/>
              <w:right w:w="110" w:type="dxa"/>
            </w:tcMar>
            <w:vAlign w:val="center"/>
          </w:tcPr>
          <w:p w14:paraId="55D7E12D" w14:textId="77777777" w:rsidR="00360219" w:rsidRDefault="003015F4">
            <w:pPr>
              <w:spacing w:after="0" w:line="252" w:lineRule="auto"/>
            </w:pPr>
            <w:r>
              <w:rPr>
                <w:color w:val="172033"/>
                <w:sz w:val="17"/>
              </w:rPr>
              <w:t>The Normalization Scale owns the bounded mapping question; it does not redefine the underlying physical Quantity.</w:t>
            </w:r>
          </w:p>
        </w:tc>
      </w:tr>
      <w:tr w:rsidR="00360219" w14:paraId="2BA63946" w14:textId="77777777">
        <w:trPr>
          <w:cantSplit/>
          <w:jc w:val="center"/>
        </w:trPr>
        <w:tc>
          <w:tcPr>
            <w:tcW w:w="1152" w:type="dxa"/>
            <w:tcMar>
              <w:top w:w="100" w:type="dxa"/>
              <w:left w:w="110" w:type="dxa"/>
              <w:bottom w:w="100" w:type="dxa"/>
              <w:right w:w="110" w:type="dxa"/>
            </w:tcMar>
            <w:vAlign w:val="center"/>
          </w:tcPr>
          <w:p w14:paraId="005EE41D" w14:textId="77777777" w:rsidR="00360219" w:rsidRDefault="003015F4">
            <w:pPr>
              <w:spacing w:after="0" w:line="252" w:lineRule="auto"/>
              <w:jc w:val="center"/>
            </w:pPr>
            <w:r>
              <w:rPr>
                <w:b/>
                <w:color w:val="172033"/>
                <w:sz w:val="17"/>
              </w:rPr>
              <w:t>NPG-L04</w:t>
            </w:r>
          </w:p>
        </w:tc>
        <w:tc>
          <w:tcPr>
            <w:tcW w:w="2232" w:type="dxa"/>
            <w:tcMar>
              <w:top w:w="100" w:type="dxa"/>
              <w:left w:w="110" w:type="dxa"/>
              <w:bottom w:w="100" w:type="dxa"/>
              <w:right w:w="110" w:type="dxa"/>
            </w:tcMar>
            <w:vAlign w:val="center"/>
          </w:tcPr>
          <w:p w14:paraId="5361DF8F" w14:textId="77777777" w:rsidR="00360219" w:rsidRDefault="003015F4">
            <w:pPr>
              <w:spacing w:after="0" w:line="252" w:lineRule="auto"/>
            </w:pPr>
            <w:r>
              <w:rPr>
                <w:color w:val="172033"/>
                <w:sz w:val="17"/>
              </w:rPr>
              <w:t>Perception Stability</w:t>
            </w:r>
          </w:p>
        </w:tc>
        <w:tc>
          <w:tcPr>
            <w:tcW w:w="6263" w:type="dxa"/>
            <w:tcMar>
              <w:top w:w="100" w:type="dxa"/>
              <w:left w:w="110" w:type="dxa"/>
              <w:bottom w:w="100" w:type="dxa"/>
              <w:right w:w="110" w:type="dxa"/>
            </w:tcMar>
            <w:vAlign w:val="center"/>
          </w:tcPr>
          <w:p w14:paraId="6CCA6589" w14:textId="77777777" w:rsidR="00360219" w:rsidRDefault="003015F4">
            <w:pPr>
              <w:spacing w:after="0" w:line="252" w:lineRule="auto"/>
            </w:pPr>
            <w:r>
              <w:rPr>
                <w:color w:val="172033"/>
                <w:sz w:val="17"/>
              </w:rPr>
              <w:t>Different Normalization Scales MAY resolve into the same stable Normalized Perception Record.</w:t>
            </w:r>
          </w:p>
        </w:tc>
      </w:tr>
      <w:tr w:rsidR="00360219" w14:paraId="3564AEBD" w14:textId="77777777">
        <w:trPr>
          <w:cantSplit/>
          <w:jc w:val="center"/>
        </w:trPr>
        <w:tc>
          <w:tcPr>
            <w:tcW w:w="1152" w:type="dxa"/>
            <w:tcMar>
              <w:top w:w="100" w:type="dxa"/>
              <w:left w:w="110" w:type="dxa"/>
              <w:bottom w:w="100" w:type="dxa"/>
              <w:right w:w="110" w:type="dxa"/>
            </w:tcMar>
            <w:vAlign w:val="center"/>
          </w:tcPr>
          <w:p w14:paraId="22EFF9B0" w14:textId="77777777" w:rsidR="00360219" w:rsidRDefault="003015F4">
            <w:pPr>
              <w:spacing w:after="0" w:line="252" w:lineRule="auto"/>
              <w:jc w:val="center"/>
            </w:pPr>
            <w:r>
              <w:rPr>
                <w:b/>
                <w:color w:val="172033"/>
                <w:sz w:val="17"/>
              </w:rPr>
              <w:t>NPG-L05</w:t>
            </w:r>
          </w:p>
        </w:tc>
        <w:tc>
          <w:tcPr>
            <w:tcW w:w="2232" w:type="dxa"/>
            <w:tcMar>
              <w:top w:w="100" w:type="dxa"/>
              <w:left w:w="110" w:type="dxa"/>
              <w:bottom w:w="100" w:type="dxa"/>
              <w:right w:w="110" w:type="dxa"/>
            </w:tcMar>
            <w:vAlign w:val="center"/>
          </w:tcPr>
          <w:p w14:paraId="6B4AA4CF" w14:textId="77777777" w:rsidR="00360219" w:rsidRDefault="003015F4">
            <w:pPr>
              <w:spacing w:after="0" w:line="252" w:lineRule="auto"/>
            </w:pPr>
            <w:r>
              <w:rPr>
                <w:color w:val="172033"/>
                <w:sz w:val="17"/>
              </w:rPr>
              <w:t>Common Coordinate</w:t>
            </w:r>
          </w:p>
        </w:tc>
        <w:tc>
          <w:tcPr>
            <w:tcW w:w="6263" w:type="dxa"/>
            <w:tcMar>
              <w:top w:w="100" w:type="dxa"/>
              <w:left w:w="110" w:type="dxa"/>
              <w:bottom w:w="100" w:type="dxa"/>
              <w:right w:w="110" w:type="dxa"/>
            </w:tcMar>
            <w:vAlign w:val="center"/>
          </w:tcPr>
          <w:p w14:paraId="29A18B2B" w14:textId="77777777" w:rsidR="00360219" w:rsidRDefault="003015F4">
            <w:pPr>
              <w:spacing w:after="0" w:line="252" w:lineRule="auto"/>
            </w:pPr>
            <w:r>
              <w:rPr>
                <w:color w:val="172033"/>
                <w:sz w:val="17"/>
              </w:rPr>
              <w:t>Where suitable, Normalized Perception state SHALL use the shared 0-100 coordinate.</w:t>
            </w:r>
          </w:p>
        </w:tc>
      </w:tr>
      <w:tr w:rsidR="00360219" w14:paraId="4A5EAC60" w14:textId="77777777">
        <w:trPr>
          <w:cantSplit/>
          <w:jc w:val="center"/>
        </w:trPr>
        <w:tc>
          <w:tcPr>
            <w:tcW w:w="1152" w:type="dxa"/>
            <w:tcMar>
              <w:top w:w="100" w:type="dxa"/>
              <w:left w:w="110" w:type="dxa"/>
              <w:bottom w:w="100" w:type="dxa"/>
              <w:right w:w="110" w:type="dxa"/>
            </w:tcMar>
            <w:vAlign w:val="center"/>
          </w:tcPr>
          <w:p w14:paraId="72905263" w14:textId="77777777" w:rsidR="00360219" w:rsidRDefault="003015F4">
            <w:pPr>
              <w:spacing w:after="0" w:line="252" w:lineRule="auto"/>
              <w:jc w:val="center"/>
            </w:pPr>
            <w:r>
              <w:rPr>
                <w:b/>
                <w:color w:val="172033"/>
                <w:sz w:val="17"/>
              </w:rPr>
              <w:t>NPG-L06</w:t>
            </w:r>
          </w:p>
        </w:tc>
        <w:tc>
          <w:tcPr>
            <w:tcW w:w="2232" w:type="dxa"/>
            <w:tcMar>
              <w:top w:w="100" w:type="dxa"/>
              <w:left w:w="110" w:type="dxa"/>
              <w:bottom w:w="100" w:type="dxa"/>
              <w:right w:w="110" w:type="dxa"/>
            </w:tcMar>
            <w:vAlign w:val="center"/>
          </w:tcPr>
          <w:p w14:paraId="25B595FB" w14:textId="77777777" w:rsidR="00360219" w:rsidRDefault="003015F4">
            <w:pPr>
              <w:spacing w:after="0" w:line="252" w:lineRule="auto"/>
            </w:pPr>
            <w:r>
              <w:rPr>
                <w:color w:val="172033"/>
                <w:sz w:val="17"/>
              </w:rPr>
              <w:t>Local Meaning</w:t>
            </w:r>
          </w:p>
        </w:tc>
        <w:tc>
          <w:tcPr>
            <w:tcW w:w="6263" w:type="dxa"/>
            <w:tcMar>
              <w:top w:w="100" w:type="dxa"/>
              <w:left w:w="110" w:type="dxa"/>
              <w:bottom w:w="100" w:type="dxa"/>
              <w:right w:w="110" w:type="dxa"/>
            </w:tcMar>
            <w:vAlign w:val="center"/>
          </w:tcPr>
          <w:p w14:paraId="424774F5" w14:textId="77777777" w:rsidR="00360219" w:rsidRDefault="003015F4">
            <w:pPr>
              <w:spacing w:after="0" w:line="252" w:lineRule="auto"/>
            </w:pPr>
            <w:r>
              <w:rPr>
                <w:color w:val="172033"/>
                <w:sz w:val="17"/>
              </w:rPr>
              <w:t>A normalized value has meaning only with respect to its Normalized Perception and relevant Normalization Scale.</w:t>
            </w:r>
          </w:p>
        </w:tc>
      </w:tr>
      <w:tr w:rsidR="00360219" w14:paraId="4C69CA58" w14:textId="77777777">
        <w:trPr>
          <w:cantSplit/>
          <w:jc w:val="center"/>
        </w:trPr>
        <w:tc>
          <w:tcPr>
            <w:tcW w:w="1152" w:type="dxa"/>
            <w:tcMar>
              <w:top w:w="100" w:type="dxa"/>
              <w:left w:w="110" w:type="dxa"/>
              <w:bottom w:w="100" w:type="dxa"/>
              <w:right w:w="110" w:type="dxa"/>
            </w:tcMar>
            <w:vAlign w:val="center"/>
          </w:tcPr>
          <w:p w14:paraId="2D07C2C2" w14:textId="77777777" w:rsidR="00360219" w:rsidRDefault="003015F4">
            <w:pPr>
              <w:spacing w:after="0" w:line="252" w:lineRule="auto"/>
              <w:jc w:val="center"/>
            </w:pPr>
            <w:r>
              <w:rPr>
                <w:b/>
                <w:color w:val="172033"/>
                <w:sz w:val="17"/>
              </w:rPr>
              <w:t>NPG-L07</w:t>
            </w:r>
          </w:p>
        </w:tc>
        <w:tc>
          <w:tcPr>
            <w:tcW w:w="2232" w:type="dxa"/>
            <w:tcMar>
              <w:top w:w="100" w:type="dxa"/>
              <w:left w:w="110" w:type="dxa"/>
              <w:bottom w:w="100" w:type="dxa"/>
              <w:right w:w="110" w:type="dxa"/>
            </w:tcMar>
            <w:vAlign w:val="center"/>
          </w:tcPr>
          <w:p w14:paraId="1DC744D3" w14:textId="77777777" w:rsidR="00360219" w:rsidRDefault="003015F4">
            <w:pPr>
              <w:spacing w:after="0" w:line="252" w:lineRule="auto"/>
            </w:pPr>
            <w:r>
              <w:rPr>
                <w:color w:val="172033"/>
                <w:sz w:val="17"/>
              </w:rPr>
              <w:t>Formula Transparency</w:t>
            </w:r>
          </w:p>
        </w:tc>
        <w:tc>
          <w:tcPr>
            <w:tcW w:w="6263" w:type="dxa"/>
            <w:tcMar>
              <w:top w:w="100" w:type="dxa"/>
              <w:left w:w="110" w:type="dxa"/>
              <w:bottom w:w="100" w:type="dxa"/>
              <w:right w:w="110" w:type="dxa"/>
            </w:tcMar>
            <w:vAlign w:val="center"/>
          </w:tcPr>
          <w:p w14:paraId="00A81CE9" w14:textId="77777777" w:rsidR="00360219" w:rsidRDefault="003015F4">
            <w:pPr>
              <w:spacing w:after="0" w:line="252" w:lineRule="auto"/>
            </w:pPr>
            <w:r>
              <w:rPr>
                <w:color w:val="172033"/>
                <w:sz w:val="17"/>
              </w:rPr>
              <w:t>A semantic Normalization Scale SHALL expose its formula or exact Formula reference, raw bounds, and version.</w:t>
            </w:r>
          </w:p>
        </w:tc>
      </w:tr>
      <w:tr w:rsidR="00360219" w14:paraId="4A5C9A62" w14:textId="77777777">
        <w:trPr>
          <w:cantSplit/>
          <w:jc w:val="center"/>
        </w:trPr>
        <w:tc>
          <w:tcPr>
            <w:tcW w:w="1152" w:type="dxa"/>
            <w:tcMar>
              <w:top w:w="100" w:type="dxa"/>
              <w:left w:w="110" w:type="dxa"/>
              <w:bottom w:w="100" w:type="dxa"/>
              <w:right w:w="110" w:type="dxa"/>
            </w:tcMar>
            <w:vAlign w:val="center"/>
          </w:tcPr>
          <w:p w14:paraId="1184788D" w14:textId="77777777" w:rsidR="00360219" w:rsidRDefault="003015F4">
            <w:pPr>
              <w:spacing w:after="0" w:line="252" w:lineRule="auto"/>
              <w:jc w:val="center"/>
            </w:pPr>
            <w:r>
              <w:rPr>
                <w:b/>
                <w:color w:val="172033"/>
                <w:sz w:val="17"/>
              </w:rPr>
              <w:t>NPG-L08</w:t>
            </w:r>
          </w:p>
        </w:tc>
        <w:tc>
          <w:tcPr>
            <w:tcW w:w="2232" w:type="dxa"/>
            <w:tcMar>
              <w:top w:w="100" w:type="dxa"/>
              <w:left w:w="110" w:type="dxa"/>
              <w:bottom w:w="100" w:type="dxa"/>
              <w:right w:w="110" w:type="dxa"/>
            </w:tcMar>
            <w:vAlign w:val="center"/>
          </w:tcPr>
          <w:p w14:paraId="22116B5A" w14:textId="77777777" w:rsidR="00360219" w:rsidRDefault="003015F4">
            <w:pPr>
              <w:spacing w:after="0" w:line="252" w:lineRule="auto"/>
            </w:pPr>
            <w:r>
              <w:rPr>
                <w:color w:val="172033"/>
                <w:sz w:val="17"/>
              </w:rPr>
              <w:t>Graded/Gradient Declaration</w:t>
            </w:r>
          </w:p>
        </w:tc>
        <w:tc>
          <w:tcPr>
            <w:tcW w:w="6263" w:type="dxa"/>
            <w:tcMar>
              <w:top w:w="100" w:type="dxa"/>
              <w:left w:w="110" w:type="dxa"/>
              <w:bottom w:w="100" w:type="dxa"/>
              <w:right w:w="110" w:type="dxa"/>
            </w:tcMar>
            <w:vAlign w:val="center"/>
          </w:tcPr>
          <w:p w14:paraId="11502308" w14:textId="77777777" w:rsidR="00360219" w:rsidRDefault="003015F4">
            <w:pPr>
              <w:spacing w:after="0" w:line="252" w:lineRule="auto"/>
            </w:pPr>
            <w:r>
              <w:rPr>
                <w:color w:val="172033"/>
                <w:sz w:val="17"/>
              </w:rPr>
              <w:t>Every Scale using Step structure SHALL declare whether it resolves as GRADED or GRADIENT.</w:t>
            </w:r>
          </w:p>
        </w:tc>
      </w:tr>
      <w:tr w:rsidR="00360219" w14:paraId="1D6192F3" w14:textId="77777777">
        <w:trPr>
          <w:cantSplit/>
          <w:jc w:val="center"/>
        </w:trPr>
        <w:tc>
          <w:tcPr>
            <w:tcW w:w="1152" w:type="dxa"/>
            <w:tcMar>
              <w:top w:w="100" w:type="dxa"/>
              <w:left w:w="110" w:type="dxa"/>
              <w:bottom w:w="100" w:type="dxa"/>
              <w:right w:w="110" w:type="dxa"/>
            </w:tcMar>
            <w:vAlign w:val="center"/>
          </w:tcPr>
          <w:p w14:paraId="5D9B8F72" w14:textId="77777777" w:rsidR="00360219" w:rsidRDefault="003015F4">
            <w:pPr>
              <w:spacing w:after="0" w:line="252" w:lineRule="auto"/>
              <w:jc w:val="center"/>
            </w:pPr>
            <w:r>
              <w:rPr>
                <w:b/>
                <w:color w:val="172033"/>
                <w:sz w:val="17"/>
              </w:rPr>
              <w:t>NPG-L09</w:t>
            </w:r>
          </w:p>
        </w:tc>
        <w:tc>
          <w:tcPr>
            <w:tcW w:w="2232" w:type="dxa"/>
            <w:tcMar>
              <w:top w:w="100" w:type="dxa"/>
              <w:left w:w="110" w:type="dxa"/>
              <w:bottom w:w="100" w:type="dxa"/>
              <w:right w:w="110" w:type="dxa"/>
            </w:tcMar>
            <w:vAlign w:val="center"/>
          </w:tcPr>
          <w:p w14:paraId="33DAED32" w14:textId="77777777" w:rsidR="00360219" w:rsidRDefault="003015F4">
            <w:pPr>
              <w:spacing w:after="0" w:line="252" w:lineRule="auto"/>
            </w:pPr>
            <w:r>
              <w:rPr>
                <w:color w:val="172033"/>
                <w:sz w:val="17"/>
              </w:rPr>
              <w:t>Step Boundedness</w:t>
            </w:r>
          </w:p>
        </w:tc>
        <w:tc>
          <w:tcPr>
            <w:tcW w:w="6263" w:type="dxa"/>
            <w:tcMar>
              <w:top w:w="100" w:type="dxa"/>
              <w:left w:w="110" w:type="dxa"/>
              <w:bottom w:w="100" w:type="dxa"/>
              <w:right w:w="110" w:type="dxa"/>
            </w:tcMar>
            <w:vAlign w:val="center"/>
          </w:tcPr>
          <w:p w14:paraId="70CA5667" w14:textId="77777777" w:rsidR="00360219" w:rsidRDefault="003015F4">
            <w:pPr>
              <w:spacing w:after="0" w:line="252" w:lineRule="auto"/>
            </w:pPr>
            <w:r>
              <w:rPr>
                <w:color w:val="172033"/>
                <w:sz w:val="17"/>
              </w:rPr>
              <w:t>Scale Steps SHALL expose their quantitative boundaries sufficiently to reproduce their resolution.</w:t>
            </w:r>
          </w:p>
        </w:tc>
      </w:tr>
      <w:tr w:rsidR="00360219" w14:paraId="20EED759" w14:textId="77777777">
        <w:trPr>
          <w:cantSplit/>
          <w:jc w:val="center"/>
        </w:trPr>
        <w:tc>
          <w:tcPr>
            <w:tcW w:w="1152" w:type="dxa"/>
            <w:tcMar>
              <w:top w:w="100" w:type="dxa"/>
              <w:left w:w="110" w:type="dxa"/>
              <w:bottom w:w="100" w:type="dxa"/>
              <w:right w:w="110" w:type="dxa"/>
            </w:tcMar>
            <w:vAlign w:val="center"/>
          </w:tcPr>
          <w:p w14:paraId="434F2C8C" w14:textId="77777777" w:rsidR="00360219" w:rsidRDefault="003015F4">
            <w:pPr>
              <w:spacing w:after="0" w:line="252" w:lineRule="auto"/>
              <w:jc w:val="center"/>
            </w:pPr>
            <w:r>
              <w:rPr>
                <w:b/>
                <w:color w:val="172033"/>
                <w:sz w:val="17"/>
              </w:rPr>
              <w:t>NPG-L10</w:t>
            </w:r>
          </w:p>
        </w:tc>
        <w:tc>
          <w:tcPr>
            <w:tcW w:w="2232" w:type="dxa"/>
            <w:tcMar>
              <w:top w:w="100" w:type="dxa"/>
              <w:left w:w="110" w:type="dxa"/>
              <w:bottom w:w="100" w:type="dxa"/>
              <w:right w:w="110" w:type="dxa"/>
            </w:tcMar>
            <w:vAlign w:val="center"/>
          </w:tcPr>
          <w:p w14:paraId="4F6CE082" w14:textId="77777777" w:rsidR="00360219" w:rsidRDefault="003015F4">
            <w:pPr>
              <w:spacing w:after="0" w:line="252" w:lineRule="auto"/>
            </w:pPr>
            <w:r>
              <w:rPr>
                <w:color w:val="172033"/>
                <w:sz w:val="17"/>
              </w:rPr>
              <w:t>Color Is Projection</w:t>
            </w:r>
          </w:p>
        </w:tc>
        <w:tc>
          <w:tcPr>
            <w:tcW w:w="6263" w:type="dxa"/>
            <w:tcMar>
              <w:top w:w="100" w:type="dxa"/>
              <w:left w:w="110" w:type="dxa"/>
              <w:bottom w:w="100" w:type="dxa"/>
              <w:right w:w="110" w:type="dxa"/>
            </w:tcMar>
            <w:vAlign w:val="center"/>
          </w:tcPr>
          <w:p w14:paraId="1EEDB96A" w14:textId="77777777" w:rsidR="00360219" w:rsidRDefault="003015F4">
            <w:pPr>
              <w:spacing w:after="0" w:line="252" w:lineRule="auto"/>
            </w:pPr>
            <w:r>
              <w:rPr>
                <w:color w:val="172033"/>
                <w:sz w:val="17"/>
              </w:rPr>
              <w:t>Step color SHALL NOT be treated as intrinsic physical meaning of the normalized Quantity.</w:t>
            </w:r>
          </w:p>
        </w:tc>
      </w:tr>
      <w:tr w:rsidR="00360219" w14:paraId="5A1E3A64" w14:textId="77777777">
        <w:trPr>
          <w:cantSplit/>
          <w:jc w:val="center"/>
        </w:trPr>
        <w:tc>
          <w:tcPr>
            <w:tcW w:w="1152" w:type="dxa"/>
            <w:tcMar>
              <w:top w:w="100" w:type="dxa"/>
              <w:left w:w="110" w:type="dxa"/>
              <w:bottom w:w="100" w:type="dxa"/>
              <w:right w:w="110" w:type="dxa"/>
            </w:tcMar>
            <w:vAlign w:val="center"/>
          </w:tcPr>
          <w:p w14:paraId="05C841E2" w14:textId="77777777" w:rsidR="00360219" w:rsidRDefault="003015F4">
            <w:pPr>
              <w:spacing w:after="0" w:line="252" w:lineRule="auto"/>
              <w:jc w:val="center"/>
            </w:pPr>
            <w:r>
              <w:rPr>
                <w:b/>
                <w:color w:val="172033"/>
                <w:sz w:val="17"/>
              </w:rPr>
              <w:t>NPG-L11</w:t>
            </w:r>
          </w:p>
        </w:tc>
        <w:tc>
          <w:tcPr>
            <w:tcW w:w="2232" w:type="dxa"/>
            <w:tcMar>
              <w:top w:w="100" w:type="dxa"/>
              <w:left w:w="110" w:type="dxa"/>
              <w:bottom w:w="100" w:type="dxa"/>
              <w:right w:w="110" w:type="dxa"/>
            </w:tcMar>
            <w:vAlign w:val="center"/>
          </w:tcPr>
          <w:p w14:paraId="6E9438B1" w14:textId="77777777" w:rsidR="00360219" w:rsidRDefault="003015F4">
            <w:pPr>
              <w:spacing w:after="0" w:line="252" w:lineRule="auto"/>
            </w:pPr>
            <w:r>
              <w:rPr>
                <w:color w:val="172033"/>
                <w:sz w:val="17"/>
              </w:rPr>
              <w:t>Stateful Logic Declaration</w:t>
            </w:r>
          </w:p>
        </w:tc>
        <w:tc>
          <w:tcPr>
            <w:tcW w:w="6263" w:type="dxa"/>
            <w:tcMar>
              <w:top w:w="100" w:type="dxa"/>
              <w:left w:w="110" w:type="dxa"/>
              <w:bottom w:w="100" w:type="dxa"/>
              <w:right w:w="110" w:type="dxa"/>
            </w:tcMar>
            <w:vAlign w:val="center"/>
          </w:tcPr>
          <w:p w14:paraId="474FC3FA" w14:textId="77777777" w:rsidR="00360219" w:rsidRDefault="003015F4">
            <w:pPr>
              <w:spacing w:after="0" w:line="252" w:lineRule="auto"/>
            </w:pPr>
            <w:r>
              <w:rPr>
                <w:color w:val="172033"/>
                <w:sz w:val="17"/>
              </w:rPr>
              <w:t>Gates, hysteresis, persistence, smoothing, and transition logic SHALL remain explicit.</w:t>
            </w:r>
          </w:p>
        </w:tc>
      </w:tr>
      <w:tr w:rsidR="00360219" w14:paraId="6F9A00EB" w14:textId="77777777">
        <w:trPr>
          <w:cantSplit/>
          <w:jc w:val="center"/>
        </w:trPr>
        <w:tc>
          <w:tcPr>
            <w:tcW w:w="1152" w:type="dxa"/>
            <w:tcMar>
              <w:top w:w="100" w:type="dxa"/>
              <w:left w:w="110" w:type="dxa"/>
              <w:bottom w:w="100" w:type="dxa"/>
              <w:right w:w="110" w:type="dxa"/>
            </w:tcMar>
            <w:vAlign w:val="center"/>
          </w:tcPr>
          <w:p w14:paraId="54B2EFBC" w14:textId="77777777" w:rsidR="00360219" w:rsidRDefault="003015F4">
            <w:pPr>
              <w:spacing w:after="0" w:line="252" w:lineRule="auto"/>
              <w:jc w:val="center"/>
            </w:pPr>
            <w:r>
              <w:rPr>
                <w:b/>
                <w:color w:val="172033"/>
                <w:sz w:val="17"/>
              </w:rPr>
              <w:t>NPG-L12</w:t>
            </w:r>
          </w:p>
        </w:tc>
        <w:tc>
          <w:tcPr>
            <w:tcW w:w="2232" w:type="dxa"/>
            <w:tcMar>
              <w:top w:w="100" w:type="dxa"/>
              <w:left w:w="110" w:type="dxa"/>
              <w:bottom w:w="100" w:type="dxa"/>
              <w:right w:w="110" w:type="dxa"/>
            </w:tcMar>
            <w:vAlign w:val="center"/>
          </w:tcPr>
          <w:p w14:paraId="6FA3DE3A" w14:textId="77777777" w:rsidR="00360219" w:rsidRDefault="003015F4">
            <w:pPr>
              <w:spacing w:after="0" w:line="252" w:lineRule="auto"/>
            </w:pPr>
            <w:r>
              <w:rPr>
                <w:color w:val="172033"/>
                <w:sz w:val="17"/>
              </w:rPr>
              <w:t>Null Integrity</w:t>
            </w:r>
          </w:p>
        </w:tc>
        <w:tc>
          <w:tcPr>
            <w:tcW w:w="6263" w:type="dxa"/>
            <w:tcMar>
              <w:top w:w="100" w:type="dxa"/>
              <w:left w:w="110" w:type="dxa"/>
              <w:bottom w:w="100" w:type="dxa"/>
              <w:right w:w="110" w:type="dxa"/>
            </w:tcMar>
            <w:vAlign w:val="center"/>
          </w:tcPr>
          <w:p w14:paraId="7C915C97" w14:textId="77777777" w:rsidR="00360219" w:rsidRDefault="003015F4">
            <w:pPr>
              <w:spacing w:after="0" w:line="252" w:lineRule="auto"/>
            </w:pPr>
            <w:r>
              <w:rPr>
                <w:color w:val="172033"/>
                <w:sz w:val="17"/>
              </w:rPr>
              <w:t>Numeric zero SHALL NOT silently represent missing, unknown, invalid, undetected, or inapplicable state.</w:t>
            </w:r>
          </w:p>
        </w:tc>
      </w:tr>
      <w:tr w:rsidR="00360219" w14:paraId="09848831" w14:textId="77777777">
        <w:trPr>
          <w:cantSplit/>
          <w:jc w:val="center"/>
        </w:trPr>
        <w:tc>
          <w:tcPr>
            <w:tcW w:w="1152" w:type="dxa"/>
            <w:tcMar>
              <w:top w:w="100" w:type="dxa"/>
              <w:left w:w="110" w:type="dxa"/>
              <w:bottom w:w="100" w:type="dxa"/>
              <w:right w:w="110" w:type="dxa"/>
            </w:tcMar>
            <w:vAlign w:val="center"/>
          </w:tcPr>
          <w:p w14:paraId="02221F27" w14:textId="77777777" w:rsidR="00360219" w:rsidRDefault="003015F4">
            <w:pPr>
              <w:spacing w:after="0" w:line="252" w:lineRule="auto"/>
              <w:jc w:val="center"/>
            </w:pPr>
            <w:r>
              <w:rPr>
                <w:b/>
                <w:color w:val="172033"/>
                <w:sz w:val="17"/>
              </w:rPr>
              <w:t>NPG-L13</w:t>
            </w:r>
          </w:p>
        </w:tc>
        <w:tc>
          <w:tcPr>
            <w:tcW w:w="2232" w:type="dxa"/>
            <w:tcMar>
              <w:top w:w="100" w:type="dxa"/>
              <w:left w:w="110" w:type="dxa"/>
              <w:bottom w:w="100" w:type="dxa"/>
              <w:right w:w="110" w:type="dxa"/>
            </w:tcMar>
            <w:vAlign w:val="center"/>
          </w:tcPr>
          <w:p w14:paraId="7211BE4E" w14:textId="77777777" w:rsidR="00360219" w:rsidRDefault="003015F4">
            <w:pPr>
              <w:spacing w:after="0" w:line="252" w:lineRule="auto"/>
            </w:pPr>
            <w:r>
              <w:rPr>
                <w:color w:val="172033"/>
                <w:sz w:val="17"/>
              </w:rPr>
              <w:t>Overflow Visibility</w:t>
            </w:r>
          </w:p>
        </w:tc>
        <w:tc>
          <w:tcPr>
            <w:tcW w:w="6263" w:type="dxa"/>
            <w:tcMar>
              <w:top w:w="100" w:type="dxa"/>
              <w:left w:w="110" w:type="dxa"/>
              <w:bottom w:w="100" w:type="dxa"/>
              <w:right w:w="110" w:type="dxa"/>
            </w:tcMar>
            <w:vAlign w:val="center"/>
          </w:tcPr>
          <w:p w14:paraId="2DBEBDCF" w14:textId="77777777" w:rsidR="00360219" w:rsidRDefault="003015F4">
            <w:pPr>
              <w:spacing w:after="0" w:line="252" w:lineRule="auto"/>
            </w:pPr>
            <w:r>
              <w:rPr>
                <w:color w:val="172033"/>
                <w:sz w:val="17"/>
              </w:rPr>
              <w:t>Clamping or saturation SHALL NOT silently erase evidence that the raw state exceeded the declared domain.</w:t>
            </w:r>
          </w:p>
        </w:tc>
      </w:tr>
      <w:tr w:rsidR="00360219" w14:paraId="3BC5139A" w14:textId="77777777">
        <w:trPr>
          <w:cantSplit/>
          <w:jc w:val="center"/>
        </w:trPr>
        <w:tc>
          <w:tcPr>
            <w:tcW w:w="1152" w:type="dxa"/>
            <w:tcMar>
              <w:top w:w="100" w:type="dxa"/>
              <w:left w:w="110" w:type="dxa"/>
              <w:bottom w:w="100" w:type="dxa"/>
              <w:right w:w="110" w:type="dxa"/>
            </w:tcMar>
            <w:vAlign w:val="center"/>
          </w:tcPr>
          <w:p w14:paraId="3C69790C" w14:textId="77777777" w:rsidR="00360219" w:rsidRDefault="003015F4">
            <w:pPr>
              <w:spacing w:after="0" w:line="252" w:lineRule="auto"/>
              <w:jc w:val="center"/>
            </w:pPr>
            <w:r>
              <w:rPr>
                <w:b/>
                <w:color w:val="172033"/>
                <w:sz w:val="17"/>
              </w:rPr>
              <w:t>NPG-L14</w:t>
            </w:r>
          </w:p>
        </w:tc>
        <w:tc>
          <w:tcPr>
            <w:tcW w:w="2232" w:type="dxa"/>
            <w:tcMar>
              <w:top w:w="100" w:type="dxa"/>
              <w:left w:w="110" w:type="dxa"/>
              <w:bottom w:w="100" w:type="dxa"/>
              <w:right w:w="110" w:type="dxa"/>
            </w:tcMar>
            <w:vAlign w:val="center"/>
          </w:tcPr>
          <w:p w14:paraId="35559282" w14:textId="77777777" w:rsidR="00360219" w:rsidRDefault="003015F4">
            <w:pPr>
              <w:spacing w:after="0" w:line="252" w:lineRule="auto"/>
            </w:pPr>
            <w:r>
              <w:rPr>
                <w:color w:val="172033"/>
                <w:sz w:val="17"/>
              </w:rPr>
              <w:t>Precision Integrity</w:t>
            </w:r>
          </w:p>
        </w:tc>
        <w:tc>
          <w:tcPr>
            <w:tcW w:w="6263" w:type="dxa"/>
            <w:tcMar>
              <w:top w:w="100" w:type="dxa"/>
              <w:left w:w="110" w:type="dxa"/>
              <w:bottom w:w="100" w:type="dxa"/>
              <w:right w:w="110" w:type="dxa"/>
            </w:tcMar>
            <w:vAlign w:val="center"/>
          </w:tcPr>
          <w:p w14:paraId="2EE25434" w14:textId="77777777" w:rsidR="00360219" w:rsidRDefault="003015F4">
            <w:pPr>
              <w:spacing w:after="0" w:line="252" w:lineRule="auto"/>
            </w:pPr>
            <w:r>
              <w:rPr>
                <w:color w:val="172033"/>
                <w:sz w:val="17"/>
              </w:rPr>
              <w:t>Normalization SHALL NOT claim greater semantic precision than its source and Model justify.</w:t>
            </w:r>
          </w:p>
        </w:tc>
      </w:tr>
      <w:tr w:rsidR="00360219" w14:paraId="6F608E4E" w14:textId="77777777">
        <w:trPr>
          <w:cantSplit/>
          <w:jc w:val="center"/>
        </w:trPr>
        <w:tc>
          <w:tcPr>
            <w:tcW w:w="1152" w:type="dxa"/>
            <w:tcMar>
              <w:top w:w="100" w:type="dxa"/>
              <w:left w:w="110" w:type="dxa"/>
              <w:bottom w:w="100" w:type="dxa"/>
              <w:right w:w="110" w:type="dxa"/>
            </w:tcMar>
            <w:vAlign w:val="center"/>
          </w:tcPr>
          <w:p w14:paraId="128DC414" w14:textId="77777777" w:rsidR="00360219" w:rsidRDefault="003015F4">
            <w:pPr>
              <w:spacing w:after="0" w:line="252" w:lineRule="auto"/>
              <w:jc w:val="center"/>
            </w:pPr>
            <w:r>
              <w:rPr>
                <w:b/>
                <w:color w:val="172033"/>
                <w:sz w:val="17"/>
              </w:rPr>
              <w:t>NPG-L15</w:t>
            </w:r>
          </w:p>
        </w:tc>
        <w:tc>
          <w:tcPr>
            <w:tcW w:w="2232" w:type="dxa"/>
            <w:tcMar>
              <w:top w:w="100" w:type="dxa"/>
              <w:left w:w="110" w:type="dxa"/>
              <w:bottom w:w="100" w:type="dxa"/>
              <w:right w:w="110" w:type="dxa"/>
            </w:tcMar>
            <w:vAlign w:val="center"/>
          </w:tcPr>
          <w:p w14:paraId="63A7F187" w14:textId="77777777" w:rsidR="00360219" w:rsidRDefault="003015F4">
            <w:pPr>
              <w:spacing w:after="0" w:line="252" w:lineRule="auto"/>
            </w:pPr>
            <w:r>
              <w:rPr>
                <w:color w:val="172033"/>
                <w:sz w:val="17"/>
              </w:rPr>
              <w:t>Transform Separation</w:t>
            </w:r>
          </w:p>
        </w:tc>
        <w:tc>
          <w:tcPr>
            <w:tcW w:w="6263" w:type="dxa"/>
            <w:tcMar>
              <w:top w:w="100" w:type="dxa"/>
              <w:left w:w="110" w:type="dxa"/>
              <w:bottom w:w="100" w:type="dxa"/>
              <w:right w:w="110" w:type="dxa"/>
            </w:tcMar>
            <w:vAlign w:val="center"/>
          </w:tcPr>
          <w:p w14:paraId="3CE9C613" w14:textId="77777777" w:rsidR="00360219" w:rsidRDefault="003015F4">
            <w:pPr>
              <w:spacing w:after="0" w:line="252" w:lineRule="auto"/>
            </w:pPr>
            <w:r>
              <w:rPr>
                <w:color w:val="172033"/>
                <w:sz w:val="17"/>
              </w:rPr>
              <w:t>The Normalization Table owns raw-to-normalized ingress. The Transform Matrix owns declared normalized correspondence.</w:t>
            </w:r>
          </w:p>
        </w:tc>
      </w:tr>
      <w:tr w:rsidR="00360219" w14:paraId="5715070A" w14:textId="77777777">
        <w:trPr>
          <w:cantSplit/>
          <w:jc w:val="center"/>
        </w:trPr>
        <w:tc>
          <w:tcPr>
            <w:tcW w:w="1152" w:type="dxa"/>
            <w:tcMar>
              <w:top w:w="100" w:type="dxa"/>
              <w:left w:w="110" w:type="dxa"/>
              <w:bottom w:w="100" w:type="dxa"/>
              <w:right w:w="110" w:type="dxa"/>
            </w:tcMar>
            <w:vAlign w:val="center"/>
          </w:tcPr>
          <w:p w14:paraId="66404A82" w14:textId="77777777" w:rsidR="00360219" w:rsidRDefault="003015F4">
            <w:pPr>
              <w:spacing w:after="0" w:line="252" w:lineRule="auto"/>
              <w:jc w:val="center"/>
            </w:pPr>
            <w:r>
              <w:rPr>
                <w:b/>
                <w:color w:val="172033"/>
                <w:sz w:val="17"/>
              </w:rPr>
              <w:t>NPG-L16</w:t>
            </w:r>
          </w:p>
        </w:tc>
        <w:tc>
          <w:tcPr>
            <w:tcW w:w="2232" w:type="dxa"/>
            <w:tcMar>
              <w:top w:w="100" w:type="dxa"/>
              <w:left w:w="110" w:type="dxa"/>
              <w:bottom w:w="100" w:type="dxa"/>
              <w:right w:w="110" w:type="dxa"/>
            </w:tcMar>
            <w:vAlign w:val="center"/>
          </w:tcPr>
          <w:p w14:paraId="4B7746F3" w14:textId="77777777" w:rsidR="00360219" w:rsidRDefault="003015F4">
            <w:pPr>
              <w:spacing w:after="0" w:line="252" w:lineRule="auto"/>
            </w:pPr>
            <w:r>
              <w:rPr>
                <w:color w:val="172033"/>
                <w:sz w:val="17"/>
              </w:rPr>
              <w:t>Compatibility Is Not Equivalence</w:t>
            </w:r>
          </w:p>
        </w:tc>
        <w:tc>
          <w:tcPr>
            <w:tcW w:w="6263" w:type="dxa"/>
            <w:tcMar>
              <w:top w:w="100" w:type="dxa"/>
              <w:left w:w="110" w:type="dxa"/>
              <w:bottom w:w="100" w:type="dxa"/>
              <w:right w:w="110" w:type="dxa"/>
            </w:tcMar>
            <w:vAlign w:val="center"/>
          </w:tcPr>
          <w:p w14:paraId="39E9BD6E" w14:textId="77777777" w:rsidR="00360219" w:rsidRDefault="003015F4">
            <w:pPr>
              <w:spacing w:after="0" w:line="252" w:lineRule="auto"/>
            </w:pPr>
            <w:r>
              <w:rPr>
                <w:color w:val="172033"/>
                <w:sz w:val="17"/>
              </w:rPr>
              <w:t>A shared 0-100 coordinate permits mathematical interoperability; it does not establish semantic equivalence.</w:t>
            </w:r>
          </w:p>
        </w:tc>
      </w:tr>
      <w:tr w:rsidR="00360219" w14:paraId="7C3959A6" w14:textId="77777777">
        <w:trPr>
          <w:cantSplit/>
          <w:jc w:val="center"/>
        </w:trPr>
        <w:tc>
          <w:tcPr>
            <w:tcW w:w="1152" w:type="dxa"/>
            <w:tcMar>
              <w:top w:w="100" w:type="dxa"/>
              <w:left w:w="110" w:type="dxa"/>
              <w:bottom w:w="100" w:type="dxa"/>
              <w:right w:w="110" w:type="dxa"/>
            </w:tcMar>
            <w:vAlign w:val="center"/>
          </w:tcPr>
          <w:p w14:paraId="5CBC01EB" w14:textId="77777777" w:rsidR="00360219" w:rsidRDefault="003015F4">
            <w:pPr>
              <w:spacing w:after="0" w:line="252" w:lineRule="auto"/>
              <w:jc w:val="center"/>
            </w:pPr>
            <w:r>
              <w:rPr>
                <w:b/>
                <w:color w:val="172033"/>
                <w:sz w:val="17"/>
              </w:rPr>
              <w:t>NPG-L17</w:t>
            </w:r>
          </w:p>
        </w:tc>
        <w:tc>
          <w:tcPr>
            <w:tcW w:w="2232" w:type="dxa"/>
            <w:tcMar>
              <w:top w:w="100" w:type="dxa"/>
              <w:left w:w="110" w:type="dxa"/>
              <w:bottom w:w="100" w:type="dxa"/>
              <w:right w:w="110" w:type="dxa"/>
            </w:tcMar>
            <w:vAlign w:val="center"/>
          </w:tcPr>
          <w:p w14:paraId="33A274CE" w14:textId="77777777" w:rsidR="00360219" w:rsidRDefault="003015F4">
            <w:pPr>
              <w:spacing w:after="0" w:line="252" w:lineRule="auto"/>
            </w:pPr>
            <w:r>
              <w:rPr>
                <w:color w:val="172033"/>
                <w:sz w:val="17"/>
              </w:rPr>
              <w:t>Registered Transformation</w:t>
            </w:r>
          </w:p>
        </w:tc>
        <w:tc>
          <w:tcPr>
            <w:tcW w:w="6263" w:type="dxa"/>
            <w:tcMar>
              <w:top w:w="100" w:type="dxa"/>
              <w:left w:w="110" w:type="dxa"/>
              <w:bottom w:w="100" w:type="dxa"/>
              <w:right w:w="110" w:type="dxa"/>
            </w:tcMar>
            <w:vAlign w:val="center"/>
          </w:tcPr>
          <w:p w14:paraId="7A67D3E8" w14:textId="77777777" w:rsidR="00360219" w:rsidRDefault="003015F4">
            <w:pPr>
              <w:spacing w:after="0" w:line="252" w:lineRule="auto"/>
            </w:pPr>
            <w:r>
              <w:rPr>
                <w:color w:val="172033"/>
                <w:sz w:val="17"/>
              </w:rPr>
              <w:t>Cross-perception mapping SHALL require a declared Transform rather than inferred correspondence from numeric similarity.</w:t>
            </w:r>
          </w:p>
        </w:tc>
      </w:tr>
      <w:tr w:rsidR="00360219" w14:paraId="3AFE7335" w14:textId="77777777">
        <w:trPr>
          <w:cantSplit/>
          <w:jc w:val="center"/>
        </w:trPr>
        <w:tc>
          <w:tcPr>
            <w:tcW w:w="1152" w:type="dxa"/>
            <w:tcMar>
              <w:top w:w="100" w:type="dxa"/>
              <w:left w:w="110" w:type="dxa"/>
              <w:bottom w:w="100" w:type="dxa"/>
              <w:right w:w="110" w:type="dxa"/>
            </w:tcMar>
            <w:vAlign w:val="center"/>
          </w:tcPr>
          <w:p w14:paraId="3F312493" w14:textId="77777777" w:rsidR="00360219" w:rsidRDefault="003015F4">
            <w:pPr>
              <w:spacing w:after="0" w:line="252" w:lineRule="auto"/>
              <w:jc w:val="center"/>
            </w:pPr>
            <w:r>
              <w:rPr>
                <w:b/>
                <w:color w:val="172033"/>
                <w:sz w:val="17"/>
              </w:rPr>
              <w:t>NPG-L18</w:t>
            </w:r>
          </w:p>
        </w:tc>
        <w:tc>
          <w:tcPr>
            <w:tcW w:w="2232" w:type="dxa"/>
            <w:tcMar>
              <w:top w:w="100" w:type="dxa"/>
              <w:left w:w="110" w:type="dxa"/>
              <w:bottom w:w="100" w:type="dxa"/>
              <w:right w:w="110" w:type="dxa"/>
            </w:tcMar>
            <w:vAlign w:val="center"/>
          </w:tcPr>
          <w:p w14:paraId="5B54EB33" w14:textId="77777777" w:rsidR="00360219" w:rsidRDefault="003015F4">
            <w:pPr>
              <w:spacing w:after="0" w:line="252" w:lineRule="auto"/>
            </w:pPr>
            <w:r>
              <w:rPr>
                <w:color w:val="172033"/>
                <w:sz w:val="17"/>
              </w:rPr>
              <w:t>Mask Non-Override</w:t>
            </w:r>
          </w:p>
        </w:tc>
        <w:tc>
          <w:tcPr>
            <w:tcW w:w="6263" w:type="dxa"/>
            <w:tcMar>
              <w:top w:w="100" w:type="dxa"/>
              <w:left w:w="110" w:type="dxa"/>
              <w:bottom w:w="100" w:type="dxa"/>
              <w:right w:w="110" w:type="dxa"/>
            </w:tcMar>
            <w:vAlign w:val="center"/>
          </w:tcPr>
          <w:p w14:paraId="63CFEE86" w14:textId="77777777" w:rsidR="00360219" w:rsidRDefault="003015F4">
            <w:pPr>
              <w:spacing w:after="0" w:line="252" w:lineRule="auto"/>
            </w:pPr>
            <w:r>
              <w:rPr>
                <w:color w:val="172033"/>
                <w:sz w:val="17"/>
              </w:rPr>
              <w:t>Semantic or observer Masks SHALL NOT rewrite raw state, Normalization Scale mathematics, or normalized canonical state.</w:t>
            </w:r>
          </w:p>
        </w:tc>
      </w:tr>
      <w:tr w:rsidR="00360219" w14:paraId="02BAC69B" w14:textId="77777777">
        <w:trPr>
          <w:cantSplit/>
          <w:jc w:val="center"/>
        </w:trPr>
        <w:tc>
          <w:tcPr>
            <w:tcW w:w="1152" w:type="dxa"/>
            <w:tcMar>
              <w:top w:w="100" w:type="dxa"/>
              <w:left w:w="110" w:type="dxa"/>
              <w:bottom w:w="100" w:type="dxa"/>
              <w:right w:w="110" w:type="dxa"/>
            </w:tcMar>
            <w:vAlign w:val="center"/>
          </w:tcPr>
          <w:p w14:paraId="4E967AA4" w14:textId="77777777" w:rsidR="00360219" w:rsidRDefault="003015F4">
            <w:pPr>
              <w:spacing w:after="0" w:line="252" w:lineRule="auto"/>
              <w:jc w:val="center"/>
            </w:pPr>
            <w:r>
              <w:rPr>
                <w:b/>
                <w:color w:val="172033"/>
                <w:sz w:val="17"/>
              </w:rPr>
              <w:t>NPG-L19</w:t>
            </w:r>
          </w:p>
        </w:tc>
        <w:tc>
          <w:tcPr>
            <w:tcW w:w="2232" w:type="dxa"/>
            <w:tcMar>
              <w:top w:w="100" w:type="dxa"/>
              <w:left w:w="110" w:type="dxa"/>
              <w:bottom w:w="100" w:type="dxa"/>
              <w:right w:w="110" w:type="dxa"/>
            </w:tcMar>
            <w:vAlign w:val="center"/>
          </w:tcPr>
          <w:p w14:paraId="7DEBBCDE" w14:textId="77777777" w:rsidR="00360219" w:rsidRDefault="003015F4">
            <w:pPr>
              <w:spacing w:after="0" w:line="252" w:lineRule="auto"/>
            </w:pPr>
            <w:r>
              <w:rPr>
                <w:color w:val="172033"/>
                <w:sz w:val="17"/>
              </w:rPr>
              <w:t>Observer Scope</w:t>
            </w:r>
          </w:p>
        </w:tc>
        <w:tc>
          <w:tcPr>
            <w:tcW w:w="6263" w:type="dxa"/>
            <w:tcMar>
              <w:top w:w="100" w:type="dxa"/>
              <w:left w:w="110" w:type="dxa"/>
              <w:bottom w:w="100" w:type="dxa"/>
              <w:right w:w="110" w:type="dxa"/>
            </w:tcMar>
            <w:vAlign w:val="center"/>
          </w:tcPr>
          <w:p w14:paraId="57B981F0" w14:textId="77777777" w:rsidR="00360219" w:rsidRDefault="003015F4">
            <w:pPr>
              <w:spacing w:after="0" w:line="252" w:lineRule="auto"/>
            </w:pPr>
            <w:r>
              <w:rPr>
                <w:color w:val="172033"/>
                <w:sz w:val="17"/>
              </w:rPr>
              <w:t>Human semantic interpretation SHALL remain scoped to the applicable observer, group, culture, task, or context.</w:t>
            </w:r>
          </w:p>
        </w:tc>
      </w:tr>
      <w:tr w:rsidR="00360219" w14:paraId="64A79CBD" w14:textId="77777777">
        <w:trPr>
          <w:cantSplit/>
          <w:jc w:val="center"/>
        </w:trPr>
        <w:tc>
          <w:tcPr>
            <w:tcW w:w="1152" w:type="dxa"/>
            <w:tcMar>
              <w:top w:w="100" w:type="dxa"/>
              <w:left w:w="110" w:type="dxa"/>
              <w:bottom w:w="100" w:type="dxa"/>
              <w:right w:w="110" w:type="dxa"/>
            </w:tcMar>
            <w:vAlign w:val="center"/>
          </w:tcPr>
          <w:p w14:paraId="5261E9CC" w14:textId="77777777" w:rsidR="00360219" w:rsidRDefault="003015F4">
            <w:pPr>
              <w:spacing w:after="0" w:line="252" w:lineRule="auto"/>
              <w:jc w:val="center"/>
            </w:pPr>
            <w:r>
              <w:rPr>
                <w:b/>
                <w:color w:val="172033"/>
                <w:sz w:val="17"/>
              </w:rPr>
              <w:t>NPG-L20</w:t>
            </w:r>
          </w:p>
        </w:tc>
        <w:tc>
          <w:tcPr>
            <w:tcW w:w="2232" w:type="dxa"/>
            <w:tcMar>
              <w:top w:w="100" w:type="dxa"/>
              <w:left w:w="110" w:type="dxa"/>
              <w:bottom w:w="100" w:type="dxa"/>
              <w:right w:w="110" w:type="dxa"/>
            </w:tcMar>
            <w:vAlign w:val="center"/>
          </w:tcPr>
          <w:p w14:paraId="11530783" w14:textId="77777777" w:rsidR="00360219" w:rsidRDefault="003015F4">
            <w:pPr>
              <w:spacing w:after="0" w:line="252" w:lineRule="auto"/>
            </w:pPr>
            <w:r>
              <w:rPr>
                <w:color w:val="172033"/>
                <w:sz w:val="17"/>
              </w:rPr>
              <w:t>Quantification Is Earned</w:t>
            </w:r>
          </w:p>
        </w:tc>
        <w:tc>
          <w:tcPr>
            <w:tcW w:w="6263" w:type="dxa"/>
            <w:tcMar>
              <w:top w:w="100" w:type="dxa"/>
              <w:left w:w="110" w:type="dxa"/>
              <w:bottom w:w="100" w:type="dxa"/>
              <w:right w:w="110" w:type="dxa"/>
            </w:tcMar>
            <w:vAlign w:val="center"/>
          </w:tcPr>
          <w:p w14:paraId="3953F33F" w14:textId="77777777" w:rsidR="00360219" w:rsidRDefault="003015F4">
            <w:pPr>
              <w:spacing w:after="0" w:line="252" w:lineRule="auto"/>
            </w:pPr>
            <w:r>
              <w:rPr>
                <w:color w:val="172033"/>
                <w:sz w:val="17"/>
              </w:rPr>
              <w:t>A semantic distinction SHALL remain Masked or unresolved when no defensible quantitative Model exists.</w:t>
            </w:r>
          </w:p>
        </w:tc>
      </w:tr>
      <w:tr w:rsidR="00360219" w14:paraId="0B5FC8CC" w14:textId="77777777">
        <w:trPr>
          <w:cantSplit/>
          <w:jc w:val="center"/>
        </w:trPr>
        <w:tc>
          <w:tcPr>
            <w:tcW w:w="1152" w:type="dxa"/>
            <w:tcMar>
              <w:top w:w="100" w:type="dxa"/>
              <w:left w:w="110" w:type="dxa"/>
              <w:bottom w:w="100" w:type="dxa"/>
              <w:right w:w="110" w:type="dxa"/>
            </w:tcMar>
            <w:vAlign w:val="center"/>
          </w:tcPr>
          <w:p w14:paraId="0D34EB3C" w14:textId="77777777" w:rsidR="00360219" w:rsidRDefault="003015F4">
            <w:pPr>
              <w:spacing w:after="0" w:line="252" w:lineRule="auto"/>
              <w:jc w:val="center"/>
            </w:pPr>
            <w:r>
              <w:rPr>
                <w:b/>
                <w:color w:val="172033"/>
                <w:sz w:val="17"/>
              </w:rPr>
              <w:t>NPG-L21</w:t>
            </w:r>
          </w:p>
        </w:tc>
        <w:tc>
          <w:tcPr>
            <w:tcW w:w="2232" w:type="dxa"/>
            <w:tcMar>
              <w:top w:w="100" w:type="dxa"/>
              <w:left w:w="110" w:type="dxa"/>
              <w:bottom w:w="100" w:type="dxa"/>
              <w:right w:w="110" w:type="dxa"/>
            </w:tcMar>
            <w:vAlign w:val="center"/>
          </w:tcPr>
          <w:p w14:paraId="423117D7" w14:textId="77777777" w:rsidR="00360219" w:rsidRDefault="003015F4">
            <w:pPr>
              <w:spacing w:after="0" w:line="252" w:lineRule="auto"/>
            </w:pPr>
            <w:r>
              <w:rPr>
                <w:color w:val="172033"/>
                <w:sz w:val="17"/>
              </w:rPr>
              <w:t>Evidence-Based Promotion</w:t>
            </w:r>
          </w:p>
        </w:tc>
        <w:tc>
          <w:tcPr>
            <w:tcW w:w="6263" w:type="dxa"/>
            <w:tcMar>
              <w:top w:w="100" w:type="dxa"/>
              <w:left w:w="110" w:type="dxa"/>
              <w:bottom w:w="100" w:type="dxa"/>
              <w:right w:w="110" w:type="dxa"/>
            </w:tcMar>
            <w:vAlign w:val="center"/>
          </w:tcPr>
          <w:p w14:paraId="706C7209" w14:textId="77777777" w:rsidR="00360219" w:rsidRDefault="003015F4">
            <w:pPr>
              <w:spacing w:after="0" w:line="252" w:lineRule="auto"/>
            </w:pPr>
            <w:r>
              <w:rPr>
                <w:color w:val="172033"/>
                <w:sz w:val="17"/>
              </w:rPr>
              <w:t>A Mask MAY become a mathematical Model only through explicit evidence, governance, and versioning.</w:t>
            </w:r>
          </w:p>
        </w:tc>
      </w:tr>
      <w:tr w:rsidR="00360219" w14:paraId="4B644EAE" w14:textId="77777777">
        <w:trPr>
          <w:cantSplit/>
          <w:jc w:val="center"/>
        </w:trPr>
        <w:tc>
          <w:tcPr>
            <w:tcW w:w="1152" w:type="dxa"/>
            <w:tcMar>
              <w:top w:w="100" w:type="dxa"/>
              <w:left w:w="110" w:type="dxa"/>
              <w:bottom w:w="100" w:type="dxa"/>
              <w:right w:w="110" w:type="dxa"/>
            </w:tcMar>
            <w:vAlign w:val="center"/>
          </w:tcPr>
          <w:p w14:paraId="74A6E172" w14:textId="77777777" w:rsidR="00360219" w:rsidRDefault="003015F4">
            <w:pPr>
              <w:spacing w:after="0" w:line="252" w:lineRule="auto"/>
              <w:jc w:val="center"/>
            </w:pPr>
            <w:r>
              <w:rPr>
                <w:b/>
                <w:color w:val="172033"/>
                <w:sz w:val="17"/>
              </w:rPr>
              <w:t>NPG-L22</w:t>
            </w:r>
          </w:p>
        </w:tc>
        <w:tc>
          <w:tcPr>
            <w:tcW w:w="2232" w:type="dxa"/>
            <w:tcMar>
              <w:top w:w="100" w:type="dxa"/>
              <w:left w:w="110" w:type="dxa"/>
              <w:bottom w:w="100" w:type="dxa"/>
              <w:right w:w="110" w:type="dxa"/>
            </w:tcMar>
            <w:vAlign w:val="center"/>
          </w:tcPr>
          <w:p w14:paraId="4123BA1D" w14:textId="77777777" w:rsidR="00360219" w:rsidRDefault="003015F4">
            <w:pPr>
              <w:spacing w:after="0" w:line="252" w:lineRule="auto"/>
            </w:pPr>
            <w:r>
              <w:rPr>
                <w:color w:val="172033"/>
                <w:sz w:val="17"/>
              </w:rPr>
              <w:t>Detection/Expression Separation</w:t>
            </w:r>
          </w:p>
        </w:tc>
        <w:tc>
          <w:tcPr>
            <w:tcW w:w="6263" w:type="dxa"/>
            <w:tcMar>
              <w:top w:w="100" w:type="dxa"/>
              <w:left w:w="110" w:type="dxa"/>
              <w:bottom w:w="100" w:type="dxa"/>
              <w:right w:w="110" w:type="dxa"/>
            </w:tcMar>
            <w:vAlign w:val="center"/>
          </w:tcPr>
          <w:p w14:paraId="12A7D35D" w14:textId="77777777" w:rsidR="00360219" w:rsidRDefault="003015F4">
            <w:pPr>
              <w:spacing w:after="0" w:line="252" w:lineRule="auto"/>
            </w:pPr>
            <w:r>
              <w:rPr>
                <w:color w:val="172033"/>
                <w:sz w:val="17"/>
              </w:rPr>
              <w:t>A value that can be mathematically transformed into an output does not thereby establish detection, physical realization, or authorized actuation.</w:t>
            </w:r>
          </w:p>
        </w:tc>
      </w:tr>
      <w:tr w:rsidR="00360219" w14:paraId="4007872B" w14:textId="77777777">
        <w:trPr>
          <w:cantSplit/>
          <w:jc w:val="center"/>
        </w:trPr>
        <w:tc>
          <w:tcPr>
            <w:tcW w:w="1152" w:type="dxa"/>
            <w:tcMar>
              <w:top w:w="100" w:type="dxa"/>
              <w:left w:w="110" w:type="dxa"/>
              <w:bottom w:w="100" w:type="dxa"/>
              <w:right w:w="110" w:type="dxa"/>
            </w:tcMar>
            <w:vAlign w:val="center"/>
          </w:tcPr>
          <w:p w14:paraId="622B5661" w14:textId="77777777" w:rsidR="00360219" w:rsidRDefault="003015F4">
            <w:pPr>
              <w:spacing w:after="0" w:line="252" w:lineRule="auto"/>
              <w:jc w:val="center"/>
            </w:pPr>
            <w:r>
              <w:rPr>
                <w:b/>
                <w:color w:val="172033"/>
                <w:sz w:val="17"/>
              </w:rPr>
              <w:t>NPG-L23</w:t>
            </w:r>
          </w:p>
        </w:tc>
        <w:tc>
          <w:tcPr>
            <w:tcW w:w="2232" w:type="dxa"/>
            <w:tcMar>
              <w:top w:w="100" w:type="dxa"/>
              <w:left w:w="110" w:type="dxa"/>
              <w:bottom w:w="100" w:type="dxa"/>
              <w:right w:w="110" w:type="dxa"/>
            </w:tcMar>
            <w:vAlign w:val="center"/>
          </w:tcPr>
          <w:p w14:paraId="339DBA08" w14:textId="77777777" w:rsidR="00360219" w:rsidRDefault="003015F4">
            <w:pPr>
              <w:spacing w:after="0" w:line="252" w:lineRule="auto"/>
            </w:pPr>
            <w:r>
              <w:rPr>
                <w:color w:val="172033"/>
                <w:sz w:val="17"/>
              </w:rPr>
              <w:t>Projection Non-Override</w:t>
            </w:r>
          </w:p>
        </w:tc>
        <w:tc>
          <w:tcPr>
            <w:tcW w:w="6263" w:type="dxa"/>
            <w:tcMar>
              <w:top w:w="100" w:type="dxa"/>
              <w:left w:w="110" w:type="dxa"/>
              <w:bottom w:w="100" w:type="dxa"/>
              <w:right w:w="110" w:type="dxa"/>
            </w:tcMar>
            <w:vAlign w:val="center"/>
          </w:tcPr>
          <w:p w14:paraId="44F682DF" w14:textId="77777777" w:rsidR="00360219" w:rsidRDefault="003015F4">
            <w:pPr>
              <w:spacing w:after="0" w:line="252" w:lineRule="auto"/>
            </w:pPr>
            <w:r>
              <w:rPr>
                <w:color w:val="172033"/>
                <w:sz w:val="17"/>
              </w:rPr>
              <w:t>Perceptual output SHALL remain distinguishable from the governed state and Transform chain that produced it.</w:t>
            </w:r>
          </w:p>
        </w:tc>
      </w:tr>
      <w:tr w:rsidR="00360219" w14:paraId="0279F6A3" w14:textId="77777777">
        <w:trPr>
          <w:cantSplit/>
          <w:jc w:val="center"/>
        </w:trPr>
        <w:tc>
          <w:tcPr>
            <w:tcW w:w="1152" w:type="dxa"/>
            <w:tcMar>
              <w:top w:w="100" w:type="dxa"/>
              <w:left w:w="110" w:type="dxa"/>
              <w:bottom w:w="100" w:type="dxa"/>
              <w:right w:w="110" w:type="dxa"/>
            </w:tcMar>
            <w:vAlign w:val="center"/>
          </w:tcPr>
          <w:p w14:paraId="7BD95482" w14:textId="77777777" w:rsidR="00360219" w:rsidRDefault="003015F4">
            <w:pPr>
              <w:spacing w:after="0" w:line="252" w:lineRule="auto"/>
              <w:jc w:val="center"/>
            </w:pPr>
            <w:r>
              <w:rPr>
                <w:b/>
                <w:color w:val="172033"/>
                <w:sz w:val="17"/>
              </w:rPr>
              <w:t>NPG-L24</w:t>
            </w:r>
          </w:p>
        </w:tc>
        <w:tc>
          <w:tcPr>
            <w:tcW w:w="2232" w:type="dxa"/>
            <w:tcMar>
              <w:top w:w="100" w:type="dxa"/>
              <w:left w:w="110" w:type="dxa"/>
              <w:bottom w:w="100" w:type="dxa"/>
              <w:right w:w="110" w:type="dxa"/>
            </w:tcMar>
            <w:vAlign w:val="center"/>
          </w:tcPr>
          <w:p w14:paraId="5B8C01E6" w14:textId="77777777" w:rsidR="00360219" w:rsidRDefault="003015F4">
            <w:pPr>
              <w:spacing w:after="0" w:line="252" w:lineRule="auto"/>
            </w:pPr>
            <w:r>
              <w:rPr>
                <w:color w:val="172033"/>
                <w:sz w:val="17"/>
              </w:rPr>
              <w:t>Provenance Continuity</w:t>
            </w:r>
          </w:p>
        </w:tc>
        <w:tc>
          <w:tcPr>
            <w:tcW w:w="6263" w:type="dxa"/>
            <w:tcMar>
              <w:top w:w="100" w:type="dxa"/>
              <w:left w:w="110" w:type="dxa"/>
              <w:bottom w:w="100" w:type="dxa"/>
              <w:right w:w="110" w:type="dxa"/>
            </w:tcMar>
            <w:vAlign w:val="center"/>
          </w:tcPr>
          <w:p w14:paraId="2531CC5E" w14:textId="77777777" w:rsidR="00360219" w:rsidRDefault="003015F4">
            <w:pPr>
              <w:spacing w:after="0" w:line="252" w:lineRule="auto"/>
            </w:pPr>
            <w:r>
              <w:rPr>
                <w:color w:val="172033"/>
                <w:sz w:val="17"/>
              </w:rPr>
              <w:t>Semantic mappings SHOULD remain traceable from output through Transform, Normalization Scale, raw measurement, and source.</w:t>
            </w:r>
          </w:p>
        </w:tc>
      </w:tr>
    </w:tbl>
    <w:p w14:paraId="1BF77F71" w14:textId="77777777" w:rsidR="00360219" w:rsidRDefault="00360219">
      <w:pPr>
        <w:spacing w:after="40"/>
      </w:pPr>
    </w:p>
    <w:p w14:paraId="00E0DCB0" w14:textId="77777777" w:rsidR="00360219" w:rsidRDefault="003015F4">
      <w:pPr>
        <w:pageBreakBefore/>
        <w:spacing w:before="2200"/>
      </w:pPr>
      <w:r>
        <w:rPr>
          <w:b/>
          <w:color w:val="1E5AA8"/>
          <w:sz w:val="26"/>
        </w:rPr>
        <w:t>PART B</w:t>
      </w:r>
    </w:p>
    <w:p w14:paraId="4D7EECC1" w14:textId="77777777" w:rsidR="00360219" w:rsidRDefault="003015F4">
      <w:pPr>
        <w:spacing w:before="160" w:after="240" w:line="240" w:lineRule="auto"/>
      </w:pPr>
      <w:r>
        <w:rPr>
          <w:b/>
          <w:color w:val="172033"/>
          <w:sz w:val="56"/>
        </w:rPr>
        <w:t>Reference Data Contracts</w:t>
      </w:r>
    </w:p>
    <w:p w14:paraId="194D9763" w14:textId="77777777" w:rsidR="00360219" w:rsidRDefault="003015F4">
      <w:pPr>
        <w:spacing w:after="0" w:line="276" w:lineRule="auto"/>
      </w:pPr>
      <w:r>
        <w:rPr>
          <w:color w:val="5B6577"/>
          <w:sz w:val="25"/>
        </w:rPr>
        <w:t>Implementation-neutral semantic contracts for the Normalization Scale and normalized runtime packet.</w:t>
      </w:r>
    </w:p>
    <w:tbl>
      <w:tblPr>
        <w:tblW w:w="0" w:type="auto"/>
        <w:tblLayout w:type="fixed"/>
        <w:tblLook w:val="04A0" w:firstRow="1" w:lastRow="0" w:firstColumn="1" w:lastColumn="0" w:noHBand="0" w:noVBand="1"/>
      </w:tblPr>
      <w:tblGrid>
        <w:gridCol w:w="1440"/>
      </w:tblGrid>
      <w:tr w:rsidR="00360219" w14:paraId="5A0ED265" w14:textId="77777777">
        <w:tc>
          <w:tcPr>
            <w:tcW w:w="1440" w:type="dxa"/>
            <w:shd w:val="clear" w:color="auto" w:fill="1E5AA8"/>
            <w:tcMar>
              <w:top w:w="20" w:type="dxa"/>
              <w:left w:w="20" w:type="dxa"/>
              <w:bottom w:w="20" w:type="dxa"/>
              <w:right w:w="20" w:type="dxa"/>
            </w:tcMar>
          </w:tcPr>
          <w:p w14:paraId="50B565CA" w14:textId="77777777" w:rsidR="00360219" w:rsidRDefault="00360219"/>
        </w:tc>
      </w:tr>
    </w:tbl>
    <w:p w14:paraId="05AA48A2" w14:textId="77777777" w:rsidR="00360219" w:rsidRDefault="003015F4">
      <w:r>
        <w:br w:type="page"/>
      </w:r>
    </w:p>
    <w:p w14:paraId="70B11D74" w14:textId="77777777" w:rsidR="00360219" w:rsidRDefault="003015F4">
      <w:pPr>
        <w:pStyle w:val="Heading1"/>
        <w:spacing w:before="200" w:after="100" w:line="240" w:lineRule="auto"/>
      </w:pPr>
      <w:r>
        <w:rPr>
          <w:rFonts w:ascii="Arial" w:hAnsi="Arial"/>
        </w:rPr>
        <w:t>B.1 Reference Normalization Scale Contract</w:t>
      </w:r>
    </w:p>
    <w:tbl>
      <w:tblPr>
        <w:tblStyle w:val="TableGrid"/>
        <w:tblW w:w="0" w:type="auto"/>
        <w:jc w:val="center"/>
        <w:tblLayout w:type="fixed"/>
        <w:tblLook w:val="04A0" w:firstRow="1" w:lastRow="0" w:firstColumn="1" w:lastColumn="0" w:noHBand="0" w:noVBand="1"/>
      </w:tblPr>
      <w:tblGrid>
        <w:gridCol w:w="2232"/>
        <w:gridCol w:w="7416"/>
      </w:tblGrid>
      <w:tr w:rsidR="00360219" w14:paraId="515309EE" w14:textId="77777777">
        <w:trPr>
          <w:tblHeader/>
          <w:jc w:val="center"/>
        </w:trPr>
        <w:tc>
          <w:tcPr>
            <w:tcW w:w="2232" w:type="dxa"/>
            <w:shd w:val="clear" w:color="auto" w:fill="172033"/>
            <w:tcMar>
              <w:top w:w="100" w:type="dxa"/>
              <w:left w:w="110" w:type="dxa"/>
              <w:bottom w:w="100" w:type="dxa"/>
              <w:right w:w="110" w:type="dxa"/>
            </w:tcMar>
            <w:vAlign w:val="center"/>
          </w:tcPr>
          <w:p w14:paraId="55C3EA98" w14:textId="77777777" w:rsidR="00360219" w:rsidRDefault="003015F4">
            <w:pPr>
              <w:jc w:val="center"/>
            </w:pPr>
            <w:r>
              <w:rPr>
                <w:b/>
                <w:color w:val="FFFFFF"/>
                <w:sz w:val="18"/>
              </w:rPr>
              <w:t>Field family</w:t>
            </w:r>
          </w:p>
        </w:tc>
        <w:tc>
          <w:tcPr>
            <w:tcW w:w="7416" w:type="dxa"/>
            <w:shd w:val="clear" w:color="auto" w:fill="172033"/>
            <w:tcMar>
              <w:top w:w="100" w:type="dxa"/>
              <w:left w:w="110" w:type="dxa"/>
              <w:bottom w:w="100" w:type="dxa"/>
              <w:right w:w="110" w:type="dxa"/>
            </w:tcMar>
            <w:vAlign w:val="center"/>
          </w:tcPr>
          <w:p w14:paraId="580BA202" w14:textId="77777777" w:rsidR="00360219" w:rsidRDefault="003015F4">
            <w:pPr>
              <w:jc w:val="center"/>
            </w:pPr>
            <w:r>
              <w:rPr>
                <w:b/>
                <w:color w:val="FFFFFF"/>
                <w:sz w:val="18"/>
              </w:rPr>
              <w:t>Reference content</w:t>
            </w:r>
          </w:p>
        </w:tc>
      </w:tr>
      <w:tr w:rsidR="00360219" w14:paraId="2503AFC8" w14:textId="77777777">
        <w:trPr>
          <w:cantSplit/>
          <w:jc w:val="center"/>
        </w:trPr>
        <w:tc>
          <w:tcPr>
            <w:tcW w:w="2232" w:type="dxa"/>
            <w:shd w:val="clear" w:color="auto" w:fill="F4F6F8"/>
            <w:tcMar>
              <w:top w:w="100" w:type="dxa"/>
              <w:left w:w="110" w:type="dxa"/>
              <w:bottom w:w="100" w:type="dxa"/>
              <w:right w:w="110" w:type="dxa"/>
            </w:tcMar>
            <w:vAlign w:val="center"/>
          </w:tcPr>
          <w:p w14:paraId="79B0DC2E" w14:textId="77777777" w:rsidR="00360219" w:rsidRDefault="003015F4">
            <w:pPr>
              <w:spacing w:after="0" w:line="252" w:lineRule="auto"/>
              <w:jc w:val="center"/>
            </w:pPr>
            <w:r>
              <w:rPr>
                <w:b/>
                <w:color w:val="172033"/>
                <w:sz w:val="18"/>
              </w:rPr>
              <w:t>Identity</w:t>
            </w:r>
          </w:p>
        </w:tc>
        <w:tc>
          <w:tcPr>
            <w:tcW w:w="7416" w:type="dxa"/>
            <w:tcMar>
              <w:top w:w="100" w:type="dxa"/>
              <w:left w:w="110" w:type="dxa"/>
              <w:bottom w:w="100" w:type="dxa"/>
              <w:right w:w="110" w:type="dxa"/>
            </w:tcMar>
            <w:vAlign w:val="center"/>
          </w:tcPr>
          <w:p w14:paraId="10FBC00F" w14:textId="77777777" w:rsidR="00360219" w:rsidRDefault="003015F4">
            <w:pPr>
              <w:spacing w:after="0" w:line="252" w:lineRule="auto"/>
            </w:pPr>
            <w:r>
              <w:rPr>
                <w:color w:val="172033"/>
                <w:sz w:val="18"/>
              </w:rPr>
              <w:t>NormalizationScaleID, ScaleName, Version, Status.</w:t>
            </w:r>
          </w:p>
        </w:tc>
      </w:tr>
      <w:tr w:rsidR="00360219" w14:paraId="7DDAB9B6" w14:textId="77777777">
        <w:trPr>
          <w:cantSplit/>
          <w:jc w:val="center"/>
        </w:trPr>
        <w:tc>
          <w:tcPr>
            <w:tcW w:w="2232" w:type="dxa"/>
            <w:shd w:val="clear" w:color="auto" w:fill="F4F6F8"/>
            <w:tcMar>
              <w:top w:w="100" w:type="dxa"/>
              <w:left w:w="110" w:type="dxa"/>
              <w:bottom w:w="100" w:type="dxa"/>
              <w:right w:w="110" w:type="dxa"/>
            </w:tcMar>
            <w:vAlign w:val="center"/>
          </w:tcPr>
          <w:p w14:paraId="197B4534" w14:textId="77777777" w:rsidR="00360219" w:rsidRDefault="003015F4">
            <w:pPr>
              <w:spacing w:after="0" w:line="252" w:lineRule="auto"/>
              <w:jc w:val="center"/>
            </w:pPr>
            <w:r>
              <w:rPr>
                <w:b/>
                <w:color w:val="172033"/>
                <w:sz w:val="18"/>
              </w:rPr>
              <w:t>Target</w:t>
            </w:r>
          </w:p>
        </w:tc>
        <w:tc>
          <w:tcPr>
            <w:tcW w:w="7416" w:type="dxa"/>
            <w:tcMar>
              <w:top w:w="100" w:type="dxa"/>
              <w:left w:w="110" w:type="dxa"/>
              <w:bottom w:w="100" w:type="dxa"/>
              <w:right w:w="110" w:type="dxa"/>
            </w:tcMar>
            <w:vAlign w:val="center"/>
          </w:tcPr>
          <w:p w14:paraId="291AA28D" w14:textId="77777777" w:rsidR="00360219" w:rsidRDefault="003015F4">
            <w:pPr>
              <w:spacing w:after="0" w:line="252" w:lineRule="auto"/>
            </w:pPr>
            <w:r>
              <w:rPr>
                <w:color w:val="172033"/>
                <w:sz w:val="18"/>
              </w:rPr>
              <w:t>NormalizedPerceptionRef identifying the exact Transform Matrix perception record.</w:t>
            </w:r>
          </w:p>
        </w:tc>
      </w:tr>
      <w:tr w:rsidR="00360219" w14:paraId="6A4C6AC5" w14:textId="77777777">
        <w:trPr>
          <w:cantSplit/>
          <w:jc w:val="center"/>
        </w:trPr>
        <w:tc>
          <w:tcPr>
            <w:tcW w:w="2232" w:type="dxa"/>
            <w:shd w:val="clear" w:color="auto" w:fill="F4F6F8"/>
            <w:tcMar>
              <w:top w:w="100" w:type="dxa"/>
              <w:left w:w="110" w:type="dxa"/>
              <w:bottom w:w="100" w:type="dxa"/>
              <w:right w:w="110" w:type="dxa"/>
            </w:tcMar>
            <w:vAlign w:val="center"/>
          </w:tcPr>
          <w:p w14:paraId="4B1367B0" w14:textId="77777777" w:rsidR="00360219" w:rsidRDefault="003015F4">
            <w:pPr>
              <w:spacing w:after="0" w:line="252" w:lineRule="auto"/>
              <w:jc w:val="center"/>
            </w:pPr>
            <w:r>
              <w:rPr>
                <w:b/>
                <w:color w:val="172033"/>
                <w:sz w:val="18"/>
              </w:rPr>
              <w:t>Input</w:t>
            </w:r>
          </w:p>
        </w:tc>
        <w:tc>
          <w:tcPr>
            <w:tcW w:w="7416" w:type="dxa"/>
            <w:tcMar>
              <w:top w:w="100" w:type="dxa"/>
              <w:left w:w="110" w:type="dxa"/>
              <w:bottom w:w="100" w:type="dxa"/>
              <w:right w:w="110" w:type="dxa"/>
            </w:tcMar>
            <w:vAlign w:val="center"/>
          </w:tcPr>
          <w:p w14:paraId="427DAC6B" w14:textId="77777777" w:rsidR="00360219" w:rsidRDefault="003015F4">
            <w:pPr>
              <w:spacing w:after="0" w:line="252" w:lineRule="auto"/>
            </w:pPr>
            <w:r>
              <w:rPr>
                <w:color w:val="172033"/>
                <w:sz w:val="18"/>
              </w:rPr>
              <w:t>QuantityRef, AcceptedRawUnit, RawMin, RawMax.</w:t>
            </w:r>
          </w:p>
        </w:tc>
      </w:tr>
      <w:tr w:rsidR="00360219" w14:paraId="3EA9B5CD" w14:textId="77777777">
        <w:trPr>
          <w:cantSplit/>
          <w:jc w:val="center"/>
        </w:trPr>
        <w:tc>
          <w:tcPr>
            <w:tcW w:w="2232" w:type="dxa"/>
            <w:shd w:val="clear" w:color="auto" w:fill="F4F6F8"/>
            <w:tcMar>
              <w:top w:w="100" w:type="dxa"/>
              <w:left w:w="110" w:type="dxa"/>
              <w:bottom w:w="100" w:type="dxa"/>
              <w:right w:w="110" w:type="dxa"/>
            </w:tcMar>
            <w:vAlign w:val="center"/>
          </w:tcPr>
          <w:p w14:paraId="10A908F9" w14:textId="77777777" w:rsidR="00360219" w:rsidRDefault="003015F4">
            <w:pPr>
              <w:spacing w:after="0" w:line="252" w:lineRule="auto"/>
              <w:jc w:val="center"/>
            </w:pPr>
            <w:r>
              <w:rPr>
                <w:b/>
                <w:color w:val="172033"/>
                <w:sz w:val="18"/>
              </w:rPr>
              <w:t>Mathematics</w:t>
            </w:r>
          </w:p>
        </w:tc>
        <w:tc>
          <w:tcPr>
            <w:tcW w:w="7416" w:type="dxa"/>
            <w:tcMar>
              <w:top w:w="100" w:type="dxa"/>
              <w:left w:w="110" w:type="dxa"/>
              <w:bottom w:w="100" w:type="dxa"/>
              <w:right w:w="110" w:type="dxa"/>
            </w:tcMar>
            <w:vAlign w:val="center"/>
          </w:tcPr>
          <w:p w14:paraId="3FC9E02B" w14:textId="77777777" w:rsidR="00360219" w:rsidRDefault="003015F4">
            <w:pPr>
              <w:spacing w:after="0" w:line="252" w:lineRule="auto"/>
            </w:pPr>
            <w:r>
              <w:rPr>
                <w:color w:val="172033"/>
                <w:sz w:val="18"/>
              </w:rPr>
              <w:t>Formula or FormulaRef, FormulaType, forward normalization, optional inverse normalization.</w:t>
            </w:r>
          </w:p>
        </w:tc>
      </w:tr>
      <w:tr w:rsidR="00360219" w14:paraId="3ED700E3" w14:textId="77777777">
        <w:trPr>
          <w:cantSplit/>
          <w:jc w:val="center"/>
        </w:trPr>
        <w:tc>
          <w:tcPr>
            <w:tcW w:w="2232" w:type="dxa"/>
            <w:shd w:val="clear" w:color="auto" w:fill="F4F6F8"/>
            <w:tcMar>
              <w:top w:w="100" w:type="dxa"/>
              <w:left w:w="110" w:type="dxa"/>
              <w:bottom w:w="100" w:type="dxa"/>
              <w:right w:w="110" w:type="dxa"/>
            </w:tcMar>
            <w:vAlign w:val="center"/>
          </w:tcPr>
          <w:p w14:paraId="0FB04DB2" w14:textId="77777777" w:rsidR="00360219" w:rsidRDefault="003015F4">
            <w:pPr>
              <w:spacing w:after="0" w:line="252" w:lineRule="auto"/>
              <w:jc w:val="center"/>
            </w:pPr>
            <w:r>
              <w:rPr>
                <w:b/>
                <w:color w:val="172033"/>
                <w:sz w:val="18"/>
              </w:rPr>
              <w:t>Resolution mode</w:t>
            </w:r>
          </w:p>
        </w:tc>
        <w:tc>
          <w:tcPr>
            <w:tcW w:w="7416" w:type="dxa"/>
            <w:tcMar>
              <w:top w:w="100" w:type="dxa"/>
              <w:left w:w="110" w:type="dxa"/>
              <w:bottom w:w="100" w:type="dxa"/>
              <w:right w:w="110" w:type="dxa"/>
            </w:tcMar>
            <w:vAlign w:val="center"/>
          </w:tcPr>
          <w:p w14:paraId="79A15F6E" w14:textId="77777777" w:rsidR="00360219" w:rsidRDefault="003015F4">
            <w:pPr>
              <w:spacing w:after="0" w:line="252" w:lineRule="auto"/>
            </w:pPr>
            <w:r>
              <w:rPr>
                <w:color w:val="172033"/>
                <w:sz w:val="18"/>
              </w:rPr>
              <w:t>GRADED or GRADIENT.</w:t>
            </w:r>
          </w:p>
        </w:tc>
      </w:tr>
      <w:tr w:rsidR="00360219" w14:paraId="1B323C16" w14:textId="77777777">
        <w:trPr>
          <w:cantSplit/>
          <w:jc w:val="center"/>
        </w:trPr>
        <w:tc>
          <w:tcPr>
            <w:tcW w:w="2232" w:type="dxa"/>
            <w:shd w:val="clear" w:color="auto" w:fill="F4F6F8"/>
            <w:tcMar>
              <w:top w:w="100" w:type="dxa"/>
              <w:left w:w="110" w:type="dxa"/>
              <w:bottom w:w="100" w:type="dxa"/>
              <w:right w:w="110" w:type="dxa"/>
            </w:tcMar>
            <w:vAlign w:val="center"/>
          </w:tcPr>
          <w:p w14:paraId="5949DCF4" w14:textId="77777777" w:rsidR="00360219" w:rsidRDefault="003015F4">
            <w:pPr>
              <w:spacing w:after="0" w:line="252" w:lineRule="auto"/>
              <w:jc w:val="center"/>
            </w:pPr>
            <w:r>
              <w:rPr>
                <w:b/>
                <w:color w:val="172033"/>
                <w:sz w:val="18"/>
              </w:rPr>
              <w:t>Step architecture</w:t>
            </w:r>
          </w:p>
        </w:tc>
        <w:tc>
          <w:tcPr>
            <w:tcW w:w="7416" w:type="dxa"/>
            <w:tcMar>
              <w:top w:w="100" w:type="dxa"/>
              <w:left w:w="110" w:type="dxa"/>
              <w:bottom w:w="100" w:type="dxa"/>
              <w:right w:w="110" w:type="dxa"/>
            </w:tcMar>
            <w:vAlign w:val="center"/>
          </w:tcPr>
          <w:p w14:paraId="01AE6A57" w14:textId="77777777" w:rsidR="00360219" w:rsidRDefault="003015F4">
            <w:pPr>
              <w:spacing w:after="0" w:line="252" w:lineRule="auto"/>
            </w:pPr>
            <w:r>
              <w:rPr>
                <w:color w:val="172033"/>
                <w:sz w:val="18"/>
              </w:rPr>
              <w:t>StepCount from 1 to 10; ordered Step definitions.</w:t>
            </w:r>
          </w:p>
        </w:tc>
      </w:tr>
      <w:tr w:rsidR="00360219" w14:paraId="1945CF33" w14:textId="77777777">
        <w:trPr>
          <w:cantSplit/>
          <w:jc w:val="center"/>
        </w:trPr>
        <w:tc>
          <w:tcPr>
            <w:tcW w:w="2232" w:type="dxa"/>
            <w:shd w:val="clear" w:color="auto" w:fill="F4F6F8"/>
            <w:tcMar>
              <w:top w:w="100" w:type="dxa"/>
              <w:left w:w="110" w:type="dxa"/>
              <w:bottom w:w="100" w:type="dxa"/>
              <w:right w:w="110" w:type="dxa"/>
            </w:tcMar>
            <w:vAlign w:val="center"/>
          </w:tcPr>
          <w:p w14:paraId="7137DF79" w14:textId="77777777" w:rsidR="00360219" w:rsidRDefault="003015F4">
            <w:pPr>
              <w:spacing w:after="0" w:line="252" w:lineRule="auto"/>
              <w:jc w:val="center"/>
            </w:pPr>
            <w:r>
              <w:rPr>
                <w:b/>
                <w:color w:val="172033"/>
                <w:sz w:val="18"/>
              </w:rPr>
              <w:t>Color behavior</w:t>
            </w:r>
          </w:p>
        </w:tc>
        <w:tc>
          <w:tcPr>
            <w:tcW w:w="7416" w:type="dxa"/>
            <w:tcMar>
              <w:top w:w="100" w:type="dxa"/>
              <w:left w:w="110" w:type="dxa"/>
              <w:bottom w:w="100" w:type="dxa"/>
              <w:right w:w="110" w:type="dxa"/>
            </w:tcMar>
            <w:vAlign w:val="center"/>
          </w:tcPr>
          <w:p w14:paraId="078520BE" w14:textId="77777777" w:rsidR="00360219" w:rsidRDefault="003015F4">
            <w:pPr>
              <w:spacing w:after="0" w:line="252" w:lineRule="auto"/>
            </w:pPr>
            <w:r>
              <w:rPr>
                <w:color w:val="172033"/>
                <w:sz w:val="18"/>
              </w:rPr>
              <w:t>DEFAULT or CUSTOM; custom Step colors up to StepCount.</w:t>
            </w:r>
          </w:p>
        </w:tc>
      </w:tr>
      <w:tr w:rsidR="00360219" w14:paraId="60898166" w14:textId="77777777">
        <w:trPr>
          <w:cantSplit/>
          <w:jc w:val="center"/>
        </w:trPr>
        <w:tc>
          <w:tcPr>
            <w:tcW w:w="2232" w:type="dxa"/>
            <w:shd w:val="clear" w:color="auto" w:fill="F4F6F8"/>
            <w:tcMar>
              <w:top w:w="100" w:type="dxa"/>
              <w:left w:w="110" w:type="dxa"/>
              <w:bottom w:w="100" w:type="dxa"/>
              <w:right w:w="110" w:type="dxa"/>
            </w:tcMar>
            <w:vAlign w:val="center"/>
          </w:tcPr>
          <w:p w14:paraId="262A9785" w14:textId="77777777" w:rsidR="00360219" w:rsidRDefault="003015F4">
            <w:pPr>
              <w:spacing w:after="0" w:line="252" w:lineRule="auto"/>
              <w:jc w:val="center"/>
            </w:pPr>
            <w:r>
              <w:rPr>
                <w:b/>
                <w:color w:val="172033"/>
                <w:sz w:val="18"/>
              </w:rPr>
              <w:t>State logic</w:t>
            </w:r>
          </w:p>
        </w:tc>
        <w:tc>
          <w:tcPr>
            <w:tcW w:w="7416" w:type="dxa"/>
            <w:tcMar>
              <w:top w:w="100" w:type="dxa"/>
              <w:left w:w="110" w:type="dxa"/>
              <w:bottom w:w="100" w:type="dxa"/>
              <w:right w:w="110" w:type="dxa"/>
            </w:tcMar>
            <w:vAlign w:val="center"/>
          </w:tcPr>
          <w:p w14:paraId="4B038170" w14:textId="77777777" w:rsidR="00360219" w:rsidRDefault="003015F4">
            <w:pPr>
              <w:spacing w:after="0" w:line="252" w:lineRule="auto"/>
            </w:pPr>
            <w:r>
              <w:rPr>
                <w:color w:val="172033"/>
                <w:sz w:val="18"/>
              </w:rPr>
              <w:t>Optional gate Rules, enter/exit thresholds, hysteresis, minimum duration, previous-state requirements.</w:t>
            </w:r>
          </w:p>
        </w:tc>
      </w:tr>
      <w:tr w:rsidR="00360219" w14:paraId="6737064E" w14:textId="77777777">
        <w:trPr>
          <w:cantSplit/>
          <w:jc w:val="center"/>
        </w:trPr>
        <w:tc>
          <w:tcPr>
            <w:tcW w:w="2232" w:type="dxa"/>
            <w:shd w:val="clear" w:color="auto" w:fill="F4F6F8"/>
            <w:tcMar>
              <w:top w:w="100" w:type="dxa"/>
              <w:left w:w="110" w:type="dxa"/>
              <w:bottom w:w="100" w:type="dxa"/>
              <w:right w:w="110" w:type="dxa"/>
            </w:tcMar>
            <w:vAlign w:val="center"/>
          </w:tcPr>
          <w:p w14:paraId="16360C7C" w14:textId="77777777" w:rsidR="00360219" w:rsidRDefault="003015F4">
            <w:pPr>
              <w:spacing w:after="0" w:line="252" w:lineRule="auto"/>
              <w:jc w:val="center"/>
            </w:pPr>
            <w:r>
              <w:rPr>
                <w:b/>
                <w:color w:val="172033"/>
                <w:sz w:val="18"/>
              </w:rPr>
              <w:t>Bounds and failure</w:t>
            </w:r>
          </w:p>
        </w:tc>
        <w:tc>
          <w:tcPr>
            <w:tcW w:w="7416" w:type="dxa"/>
            <w:tcMar>
              <w:top w:w="100" w:type="dxa"/>
              <w:left w:w="110" w:type="dxa"/>
              <w:bottom w:w="100" w:type="dxa"/>
              <w:right w:w="110" w:type="dxa"/>
            </w:tcMar>
            <w:vAlign w:val="center"/>
          </w:tcPr>
          <w:p w14:paraId="3289B023" w14:textId="77777777" w:rsidR="00360219" w:rsidRDefault="003015F4">
            <w:pPr>
              <w:spacing w:after="0" w:line="252" w:lineRule="auto"/>
            </w:pPr>
            <w:r>
              <w:rPr>
                <w:color w:val="172033"/>
                <w:sz w:val="18"/>
              </w:rPr>
              <w:t>BelowRangePolicy, AboveRangePolicy, ClampPolicy, SaturationPolicy, NullPolicy.</w:t>
            </w:r>
          </w:p>
        </w:tc>
      </w:tr>
      <w:tr w:rsidR="00360219" w14:paraId="2B07F04B" w14:textId="77777777">
        <w:trPr>
          <w:cantSplit/>
          <w:jc w:val="center"/>
        </w:trPr>
        <w:tc>
          <w:tcPr>
            <w:tcW w:w="2232" w:type="dxa"/>
            <w:shd w:val="clear" w:color="auto" w:fill="F4F6F8"/>
            <w:tcMar>
              <w:top w:w="100" w:type="dxa"/>
              <w:left w:w="110" w:type="dxa"/>
              <w:bottom w:w="100" w:type="dxa"/>
              <w:right w:w="110" w:type="dxa"/>
            </w:tcMar>
            <w:vAlign w:val="center"/>
          </w:tcPr>
          <w:p w14:paraId="44F9C523" w14:textId="77777777" w:rsidR="00360219" w:rsidRDefault="003015F4">
            <w:pPr>
              <w:spacing w:after="0" w:line="252" w:lineRule="auto"/>
              <w:jc w:val="center"/>
            </w:pPr>
            <w:r>
              <w:rPr>
                <w:b/>
                <w:color w:val="172033"/>
                <w:sz w:val="18"/>
              </w:rPr>
              <w:t>Governance</w:t>
            </w:r>
          </w:p>
        </w:tc>
        <w:tc>
          <w:tcPr>
            <w:tcW w:w="7416" w:type="dxa"/>
            <w:tcMar>
              <w:top w:w="100" w:type="dxa"/>
              <w:left w:w="110" w:type="dxa"/>
              <w:bottom w:w="100" w:type="dxa"/>
              <w:right w:w="110" w:type="dxa"/>
            </w:tcMar>
            <w:vAlign w:val="center"/>
          </w:tcPr>
          <w:p w14:paraId="3D0CB1A6" w14:textId="77777777" w:rsidR="00360219" w:rsidRDefault="003015F4">
            <w:pPr>
              <w:spacing w:after="0" w:line="252" w:lineRule="auto"/>
            </w:pPr>
            <w:r>
              <w:rPr>
                <w:color w:val="172033"/>
                <w:sz w:val="18"/>
              </w:rPr>
              <w:t>Source, formula version, provenance, validation status.</w:t>
            </w:r>
          </w:p>
        </w:tc>
      </w:tr>
    </w:tbl>
    <w:p w14:paraId="6A9A2F8E" w14:textId="77777777" w:rsidR="00360219" w:rsidRDefault="00360219">
      <w:pPr>
        <w:spacing w:after="40"/>
      </w:pPr>
    </w:p>
    <w:p w14:paraId="381F5146" w14:textId="77777777" w:rsidR="00360219" w:rsidRDefault="003015F4">
      <w:pPr>
        <w:pStyle w:val="Heading1"/>
        <w:spacing w:before="200" w:after="100" w:line="240" w:lineRule="auto"/>
      </w:pPr>
      <w:r>
        <w:rPr>
          <w:rFonts w:ascii="Arial" w:hAnsi="Arial"/>
        </w:rPr>
        <w:t>B.2 Reference Normalized Runtime Packet</w:t>
      </w:r>
    </w:p>
    <w:tbl>
      <w:tblPr>
        <w:tblStyle w:val="TableGrid"/>
        <w:tblW w:w="0" w:type="auto"/>
        <w:jc w:val="center"/>
        <w:tblLayout w:type="fixed"/>
        <w:tblLook w:val="04A0" w:firstRow="1" w:lastRow="0" w:firstColumn="1" w:lastColumn="0" w:noHBand="0" w:noVBand="1"/>
      </w:tblPr>
      <w:tblGrid>
        <w:gridCol w:w="2880"/>
        <w:gridCol w:w="6768"/>
      </w:tblGrid>
      <w:tr w:rsidR="00360219" w14:paraId="175A07CC" w14:textId="77777777">
        <w:trPr>
          <w:tblHeader/>
          <w:jc w:val="center"/>
        </w:trPr>
        <w:tc>
          <w:tcPr>
            <w:tcW w:w="2880" w:type="dxa"/>
            <w:shd w:val="clear" w:color="auto" w:fill="172033"/>
            <w:tcMar>
              <w:top w:w="100" w:type="dxa"/>
              <w:left w:w="110" w:type="dxa"/>
              <w:bottom w:w="100" w:type="dxa"/>
              <w:right w:w="110" w:type="dxa"/>
            </w:tcMar>
            <w:vAlign w:val="center"/>
          </w:tcPr>
          <w:p w14:paraId="247DB97B" w14:textId="77777777" w:rsidR="00360219" w:rsidRDefault="003015F4">
            <w:pPr>
              <w:jc w:val="center"/>
            </w:pPr>
            <w:r>
              <w:rPr>
                <w:b/>
                <w:color w:val="FFFFFF"/>
                <w:sz w:val="18"/>
              </w:rPr>
              <w:t>Field</w:t>
            </w:r>
          </w:p>
        </w:tc>
        <w:tc>
          <w:tcPr>
            <w:tcW w:w="6768" w:type="dxa"/>
            <w:shd w:val="clear" w:color="auto" w:fill="172033"/>
            <w:tcMar>
              <w:top w:w="100" w:type="dxa"/>
              <w:left w:w="110" w:type="dxa"/>
              <w:bottom w:w="100" w:type="dxa"/>
              <w:right w:w="110" w:type="dxa"/>
            </w:tcMar>
            <w:vAlign w:val="center"/>
          </w:tcPr>
          <w:p w14:paraId="06416F5D" w14:textId="77777777" w:rsidR="00360219" w:rsidRDefault="003015F4">
            <w:pPr>
              <w:jc w:val="center"/>
            </w:pPr>
            <w:r>
              <w:rPr>
                <w:b/>
                <w:color w:val="FFFFFF"/>
                <w:sz w:val="18"/>
              </w:rPr>
              <w:t>Reference content</w:t>
            </w:r>
          </w:p>
        </w:tc>
      </w:tr>
      <w:tr w:rsidR="00360219" w14:paraId="344DB26F" w14:textId="77777777">
        <w:trPr>
          <w:cantSplit/>
          <w:jc w:val="center"/>
        </w:trPr>
        <w:tc>
          <w:tcPr>
            <w:tcW w:w="2880" w:type="dxa"/>
            <w:shd w:val="clear" w:color="auto" w:fill="F4F6F8"/>
            <w:tcMar>
              <w:top w:w="100" w:type="dxa"/>
              <w:left w:w="110" w:type="dxa"/>
              <w:bottom w:w="100" w:type="dxa"/>
              <w:right w:w="110" w:type="dxa"/>
            </w:tcMar>
            <w:vAlign w:val="center"/>
          </w:tcPr>
          <w:p w14:paraId="73E9DBBF" w14:textId="77777777" w:rsidR="00360219" w:rsidRDefault="003015F4">
            <w:pPr>
              <w:spacing w:after="0" w:line="252" w:lineRule="auto"/>
              <w:jc w:val="center"/>
            </w:pPr>
            <w:r>
              <w:rPr>
                <w:b/>
                <w:color w:val="172033"/>
                <w:sz w:val="18"/>
              </w:rPr>
              <w:t>SourceIdentity</w:t>
            </w:r>
          </w:p>
        </w:tc>
        <w:tc>
          <w:tcPr>
            <w:tcW w:w="6768" w:type="dxa"/>
            <w:tcMar>
              <w:top w:w="100" w:type="dxa"/>
              <w:left w:w="110" w:type="dxa"/>
              <w:bottom w:w="100" w:type="dxa"/>
              <w:right w:w="110" w:type="dxa"/>
            </w:tcMar>
            <w:vAlign w:val="center"/>
          </w:tcPr>
          <w:p w14:paraId="6DA028E4" w14:textId="77777777" w:rsidR="00360219" w:rsidRDefault="003015F4">
            <w:pPr>
              <w:spacing w:after="0" w:line="252" w:lineRule="auto"/>
            </w:pPr>
            <w:r>
              <w:rPr>
                <w:color w:val="172033"/>
                <w:sz w:val="18"/>
              </w:rPr>
              <w:t>Exact source state, record, event, or Model output.</w:t>
            </w:r>
          </w:p>
        </w:tc>
      </w:tr>
      <w:tr w:rsidR="00360219" w14:paraId="530BE306" w14:textId="77777777">
        <w:trPr>
          <w:cantSplit/>
          <w:jc w:val="center"/>
        </w:trPr>
        <w:tc>
          <w:tcPr>
            <w:tcW w:w="2880" w:type="dxa"/>
            <w:shd w:val="clear" w:color="auto" w:fill="F4F6F8"/>
            <w:tcMar>
              <w:top w:w="100" w:type="dxa"/>
              <w:left w:w="110" w:type="dxa"/>
              <w:bottom w:w="100" w:type="dxa"/>
              <w:right w:w="110" w:type="dxa"/>
            </w:tcMar>
            <w:vAlign w:val="center"/>
          </w:tcPr>
          <w:p w14:paraId="23C30CB1" w14:textId="77777777" w:rsidR="00360219" w:rsidRDefault="003015F4">
            <w:pPr>
              <w:spacing w:after="0" w:line="252" w:lineRule="auto"/>
              <w:jc w:val="center"/>
            </w:pPr>
            <w:r>
              <w:rPr>
                <w:b/>
                <w:color w:val="172033"/>
                <w:sz w:val="18"/>
              </w:rPr>
              <w:t>RawValue / RawUnit</w:t>
            </w:r>
          </w:p>
        </w:tc>
        <w:tc>
          <w:tcPr>
            <w:tcW w:w="6768" w:type="dxa"/>
            <w:tcMar>
              <w:top w:w="100" w:type="dxa"/>
              <w:left w:w="110" w:type="dxa"/>
              <w:bottom w:w="100" w:type="dxa"/>
              <w:right w:w="110" w:type="dxa"/>
            </w:tcMar>
            <w:vAlign w:val="center"/>
          </w:tcPr>
          <w:p w14:paraId="0CCA96E7" w14:textId="77777777" w:rsidR="00360219" w:rsidRDefault="003015F4">
            <w:pPr>
              <w:spacing w:after="0" w:line="252" w:lineRule="auto"/>
            </w:pPr>
            <w:r>
              <w:rPr>
                <w:color w:val="172033"/>
                <w:sz w:val="18"/>
              </w:rPr>
              <w:t>Native measurement and unit.</w:t>
            </w:r>
          </w:p>
        </w:tc>
      </w:tr>
      <w:tr w:rsidR="00360219" w14:paraId="3BC845B3" w14:textId="77777777">
        <w:trPr>
          <w:cantSplit/>
          <w:jc w:val="center"/>
        </w:trPr>
        <w:tc>
          <w:tcPr>
            <w:tcW w:w="2880" w:type="dxa"/>
            <w:shd w:val="clear" w:color="auto" w:fill="F4F6F8"/>
            <w:tcMar>
              <w:top w:w="100" w:type="dxa"/>
              <w:left w:w="110" w:type="dxa"/>
              <w:bottom w:w="100" w:type="dxa"/>
              <w:right w:w="110" w:type="dxa"/>
            </w:tcMar>
            <w:vAlign w:val="center"/>
          </w:tcPr>
          <w:p w14:paraId="0A11457C" w14:textId="77777777" w:rsidR="00360219" w:rsidRDefault="003015F4">
            <w:pPr>
              <w:spacing w:after="0" w:line="252" w:lineRule="auto"/>
              <w:jc w:val="center"/>
            </w:pPr>
            <w:r>
              <w:rPr>
                <w:b/>
                <w:color w:val="172033"/>
                <w:sz w:val="18"/>
              </w:rPr>
              <w:t>NormalizationScaleRef</w:t>
            </w:r>
          </w:p>
        </w:tc>
        <w:tc>
          <w:tcPr>
            <w:tcW w:w="6768" w:type="dxa"/>
            <w:tcMar>
              <w:top w:w="100" w:type="dxa"/>
              <w:left w:w="110" w:type="dxa"/>
              <w:bottom w:w="100" w:type="dxa"/>
              <w:right w:w="110" w:type="dxa"/>
            </w:tcMar>
            <w:vAlign w:val="center"/>
          </w:tcPr>
          <w:p w14:paraId="53A35387" w14:textId="77777777" w:rsidR="00360219" w:rsidRDefault="003015F4">
            <w:pPr>
              <w:spacing w:after="0" w:line="252" w:lineRule="auto"/>
            </w:pPr>
            <w:r>
              <w:rPr>
                <w:color w:val="172033"/>
                <w:sz w:val="18"/>
              </w:rPr>
              <w:t>Exact Normalization Table record applied.</w:t>
            </w:r>
          </w:p>
        </w:tc>
      </w:tr>
      <w:tr w:rsidR="00360219" w14:paraId="13320194" w14:textId="77777777">
        <w:trPr>
          <w:cantSplit/>
          <w:jc w:val="center"/>
        </w:trPr>
        <w:tc>
          <w:tcPr>
            <w:tcW w:w="2880" w:type="dxa"/>
            <w:shd w:val="clear" w:color="auto" w:fill="F4F6F8"/>
            <w:tcMar>
              <w:top w:w="100" w:type="dxa"/>
              <w:left w:w="110" w:type="dxa"/>
              <w:bottom w:w="100" w:type="dxa"/>
              <w:right w:w="110" w:type="dxa"/>
            </w:tcMar>
            <w:vAlign w:val="center"/>
          </w:tcPr>
          <w:p w14:paraId="0D26ADD6" w14:textId="77777777" w:rsidR="00360219" w:rsidRDefault="003015F4">
            <w:pPr>
              <w:spacing w:after="0" w:line="252" w:lineRule="auto"/>
              <w:jc w:val="center"/>
            </w:pPr>
            <w:r>
              <w:rPr>
                <w:b/>
                <w:color w:val="172033"/>
                <w:sz w:val="18"/>
              </w:rPr>
              <w:t>NormalizationScaleVersion</w:t>
            </w:r>
          </w:p>
        </w:tc>
        <w:tc>
          <w:tcPr>
            <w:tcW w:w="6768" w:type="dxa"/>
            <w:tcMar>
              <w:top w:w="100" w:type="dxa"/>
              <w:left w:w="110" w:type="dxa"/>
              <w:bottom w:w="100" w:type="dxa"/>
              <w:right w:w="110" w:type="dxa"/>
            </w:tcMar>
            <w:vAlign w:val="center"/>
          </w:tcPr>
          <w:p w14:paraId="1FE79B00" w14:textId="77777777" w:rsidR="00360219" w:rsidRDefault="003015F4">
            <w:pPr>
              <w:spacing w:after="0" w:line="252" w:lineRule="auto"/>
            </w:pPr>
            <w:r>
              <w:rPr>
                <w:color w:val="172033"/>
                <w:sz w:val="18"/>
              </w:rPr>
              <w:t>Version used to produce the normalized result.</w:t>
            </w:r>
          </w:p>
        </w:tc>
      </w:tr>
      <w:tr w:rsidR="00360219" w14:paraId="6310D58D" w14:textId="77777777">
        <w:trPr>
          <w:cantSplit/>
          <w:jc w:val="center"/>
        </w:trPr>
        <w:tc>
          <w:tcPr>
            <w:tcW w:w="2880" w:type="dxa"/>
            <w:shd w:val="clear" w:color="auto" w:fill="F4F6F8"/>
            <w:tcMar>
              <w:top w:w="100" w:type="dxa"/>
              <w:left w:w="110" w:type="dxa"/>
              <w:bottom w:w="100" w:type="dxa"/>
              <w:right w:w="110" w:type="dxa"/>
            </w:tcMar>
            <w:vAlign w:val="center"/>
          </w:tcPr>
          <w:p w14:paraId="0073558C" w14:textId="77777777" w:rsidR="00360219" w:rsidRDefault="003015F4">
            <w:pPr>
              <w:spacing w:after="0" w:line="252" w:lineRule="auto"/>
              <w:jc w:val="center"/>
            </w:pPr>
            <w:r>
              <w:rPr>
                <w:b/>
                <w:color w:val="172033"/>
                <w:sz w:val="18"/>
              </w:rPr>
              <w:t>NormalizedPerceptionRef</w:t>
            </w:r>
          </w:p>
        </w:tc>
        <w:tc>
          <w:tcPr>
            <w:tcW w:w="6768" w:type="dxa"/>
            <w:tcMar>
              <w:top w:w="100" w:type="dxa"/>
              <w:left w:w="110" w:type="dxa"/>
              <w:bottom w:w="100" w:type="dxa"/>
              <w:right w:w="110" w:type="dxa"/>
            </w:tcMar>
            <w:vAlign w:val="center"/>
          </w:tcPr>
          <w:p w14:paraId="63A599F9" w14:textId="77777777" w:rsidR="00360219" w:rsidRDefault="003015F4">
            <w:pPr>
              <w:spacing w:after="0" w:line="252" w:lineRule="auto"/>
            </w:pPr>
            <w:r>
              <w:rPr>
                <w:color w:val="172033"/>
                <w:sz w:val="18"/>
              </w:rPr>
              <w:t>Exact target perception identity.</w:t>
            </w:r>
          </w:p>
        </w:tc>
      </w:tr>
      <w:tr w:rsidR="00360219" w14:paraId="5236AD94" w14:textId="77777777">
        <w:trPr>
          <w:cantSplit/>
          <w:jc w:val="center"/>
        </w:trPr>
        <w:tc>
          <w:tcPr>
            <w:tcW w:w="2880" w:type="dxa"/>
            <w:shd w:val="clear" w:color="auto" w:fill="F4F6F8"/>
            <w:tcMar>
              <w:top w:w="100" w:type="dxa"/>
              <w:left w:w="110" w:type="dxa"/>
              <w:bottom w:w="100" w:type="dxa"/>
              <w:right w:w="110" w:type="dxa"/>
            </w:tcMar>
            <w:vAlign w:val="center"/>
          </w:tcPr>
          <w:p w14:paraId="17DD5D57" w14:textId="77777777" w:rsidR="00360219" w:rsidRDefault="003015F4">
            <w:pPr>
              <w:spacing w:after="0" w:line="252" w:lineRule="auto"/>
              <w:jc w:val="center"/>
            </w:pPr>
            <w:r>
              <w:rPr>
                <w:b/>
                <w:color w:val="172033"/>
                <w:sz w:val="18"/>
              </w:rPr>
              <w:t>NormalizedValue</w:t>
            </w:r>
          </w:p>
        </w:tc>
        <w:tc>
          <w:tcPr>
            <w:tcW w:w="6768" w:type="dxa"/>
            <w:tcMar>
              <w:top w:w="100" w:type="dxa"/>
              <w:left w:w="110" w:type="dxa"/>
              <w:bottom w:w="100" w:type="dxa"/>
              <w:right w:w="110" w:type="dxa"/>
            </w:tcMar>
            <w:vAlign w:val="center"/>
          </w:tcPr>
          <w:p w14:paraId="2252814A" w14:textId="77777777" w:rsidR="00360219" w:rsidRDefault="003015F4">
            <w:pPr>
              <w:spacing w:after="0" w:line="252" w:lineRule="auto"/>
            </w:pPr>
            <w:r>
              <w:rPr>
                <w:color w:val="172033"/>
                <w:sz w:val="18"/>
              </w:rPr>
              <w:t>0-100 state.</w:t>
            </w:r>
          </w:p>
        </w:tc>
      </w:tr>
      <w:tr w:rsidR="00360219" w14:paraId="76906139" w14:textId="77777777">
        <w:trPr>
          <w:cantSplit/>
          <w:jc w:val="center"/>
        </w:trPr>
        <w:tc>
          <w:tcPr>
            <w:tcW w:w="2880" w:type="dxa"/>
            <w:shd w:val="clear" w:color="auto" w:fill="F4F6F8"/>
            <w:tcMar>
              <w:top w:w="100" w:type="dxa"/>
              <w:left w:w="110" w:type="dxa"/>
              <w:bottom w:w="100" w:type="dxa"/>
              <w:right w:w="110" w:type="dxa"/>
            </w:tcMar>
            <w:vAlign w:val="center"/>
          </w:tcPr>
          <w:p w14:paraId="16ADDB5D" w14:textId="77777777" w:rsidR="00360219" w:rsidRDefault="003015F4">
            <w:pPr>
              <w:spacing w:after="0" w:line="252" w:lineRule="auto"/>
              <w:jc w:val="center"/>
            </w:pPr>
            <w:r>
              <w:rPr>
                <w:b/>
                <w:color w:val="172033"/>
                <w:sz w:val="18"/>
              </w:rPr>
              <w:t>ResolvedStep</w:t>
            </w:r>
          </w:p>
        </w:tc>
        <w:tc>
          <w:tcPr>
            <w:tcW w:w="6768" w:type="dxa"/>
            <w:tcMar>
              <w:top w:w="100" w:type="dxa"/>
              <w:left w:w="110" w:type="dxa"/>
              <w:bottom w:w="100" w:type="dxa"/>
              <w:right w:w="110" w:type="dxa"/>
            </w:tcMar>
            <w:vAlign w:val="center"/>
          </w:tcPr>
          <w:p w14:paraId="26C53509" w14:textId="77777777" w:rsidR="00360219" w:rsidRDefault="003015F4">
            <w:pPr>
              <w:spacing w:after="0" w:line="252" w:lineRule="auto"/>
            </w:pPr>
            <w:r>
              <w:rPr>
                <w:color w:val="172033"/>
                <w:sz w:val="18"/>
              </w:rPr>
              <w:t>Optional GRADED Step identity.</w:t>
            </w:r>
          </w:p>
        </w:tc>
      </w:tr>
      <w:tr w:rsidR="00360219" w14:paraId="45AA6D0D" w14:textId="77777777">
        <w:trPr>
          <w:cantSplit/>
          <w:jc w:val="center"/>
        </w:trPr>
        <w:tc>
          <w:tcPr>
            <w:tcW w:w="2880" w:type="dxa"/>
            <w:shd w:val="clear" w:color="auto" w:fill="F4F6F8"/>
            <w:tcMar>
              <w:top w:w="100" w:type="dxa"/>
              <w:left w:w="110" w:type="dxa"/>
              <w:bottom w:w="100" w:type="dxa"/>
              <w:right w:w="110" w:type="dxa"/>
            </w:tcMar>
            <w:vAlign w:val="center"/>
          </w:tcPr>
          <w:p w14:paraId="1BEEC870" w14:textId="77777777" w:rsidR="00360219" w:rsidRDefault="003015F4">
            <w:pPr>
              <w:spacing w:after="0" w:line="252" w:lineRule="auto"/>
              <w:jc w:val="center"/>
            </w:pPr>
            <w:r>
              <w:rPr>
                <w:b/>
                <w:color w:val="172033"/>
                <w:sz w:val="18"/>
              </w:rPr>
              <w:t>GateState</w:t>
            </w:r>
          </w:p>
        </w:tc>
        <w:tc>
          <w:tcPr>
            <w:tcW w:w="6768" w:type="dxa"/>
            <w:tcMar>
              <w:top w:w="100" w:type="dxa"/>
              <w:left w:w="110" w:type="dxa"/>
              <w:bottom w:w="100" w:type="dxa"/>
              <w:right w:w="110" w:type="dxa"/>
            </w:tcMar>
            <w:vAlign w:val="center"/>
          </w:tcPr>
          <w:p w14:paraId="328C266A" w14:textId="77777777" w:rsidR="00360219" w:rsidRDefault="003015F4">
            <w:pPr>
              <w:spacing w:after="0" w:line="252" w:lineRule="auto"/>
            </w:pPr>
            <w:r>
              <w:rPr>
                <w:color w:val="172033"/>
                <w:sz w:val="18"/>
              </w:rPr>
              <w:t>Optional active Gate identity.</w:t>
            </w:r>
          </w:p>
        </w:tc>
      </w:tr>
      <w:tr w:rsidR="00360219" w14:paraId="1863F80F" w14:textId="77777777">
        <w:trPr>
          <w:cantSplit/>
          <w:jc w:val="center"/>
        </w:trPr>
        <w:tc>
          <w:tcPr>
            <w:tcW w:w="2880" w:type="dxa"/>
            <w:shd w:val="clear" w:color="auto" w:fill="F4F6F8"/>
            <w:tcMar>
              <w:top w:w="100" w:type="dxa"/>
              <w:left w:w="110" w:type="dxa"/>
              <w:bottom w:w="100" w:type="dxa"/>
              <w:right w:w="110" w:type="dxa"/>
            </w:tcMar>
            <w:vAlign w:val="center"/>
          </w:tcPr>
          <w:p w14:paraId="36265C92" w14:textId="77777777" w:rsidR="00360219" w:rsidRDefault="003015F4">
            <w:pPr>
              <w:spacing w:after="0" w:line="252" w:lineRule="auto"/>
              <w:jc w:val="center"/>
            </w:pPr>
            <w:r>
              <w:rPr>
                <w:b/>
                <w:color w:val="172033"/>
                <w:sz w:val="18"/>
              </w:rPr>
              <w:t>Validity</w:t>
            </w:r>
          </w:p>
        </w:tc>
        <w:tc>
          <w:tcPr>
            <w:tcW w:w="6768" w:type="dxa"/>
            <w:tcMar>
              <w:top w:w="100" w:type="dxa"/>
              <w:left w:w="110" w:type="dxa"/>
              <w:bottom w:w="100" w:type="dxa"/>
              <w:right w:w="110" w:type="dxa"/>
            </w:tcMar>
            <w:vAlign w:val="center"/>
          </w:tcPr>
          <w:p w14:paraId="78BA2680" w14:textId="77777777" w:rsidR="00360219" w:rsidRDefault="003015F4">
            <w:pPr>
              <w:spacing w:after="0" w:line="252" w:lineRule="auto"/>
            </w:pPr>
            <w:r>
              <w:rPr>
                <w:color w:val="172033"/>
                <w:sz w:val="18"/>
              </w:rPr>
              <w:t>VALID, MISSING, UNKNOWN, etc.</w:t>
            </w:r>
          </w:p>
        </w:tc>
      </w:tr>
      <w:tr w:rsidR="00360219" w14:paraId="47B4C86F" w14:textId="77777777">
        <w:trPr>
          <w:cantSplit/>
          <w:jc w:val="center"/>
        </w:trPr>
        <w:tc>
          <w:tcPr>
            <w:tcW w:w="2880" w:type="dxa"/>
            <w:shd w:val="clear" w:color="auto" w:fill="F4F6F8"/>
            <w:tcMar>
              <w:top w:w="100" w:type="dxa"/>
              <w:left w:w="110" w:type="dxa"/>
              <w:bottom w:w="100" w:type="dxa"/>
              <w:right w:w="110" w:type="dxa"/>
            </w:tcMar>
            <w:vAlign w:val="center"/>
          </w:tcPr>
          <w:p w14:paraId="4E301F28" w14:textId="77777777" w:rsidR="00360219" w:rsidRDefault="003015F4">
            <w:pPr>
              <w:spacing w:after="0" w:line="252" w:lineRule="auto"/>
              <w:jc w:val="center"/>
            </w:pPr>
            <w:r>
              <w:rPr>
                <w:b/>
                <w:color w:val="172033"/>
                <w:sz w:val="18"/>
              </w:rPr>
              <w:t>Saturation / Overflow</w:t>
            </w:r>
          </w:p>
        </w:tc>
        <w:tc>
          <w:tcPr>
            <w:tcW w:w="6768" w:type="dxa"/>
            <w:tcMar>
              <w:top w:w="100" w:type="dxa"/>
              <w:left w:w="110" w:type="dxa"/>
              <w:bottom w:w="100" w:type="dxa"/>
              <w:right w:w="110" w:type="dxa"/>
            </w:tcMar>
            <w:vAlign w:val="center"/>
          </w:tcPr>
          <w:p w14:paraId="272814DA" w14:textId="77777777" w:rsidR="00360219" w:rsidRDefault="003015F4">
            <w:pPr>
              <w:spacing w:after="0" w:line="252" w:lineRule="auto"/>
            </w:pPr>
            <w:r>
              <w:rPr>
                <w:color w:val="172033"/>
                <w:sz w:val="18"/>
              </w:rPr>
              <w:t>Explicit boundary state where relevant.</w:t>
            </w:r>
          </w:p>
        </w:tc>
      </w:tr>
      <w:tr w:rsidR="00360219" w14:paraId="7DCCAF3A" w14:textId="77777777">
        <w:trPr>
          <w:cantSplit/>
          <w:jc w:val="center"/>
        </w:trPr>
        <w:tc>
          <w:tcPr>
            <w:tcW w:w="2880" w:type="dxa"/>
            <w:shd w:val="clear" w:color="auto" w:fill="F4F6F8"/>
            <w:tcMar>
              <w:top w:w="100" w:type="dxa"/>
              <w:left w:w="110" w:type="dxa"/>
              <w:bottom w:w="100" w:type="dxa"/>
              <w:right w:w="110" w:type="dxa"/>
            </w:tcMar>
            <w:vAlign w:val="center"/>
          </w:tcPr>
          <w:p w14:paraId="7D7A30F9" w14:textId="77777777" w:rsidR="00360219" w:rsidRDefault="003015F4">
            <w:pPr>
              <w:spacing w:after="0" w:line="252" w:lineRule="auto"/>
              <w:jc w:val="center"/>
            </w:pPr>
            <w:r>
              <w:rPr>
                <w:b/>
                <w:color w:val="172033"/>
                <w:sz w:val="18"/>
              </w:rPr>
              <w:t>DeclaredPrecision</w:t>
            </w:r>
          </w:p>
        </w:tc>
        <w:tc>
          <w:tcPr>
            <w:tcW w:w="6768" w:type="dxa"/>
            <w:tcMar>
              <w:top w:w="100" w:type="dxa"/>
              <w:left w:w="110" w:type="dxa"/>
              <w:bottom w:w="100" w:type="dxa"/>
              <w:right w:w="110" w:type="dxa"/>
            </w:tcMar>
            <w:vAlign w:val="center"/>
          </w:tcPr>
          <w:p w14:paraId="53B5BAD0" w14:textId="77777777" w:rsidR="00360219" w:rsidRDefault="003015F4">
            <w:pPr>
              <w:spacing w:after="0" w:line="252" w:lineRule="auto"/>
            </w:pPr>
            <w:r>
              <w:rPr>
                <w:color w:val="172033"/>
                <w:sz w:val="18"/>
              </w:rPr>
              <w:t>Effective precision of the normalized result.</w:t>
            </w:r>
          </w:p>
        </w:tc>
      </w:tr>
      <w:tr w:rsidR="00360219" w14:paraId="58254917" w14:textId="77777777">
        <w:trPr>
          <w:cantSplit/>
          <w:jc w:val="center"/>
        </w:trPr>
        <w:tc>
          <w:tcPr>
            <w:tcW w:w="2880" w:type="dxa"/>
            <w:shd w:val="clear" w:color="auto" w:fill="F4F6F8"/>
            <w:tcMar>
              <w:top w:w="100" w:type="dxa"/>
              <w:left w:w="110" w:type="dxa"/>
              <w:bottom w:w="100" w:type="dxa"/>
              <w:right w:w="110" w:type="dxa"/>
            </w:tcMar>
            <w:vAlign w:val="center"/>
          </w:tcPr>
          <w:p w14:paraId="306B32F7" w14:textId="77777777" w:rsidR="00360219" w:rsidRDefault="003015F4">
            <w:pPr>
              <w:spacing w:after="0" w:line="252" w:lineRule="auto"/>
              <w:jc w:val="center"/>
            </w:pPr>
            <w:r>
              <w:rPr>
                <w:b/>
                <w:color w:val="172033"/>
                <w:sz w:val="18"/>
              </w:rPr>
              <w:t>Error / Confidence</w:t>
            </w:r>
          </w:p>
        </w:tc>
        <w:tc>
          <w:tcPr>
            <w:tcW w:w="6768" w:type="dxa"/>
            <w:tcMar>
              <w:top w:w="100" w:type="dxa"/>
              <w:left w:w="110" w:type="dxa"/>
              <w:bottom w:w="100" w:type="dxa"/>
              <w:right w:w="110" w:type="dxa"/>
            </w:tcMar>
            <w:vAlign w:val="center"/>
          </w:tcPr>
          <w:p w14:paraId="1B8F00FA" w14:textId="77777777" w:rsidR="00360219" w:rsidRDefault="003015F4">
            <w:pPr>
              <w:spacing w:after="0" w:line="252" w:lineRule="auto"/>
            </w:pPr>
            <w:r>
              <w:rPr>
                <w:color w:val="172033"/>
                <w:sz w:val="18"/>
              </w:rPr>
              <w:t>Measurement or Model uncertainty where available.</w:t>
            </w:r>
          </w:p>
        </w:tc>
      </w:tr>
      <w:tr w:rsidR="00360219" w14:paraId="501B326C" w14:textId="77777777">
        <w:trPr>
          <w:cantSplit/>
          <w:jc w:val="center"/>
        </w:trPr>
        <w:tc>
          <w:tcPr>
            <w:tcW w:w="2880" w:type="dxa"/>
            <w:shd w:val="clear" w:color="auto" w:fill="F4F6F8"/>
            <w:tcMar>
              <w:top w:w="100" w:type="dxa"/>
              <w:left w:w="110" w:type="dxa"/>
              <w:bottom w:w="100" w:type="dxa"/>
              <w:right w:w="110" w:type="dxa"/>
            </w:tcMar>
            <w:vAlign w:val="center"/>
          </w:tcPr>
          <w:p w14:paraId="2971E221" w14:textId="77777777" w:rsidR="00360219" w:rsidRDefault="003015F4">
            <w:pPr>
              <w:spacing w:after="0" w:line="252" w:lineRule="auto"/>
              <w:jc w:val="center"/>
            </w:pPr>
            <w:r>
              <w:rPr>
                <w:b/>
                <w:color w:val="172033"/>
                <w:sz w:val="18"/>
              </w:rPr>
              <w:t>Timestamp</w:t>
            </w:r>
          </w:p>
        </w:tc>
        <w:tc>
          <w:tcPr>
            <w:tcW w:w="6768" w:type="dxa"/>
            <w:tcMar>
              <w:top w:w="100" w:type="dxa"/>
              <w:left w:w="110" w:type="dxa"/>
              <w:bottom w:w="100" w:type="dxa"/>
              <w:right w:w="110" w:type="dxa"/>
            </w:tcMar>
            <w:vAlign w:val="center"/>
          </w:tcPr>
          <w:p w14:paraId="10FCDF9D" w14:textId="77777777" w:rsidR="00360219" w:rsidRDefault="003015F4">
            <w:pPr>
              <w:spacing w:after="0" w:line="252" w:lineRule="auto"/>
            </w:pPr>
            <w:r>
              <w:rPr>
                <w:color w:val="172033"/>
                <w:sz w:val="18"/>
              </w:rPr>
              <w:t>Time associated with the state.</w:t>
            </w:r>
          </w:p>
        </w:tc>
      </w:tr>
      <w:tr w:rsidR="00360219" w14:paraId="1D9E6927" w14:textId="77777777">
        <w:trPr>
          <w:cantSplit/>
          <w:jc w:val="center"/>
        </w:trPr>
        <w:tc>
          <w:tcPr>
            <w:tcW w:w="2880" w:type="dxa"/>
            <w:shd w:val="clear" w:color="auto" w:fill="F4F6F8"/>
            <w:tcMar>
              <w:top w:w="100" w:type="dxa"/>
              <w:left w:w="110" w:type="dxa"/>
              <w:bottom w:w="100" w:type="dxa"/>
              <w:right w:w="110" w:type="dxa"/>
            </w:tcMar>
            <w:vAlign w:val="center"/>
          </w:tcPr>
          <w:p w14:paraId="3E6A2F67" w14:textId="77777777" w:rsidR="00360219" w:rsidRDefault="003015F4">
            <w:pPr>
              <w:spacing w:after="0" w:line="252" w:lineRule="auto"/>
              <w:jc w:val="center"/>
            </w:pPr>
            <w:r>
              <w:rPr>
                <w:b/>
                <w:color w:val="172033"/>
                <w:sz w:val="18"/>
              </w:rPr>
              <w:t>Provenance</w:t>
            </w:r>
          </w:p>
        </w:tc>
        <w:tc>
          <w:tcPr>
            <w:tcW w:w="6768" w:type="dxa"/>
            <w:tcMar>
              <w:top w:w="100" w:type="dxa"/>
              <w:left w:w="110" w:type="dxa"/>
              <w:bottom w:w="100" w:type="dxa"/>
              <w:right w:w="110" w:type="dxa"/>
            </w:tcMar>
            <w:vAlign w:val="center"/>
          </w:tcPr>
          <w:p w14:paraId="0AA957EA" w14:textId="77777777" w:rsidR="00360219" w:rsidRDefault="003015F4">
            <w:pPr>
              <w:spacing w:after="0" w:line="252" w:lineRule="auto"/>
            </w:pPr>
            <w:r>
              <w:rPr>
                <w:color w:val="172033"/>
                <w:sz w:val="18"/>
              </w:rPr>
              <w:t>Source, Scale, Formula, calibration, and relevant versions.</w:t>
            </w:r>
          </w:p>
        </w:tc>
      </w:tr>
    </w:tbl>
    <w:p w14:paraId="6134B909" w14:textId="77777777" w:rsidR="00360219" w:rsidRDefault="00360219">
      <w:pPr>
        <w:spacing w:after="40"/>
      </w:pPr>
    </w:p>
    <w:p w14:paraId="3EAB6D21" w14:textId="77777777" w:rsidR="00360219" w:rsidRDefault="003015F4">
      <w:pPr>
        <w:pStyle w:val="Heading1"/>
        <w:spacing w:before="200" w:after="100" w:line="240" w:lineRule="auto"/>
      </w:pPr>
      <w:r>
        <w:rPr>
          <w:rFonts w:ascii="Arial" w:hAnsi="Arial"/>
        </w:rPr>
        <w:t>B.3 Reversibility States</w:t>
      </w:r>
    </w:p>
    <w:tbl>
      <w:tblPr>
        <w:tblStyle w:val="TableGrid"/>
        <w:tblW w:w="0" w:type="auto"/>
        <w:jc w:val="center"/>
        <w:tblLayout w:type="fixed"/>
        <w:tblLook w:val="04A0" w:firstRow="1" w:lastRow="0" w:firstColumn="1" w:lastColumn="0" w:noHBand="0" w:noVBand="1"/>
      </w:tblPr>
      <w:tblGrid>
        <w:gridCol w:w="1944"/>
        <w:gridCol w:w="7703"/>
      </w:tblGrid>
      <w:tr w:rsidR="00360219" w14:paraId="74E921BB" w14:textId="77777777">
        <w:trPr>
          <w:tblHeader/>
          <w:jc w:val="center"/>
        </w:trPr>
        <w:tc>
          <w:tcPr>
            <w:tcW w:w="1944" w:type="dxa"/>
            <w:shd w:val="clear" w:color="auto" w:fill="172033"/>
            <w:tcMar>
              <w:top w:w="100" w:type="dxa"/>
              <w:left w:w="110" w:type="dxa"/>
              <w:bottom w:w="100" w:type="dxa"/>
              <w:right w:w="110" w:type="dxa"/>
            </w:tcMar>
            <w:vAlign w:val="center"/>
          </w:tcPr>
          <w:p w14:paraId="5186632E" w14:textId="77777777" w:rsidR="00360219" w:rsidRDefault="003015F4">
            <w:pPr>
              <w:jc w:val="center"/>
            </w:pPr>
            <w:r>
              <w:rPr>
                <w:b/>
                <w:color w:val="FFFFFF"/>
                <w:sz w:val="18"/>
              </w:rPr>
              <w:t>State</w:t>
            </w:r>
          </w:p>
        </w:tc>
        <w:tc>
          <w:tcPr>
            <w:tcW w:w="7703" w:type="dxa"/>
            <w:shd w:val="clear" w:color="auto" w:fill="172033"/>
            <w:tcMar>
              <w:top w:w="100" w:type="dxa"/>
              <w:left w:w="110" w:type="dxa"/>
              <w:bottom w:w="100" w:type="dxa"/>
              <w:right w:w="110" w:type="dxa"/>
            </w:tcMar>
            <w:vAlign w:val="center"/>
          </w:tcPr>
          <w:p w14:paraId="2B97AD89" w14:textId="77777777" w:rsidR="00360219" w:rsidRDefault="003015F4">
            <w:pPr>
              <w:jc w:val="center"/>
            </w:pPr>
            <w:r>
              <w:rPr>
                <w:b/>
                <w:color w:val="FFFFFF"/>
                <w:sz w:val="18"/>
              </w:rPr>
              <w:t>Meaning</w:t>
            </w:r>
          </w:p>
        </w:tc>
      </w:tr>
      <w:tr w:rsidR="00360219" w14:paraId="2C213D55" w14:textId="77777777">
        <w:trPr>
          <w:cantSplit/>
          <w:jc w:val="center"/>
        </w:trPr>
        <w:tc>
          <w:tcPr>
            <w:tcW w:w="1944" w:type="dxa"/>
            <w:shd w:val="clear" w:color="auto" w:fill="F4F6F8"/>
            <w:tcMar>
              <w:top w:w="100" w:type="dxa"/>
              <w:left w:w="110" w:type="dxa"/>
              <w:bottom w:w="100" w:type="dxa"/>
              <w:right w:w="110" w:type="dxa"/>
            </w:tcMar>
            <w:vAlign w:val="center"/>
          </w:tcPr>
          <w:p w14:paraId="2EBFEF48" w14:textId="77777777" w:rsidR="00360219" w:rsidRDefault="003015F4">
            <w:pPr>
              <w:spacing w:after="0" w:line="252" w:lineRule="auto"/>
              <w:jc w:val="center"/>
            </w:pPr>
            <w:r>
              <w:rPr>
                <w:b/>
                <w:color w:val="172033"/>
                <w:sz w:val="18"/>
              </w:rPr>
              <w:t>EXACT</w:t>
            </w:r>
          </w:p>
        </w:tc>
        <w:tc>
          <w:tcPr>
            <w:tcW w:w="7703" w:type="dxa"/>
            <w:tcMar>
              <w:top w:w="100" w:type="dxa"/>
              <w:left w:w="110" w:type="dxa"/>
              <w:bottom w:w="100" w:type="dxa"/>
              <w:right w:w="110" w:type="dxa"/>
            </w:tcMar>
            <w:vAlign w:val="center"/>
          </w:tcPr>
          <w:p w14:paraId="144B69A9" w14:textId="77777777" w:rsidR="00360219" w:rsidRDefault="003015F4">
            <w:pPr>
              <w:spacing w:after="0" w:line="252" w:lineRule="auto"/>
            </w:pPr>
            <w:r>
              <w:rPr>
                <w:color w:val="172033"/>
                <w:sz w:val="18"/>
              </w:rPr>
              <w:t>The raw value can be recovered uniquely within declared precision and bounds.</w:t>
            </w:r>
          </w:p>
        </w:tc>
      </w:tr>
      <w:tr w:rsidR="00360219" w14:paraId="3A5B4E33" w14:textId="77777777">
        <w:trPr>
          <w:cantSplit/>
          <w:jc w:val="center"/>
        </w:trPr>
        <w:tc>
          <w:tcPr>
            <w:tcW w:w="1944" w:type="dxa"/>
            <w:shd w:val="clear" w:color="auto" w:fill="F4F6F8"/>
            <w:tcMar>
              <w:top w:w="100" w:type="dxa"/>
              <w:left w:w="110" w:type="dxa"/>
              <w:bottom w:w="100" w:type="dxa"/>
              <w:right w:w="110" w:type="dxa"/>
            </w:tcMar>
            <w:vAlign w:val="center"/>
          </w:tcPr>
          <w:p w14:paraId="123A9D8E" w14:textId="77777777" w:rsidR="00360219" w:rsidRDefault="003015F4">
            <w:pPr>
              <w:spacing w:after="0" w:line="252" w:lineRule="auto"/>
              <w:jc w:val="center"/>
            </w:pPr>
            <w:r>
              <w:rPr>
                <w:b/>
                <w:color w:val="172033"/>
                <w:sz w:val="18"/>
              </w:rPr>
              <w:t>APPROXIMATE</w:t>
            </w:r>
          </w:p>
        </w:tc>
        <w:tc>
          <w:tcPr>
            <w:tcW w:w="7703" w:type="dxa"/>
            <w:tcMar>
              <w:top w:w="100" w:type="dxa"/>
              <w:left w:w="110" w:type="dxa"/>
              <w:bottom w:w="100" w:type="dxa"/>
              <w:right w:w="110" w:type="dxa"/>
            </w:tcMar>
            <w:vAlign w:val="center"/>
          </w:tcPr>
          <w:p w14:paraId="6DBB027C" w14:textId="77777777" w:rsidR="00360219" w:rsidRDefault="003015F4">
            <w:pPr>
              <w:spacing w:after="0" w:line="252" w:lineRule="auto"/>
            </w:pPr>
            <w:r>
              <w:rPr>
                <w:color w:val="172033"/>
                <w:sz w:val="18"/>
              </w:rPr>
              <w:t>An inverse estimate is available but information has been lost or rounded.</w:t>
            </w:r>
          </w:p>
        </w:tc>
      </w:tr>
      <w:tr w:rsidR="00360219" w14:paraId="61B9CEE6" w14:textId="77777777">
        <w:trPr>
          <w:cantSplit/>
          <w:jc w:val="center"/>
        </w:trPr>
        <w:tc>
          <w:tcPr>
            <w:tcW w:w="1944" w:type="dxa"/>
            <w:shd w:val="clear" w:color="auto" w:fill="F4F6F8"/>
            <w:tcMar>
              <w:top w:w="100" w:type="dxa"/>
              <w:left w:w="110" w:type="dxa"/>
              <w:bottom w:w="100" w:type="dxa"/>
              <w:right w:w="110" w:type="dxa"/>
            </w:tcMar>
            <w:vAlign w:val="center"/>
          </w:tcPr>
          <w:p w14:paraId="5BD3DDCE" w14:textId="77777777" w:rsidR="00360219" w:rsidRDefault="003015F4">
            <w:pPr>
              <w:spacing w:after="0" w:line="252" w:lineRule="auto"/>
              <w:jc w:val="center"/>
            </w:pPr>
            <w:r>
              <w:rPr>
                <w:b/>
                <w:color w:val="172033"/>
                <w:sz w:val="18"/>
              </w:rPr>
              <w:t>RANGE-ONLY</w:t>
            </w:r>
          </w:p>
        </w:tc>
        <w:tc>
          <w:tcPr>
            <w:tcW w:w="7703" w:type="dxa"/>
            <w:tcMar>
              <w:top w:w="100" w:type="dxa"/>
              <w:left w:w="110" w:type="dxa"/>
              <w:bottom w:w="100" w:type="dxa"/>
              <w:right w:w="110" w:type="dxa"/>
            </w:tcMar>
            <w:vAlign w:val="center"/>
          </w:tcPr>
          <w:p w14:paraId="69F11B86" w14:textId="77777777" w:rsidR="00360219" w:rsidRDefault="003015F4">
            <w:pPr>
              <w:spacing w:after="0" w:line="252" w:lineRule="auto"/>
            </w:pPr>
            <w:r>
              <w:rPr>
                <w:color w:val="172033"/>
                <w:sz w:val="18"/>
              </w:rPr>
              <w:t>The inverse identifies a bounded range or Step rather than a unique raw value.</w:t>
            </w:r>
          </w:p>
        </w:tc>
      </w:tr>
      <w:tr w:rsidR="00360219" w14:paraId="48A5863D" w14:textId="77777777">
        <w:trPr>
          <w:cantSplit/>
          <w:jc w:val="center"/>
        </w:trPr>
        <w:tc>
          <w:tcPr>
            <w:tcW w:w="1944" w:type="dxa"/>
            <w:shd w:val="clear" w:color="auto" w:fill="F4F6F8"/>
            <w:tcMar>
              <w:top w:w="100" w:type="dxa"/>
              <w:left w:w="110" w:type="dxa"/>
              <w:bottom w:w="100" w:type="dxa"/>
              <w:right w:w="110" w:type="dxa"/>
            </w:tcMar>
            <w:vAlign w:val="center"/>
          </w:tcPr>
          <w:p w14:paraId="30434AFC" w14:textId="77777777" w:rsidR="00360219" w:rsidRDefault="003015F4">
            <w:pPr>
              <w:spacing w:after="0" w:line="252" w:lineRule="auto"/>
              <w:jc w:val="center"/>
            </w:pPr>
            <w:r>
              <w:rPr>
                <w:b/>
                <w:color w:val="172033"/>
                <w:sz w:val="18"/>
              </w:rPr>
              <w:t>UNSUPPORTED</w:t>
            </w:r>
          </w:p>
        </w:tc>
        <w:tc>
          <w:tcPr>
            <w:tcW w:w="7703" w:type="dxa"/>
            <w:tcMar>
              <w:top w:w="100" w:type="dxa"/>
              <w:left w:w="110" w:type="dxa"/>
              <w:bottom w:w="100" w:type="dxa"/>
              <w:right w:w="110" w:type="dxa"/>
            </w:tcMar>
            <w:vAlign w:val="center"/>
          </w:tcPr>
          <w:p w14:paraId="20A081F0" w14:textId="77777777" w:rsidR="00360219" w:rsidRDefault="003015F4">
            <w:pPr>
              <w:spacing w:after="0" w:line="252" w:lineRule="auto"/>
            </w:pPr>
            <w:r>
              <w:rPr>
                <w:color w:val="172033"/>
                <w:sz w:val="18"/>
              </w:rPr>
              <w:t>The mapping is intentionally non-invertible or no validated inverse exists.</w:t>
            </w:r>
          </w:p>
        </w:tc>
      </w:tr>
    </w:tbl>
    <w:p w14:paraId="111BB8E4" w14:textId="77777777" w:rsidR="00360219" w:rsidRDefault="00360219">
      <w:pPr>
        <w:spacing w:after="40"/>
      </w:pPr>
    </w:p>
    <w:p w14:paraId="6F90B76D" w14:textId="77777777" w:rsidR="00360219" w:rsidRDefault="003015F4">
      <w:pPr>
        <w:pageBreakBefore/>
        <w:spacing w:before="2200"/>
      </w:pPr>
      <w:r>
        <w:rPr>
          <w:b/>
          <w:color w:val="1E5AA8"/>
          <w:sz w:val="26"/>
        </w:rPr>
        <w:t>PART C</w:t>
      </w:r>
    </w:p>
    <w:p w14:paraId="1DD9BE12" w14:textId="77777777" w:rsidR="00360219" w:rsidRDefault="003015F4">
      <w:pPr>
        <w:spacing w:before="160" w:after="240" w:line="240" w:lineRule="auto"/>
      </w:pPr>
      <w:r>
        <w:rPr>
          <w:b/>
          <w:color w:val="172033"/>
          <w:sz w:val="56"/>
        </w:rPr>
        <w:t>Conformance Test Matrix</w:t>
      </w:r>
    </w:p>
    <w:p w14:paraId="455D7A8D" w14:textId="77777777" w:rsidR="00360219" w:rsidRDefault="003015F4">
      <w:pPr>
        <w:spacing w:after="0" w:line="276" w:lineRule="auto"/>
      </w:pPr>
      <w:r>
        <w:rPr>
          <w:color w:val="5B6577"/>
          <w:sz w:val="25"/>
        </w:rPr>
        <w:t>Reference test set for validating semantic correctness, traceability, and boundary preservation.</w:t>
      </w:r>
    </w:p>
    <w:tbl>
      <w:tblPr>
        <w:tblW w:w="0" w:type="auto"/>
        <w:tblLayout w:type="fixed"/>
        <w:tblLook w:val="04A0" w:firstRow="1" w:lastRow="0" w:firstColumn="1" w:lastColumn="0" w:noHBand="0" w:noVBand="1"/>
      </w:tblPr>
      <w:tblGrid>
        <w:gridCol w:w="1440"/>
      </w:tblGrid>
      <w:tr w:rsidR="00360219" w14:paraId="01458ECF" w14:textId="77777777">
        <w:tc>
          <w:tcPr>
            <w:tcW w:w="1440" w:type="dxa"/>
            <w:shd w:val="clear" w:color="auto" w:fill="1E5AA8"/>
            <w:tcMar>
              <w:top w:w="20" w:type="dxa"/>
              <w:left w:w="20" w:type="dxa"/>
              <w:bottom w:w="20" w:type="dxa"/>
              <w:right w:w="20" w:type="dxa"/>
            </w:tcMar>
          </w:tcPr>
          <w:p w14:paraId="2E334E0A" w14:textId="77777777" w:rsidR="00360219" w:rsidRDefault="00360219"/>
        </w:tc>
      </w:tr>
    </w:tbl>
    <w:p w14:paraId="64843F03" w14:textId="77777777" w:rsidR="00360219" w:rsidRDefault="003015F4">
      <w:r>
        <w:br w:type="page"/>
      </w:r>
    </w:p>
    <w:tbl>
      <w:tblPr>
        <w:tblStyle w:val="TableGrid"/>
        <w:tblW w:w="0" w:type="auto"/>
        <w:jc w:val="center"/>
        <w:tblLayout w:type="fixed"/>
        <w:tblLook w:val="04A0" w:firstRow="1" w:lastRow="0" w:firstColumn="1" w:lastColumn="0" w:noHBand="0" w:noVBand="1"/>
      </w:tblPr>
      <w:tblGrid>
        <w:gridCol w:w="2160"/>
        <w:gridCol w:w="3240"/>
        <w:gridCol w:w="4248"/>
      </w:tblGrid>
      <w:tr w:rsidR="00360219" w14:paraId="4EE59A16" w14:textId="77777777">
        <w:trPr>
          <w:tblHeader/>
          <w:jc w:val="center"/>
        </w:trPr>
        <w:tc>
          <w:tcPr>
            <w:tcW w:w="2160" w:type="dxa"/>
            <w:shd w:val="clear" w:color="auto" w:fill="172033"/>
            <w:tcMar>
              <w:top w:w="100" w:type="dxa"/>
              <w:left w:w="110" w:type="dxa"/>
              <w:bottom w:w="100" w:type="dxa"/>
              <w:right w:w="110" w:type="dxa"/>
            </w:tcMar>
            <w:vAlign w:val="center"/>
          </w:tcPr>
          <w:p w14:paraId="40724F8D" w14:textId="77777777" w:rsidR="00360219" w:rsidRDefault="003015F4">
            <w:pPr>
              <w:jc w:val="center"/>
            </w:pPr>
            <w:r>
              <w:rPr>
                <w:b/>
                <w:color w:val="FFFFFF"/>
                <w:sz w:val="18"/>
              </w:rPr>
              <w:t>ID / Test</w:t>
            </w:r>
          </w:p>
        </w:tc>
        <w:tc>
          <w:tcPr>
            <w:tcW w:w="3240" w:type="dxa"/>
            <w:shd w:val="clear" w:color="auto" w:fill="172033"/>
            <w:tcMar>
              <w:top w:w="100" w:type="dxa"/>
              <w:left w:w="110" w:type="dxa"/>
              <w:bottom w:w="100" w:type="dxa"/>
              <w:right w:w="110" w:type="dxa"/>
            </w:tcMar>
            <w:vAlign w:val="center"/>
          </w:tcPr>
          <w:p w14:paraId="7C62A405" w14:textId="77777777" w:rsidR="00360219" w:rsidRDefault="003015F4">
            <w:pPr>
              <w:jc w:val="center"/>
            </w:pPr>
            <w:r>
              <w:rPr>
                <w:b/>
                <w:color w:val="FFFFFF"/>
                <w:sz w:val="18"/>
              </w:rPr>
              <w:t>Question</w:t>
            </w:r>
          </w:p>
        </w:tc>
        <w:tc>
          <w:tcPr>
            <w:tcW w:w="4248" w:type="dxa"/>
            <w:shd w:val="clear" w:color="auto" w:fill="172033"/>
            <w:tcMar>
              <w:top w:w="100" w:type="dxa"/>
              <w:left w:w="110" w:type="dxa"/>
              <w:bottom w:w="100" w:type="dxa"/>
              <w:right w:w="110" w:type="dxa"/>
            </w:tcMar>
            <w:vAlign w:val="center"/>
          </w:tcPr>
          <w:p w14:paraId="6F3B3ED0" w14:textId="77777777" w:rsidR="00360219" w:rsidRDefault="003015F4">
            <w:pPr>
              <w:jc w:val="center"/>
            </w:pPr>
            <w:r>
              <w:rPr>
                <w:b/>
                <w:color w:val="FFFFFF"/>
                <w:sz w:val="18"/>
              </w:rPr>
              <w:t>Conformance condition</w:t>
            </w:r>
          </w:p>
        </w:tc>
      </w:tr>
      <w:tr w:rsidR="00360219" w14:paraId="43A2C350" w14:textId="77777777">
        <w:trPr>
          <w:cantSplit/>
          <w:jc w:val="center"/>
        </w:trPr>
        <w:tc>
          <w:tcPr>
            <w:tcW w:w="2160" w:type="dxa"/>
            <w:tcMar>
              <w:top w:w="100" w:type="dxa"/>
              <w:left w:w="110" w:type="dxa"/>
              <w:bottom w:w="100" w:type="dxa"/>
              <w:right w:w="110" w:type="dxa"/>
            </w:tcMar>
            <w:vAlign w:val="center"/>
          </w:tcPr>
          <w:p w14:paraId="595526D1" w14:textId="77777777" w:rsidR="00360219" w:rsidRDefault="003015F4">
            <w:pPr>
              <w:spacing w:after="0" w:line="252" w:lineRule="auto"/>
              <w:jc w:val="center"/>
            </w:pPr>
            <w:r>
              <w:rPr>
                <w:b/>
                <w:color w:val="172033"/>
                <w:sz w:val="16"/>
              </w:rPr>
              <w:t>NPG-C01 Raw Traceability</w:t>
            </w:r>
          </w:p>
        </w:tc>
        <w:tc>
          <w:tcPr>
            <w:tcW w:w="3240" w:type="dxa"/>
            <w:tcMar>
              <w:top w:w="100" w:type="dxa"/>
              <w:left w:w="110" w:type="dxa"/>
              <w:bottom w:w="100" w:type="dxa"/>
              <w:right w:w="110" w:type="dxa"/>
            </w:tcMar>
            <w:vAlign w:val="center"/>
          </w:tcPr>
          <w:p w14:paraId="32BEFE30" w14:textId="77777777" w:rsidR="00360219" w:rsidRDefault="003015F4">
            <w:pPr>
              <w:spacing w:after="0" w:line="252" w:lineRule="auto"/>
            </w:pPr>
            <w:r>
              <w:rPr>
                <w:color w:val="172033"/>
                <w:sz w:val="16"/>
              </w:rPr>
              <w:t>Can the normalized value be traced to its original measurement and unit?</w:t>
            </w:r>
          </w:p>
        </w:tc>
        <w:tc>
          <w:tcPr>
            <w:tcW w:w="4248" w:type="dxa"/>
            <w:tcMar>
              <w:top w:w="100" w:type="dxa"/>
              <w:left w:w="110" w:type="dxa"/>
              <w:bottom w:w="100" w:type="dxa"/>
              <w:right w:w="110" w:type="dxa"/>
            </w:tcMar>
            <w:vAlign w:val="center"/>
          </w:tcPr>
          <w:p w14:paraId="642A3E3E" w14:textId="77777777" w:rsidR="00360219" w:rsidRDefault="003015F4">
            <w:pPr>
              <w:spacing w:after="0" w:line="252" w:lineRule="auto"/>
            </w:pPr>
            <w:r>
              <w:rPr>
                <w:color w:val="172033"/>
                <w:sz w:val="16"/>
              </w:rPr>
              <w:t>PASS if source value, unit, Scale, and Formula lineage are recoverable.</w:t>
            </w:r>
          </w:p>
        </w:tc>
      </w:tr>
      <w:tr w:rsidR="00360219" w14:paraId="1C04F580" w14:textId="77777777">
        <w:trPr>
          <w:cantSplit/>
          <w:jc w:val="center"/>
        </w:trPr>
        <w:tc>
          <w:tcPr>
            <w:tcW w:w="2160" w:type="dxa"/>
            <w:tcMar>
              <w:top w:w="100" w:type="dxa"/>
              <w:left w:w="110" w:type="dxa"/>
              <w:bottom w:w="100" w:type="dxa"/>
              <w:right w:w="110" w:type="dxa"/>
            </w:tcMar>
            <w:vAlign w:val="center"/>
          </w:tcPr>
          <w:p w14:paraId="562BB864" w14:textId="77777777" w:rsidR="00360219" w:rsidRDefault="003015F4">
            <w:pPr>
              <w:spacing w:after="0" w:line="252" w:lineRule="auto"/>
              <w:jc w:val="center"/>
            </w:pPr>
            <w:r>
              <w:rPr>
                <w:b/>
                <w:color w:val="172033"/>
                <w:sz w:val="16"/>
              </w:rPr>
              <w:t>NPG-C02 Scale Resolution</w:t>
            </w:r>
          </w:p>
        </w:tc>
        <w:tc>
          <w:tcPr>
            <w:tcW w:w="3240" w:type="dxa"/>
            <w:tcMar>
              <w:top w:w="100" w:type="dxa"/>
              <w:left w:w="110" w:type="dxa"/>
              <w:bottom w:w="100" w:type="dxa"/>
              <w:right w:w="110" w:type="dxa"/>
            </w:tcMar>
            <w:vAlign w:val="center"/>
          </w:tcPr>
          <w:p w14:paraId="664DB67B" w14:textId="77777777" w:rsidR="00360219" w:rsidRDefault="003015F4">
            <w:pPr>
              <w:spacing w:after="0" w:line="252" w:lineRule="auto"/>
            </w:pPr>
            <w:r>
              <w:rPr>
                <w:color w:val="172033"/>
                <w:sz w:val="16"/>
              </w:rPr>
              <w:t>Can the exact Normalization Scale be identified?</w:t>
            </w:r>
          </w:p>
        </w:tc>
        <w:tc>
          <w:tcPr>
            <w:tcW w:w="4248" w:type="dxa"/>
            <w:tcMar>
              <w:top w:w="100" w:type="dxa"/>
              <w:left w:w="110" w:type="dxa"/>
              <w:bottom w:w="100" w:type="dxa"/>
              <w:right w:w="110" w:type="dxa"/>
            </w:tcMar>
            <w:vAlign w:val="center"/>
          </w:tcPr>
          <w:p w14:paraId="4E5E8AF0" w14:textId="77777777" w:rsidR="00360219" w:rsidRDefault="003015F4">
            <w:pPr>
              <w:spacing w:after="0" w:line="252" w:lineRule="auto"/>
            </w:pPr>
            <w:r>
              <w:rPr>
                <w:color w:val="172033"/>
                <w:sz w:val="16"/>
              </w:rPr>
              <w:t>PASS if the runtime resolves an exact Scale ID and version.</w:t>
            </w:r>
          </w:p>
        </w:tc>
      </w:tr>
      <w:tr w:rsidR="00360219" w14:paraId="65424B96" w14:textId="77777777">
        <w:trPr>
          <w:cantSplit/>
          <w:jc w:val="center"/>
        </w:trPr>
        <w:tc>
          <w:tcPr>
            <w:tcW w:w="2160" w:type="dxa"/>
            <w:tcMar>
              <w:top w:w="100" w:type="dxa"/>
              <w:left w:w="110" w:type="dxa"/>
              <w:bottom w:w="100" w:type="dxa"/>
              <w:right w:w="110" w:type="dxa"/>
            </w:tcMar>
            <w:vAlign w:val="center"/>
          </w:tcPr>
          <w:p w14:paraId="054B00F3" w14:textId="77777777" w:rsidR="00360219" w:rsidRDefault="003015F4">
            <w:pPr>
              <w:spacing w:after="0" w:line="252" w:lineRule="auto"/>
              <w:jc w:val="center"/>
            </w:pPr>
            <w:r>
              <w:rPr>
                <w:b/>
                <w:color w:val="172033"/>
                <w:sz w:val="16"/>
              </w:rPr>
              <w:t>NPG-C03 Formula Reproduction</w:t>
            </w:r>
          </w:p>
        </w:tc>
        <w:tc>
          <w:tcPr>
            <w:tcW w:w="3240" w:type="dxa"/>
            <w:tcMar>
              <w:top w:w="100" w:type="dxa"/>
              <w:left w:w="110" w:type="dxa"/>
              <w:bottom w:w="100" w:type="dxa"/>
              <w:right w:w="110" w:type="dxa"/>
            </w:tcMar>
            <w:vAlign w:val="center"/>
          </w:tcPr>
          <w:p w14:paraId="29702EC3" w14:textId="77777777" w:rsidR="00360219" w:rsidRDefault="003015F4">
            <w:pPr>
              <w:spacing w:after="0" w:line="252" w:lineRule="auto"/>
            </w:pPr>
            <w:r>
              <w:rPr>
                <w:color w:val="172033"/>
                <w:sz w:val="16"/>
              </w:rPr>
              <w:t>Can the normalized result be regenerated?</w:t>
            </w:r>
          </w:p>
        </w:tc>
        <w:tc>
          <w:tcPr>
            <w:tcW w:w="4248" w:type="dxa"/>
            <w:tcMar>
              <w:top w:w="100" w:type="dxa"/>
              <w:left w:w="110" w:type="dxa"/>
              <w:bottom w:w="100" w:type="dxa"/>
              <w:right w:w="110" w:type="dxa"/>
            </w:tcMar>
            <w:vAlign w:val="center"/>
          </w:tcPr>
          <w:p w14:paraId="4FBEC96D" w14:textId="77777777" w:rsidR="00360219" w:rsidRDefault="003015F4">
            <w:pPr>
              <w:spacing w:after="0" w:line="252" w:lineRule="auto"/>
            </w:pPr>
            <w:r>
              <w:rPr>
                <w:color w:val="172033"/>
                <w:sz w:val="16"/>
              </w:rPr>
              <w:t>PASS if the declared Formula and bounds reproduce the result within declared precision.</w:t>
            </w:r>
          </w:p>
        </w:tc>
      </w:tr>
      <w:tr w:rsidR="00360219" w14:paraId="349E2328" w14:textId="77777777">
        <w:trPr>
          <w:cantSplit/>
          <w:jc w:val="center"/>
        </w:trPr>
        <w:tc>
          <w:tcPr>
            <w:tcW w:w="2160" w:type="dxa"/>
            <w:tcMar>
              <w:top w:w="100" w:type="dxa"/>
              <w:left w:w="110" w:type="dxa"/>
              <w:bottom w:w="100" w:type="dxa"/>
              <w:right w:w="110" w:type="dxa"/>
            </w:tcMar>
            <w:vAlign w:val="center"/>
          </w:tcPr>
          <w:p w14:paraId="3B5AB666" w14:textId="77777777" w:rsidR="00360219" w:rsidRDefault="003015F4">
            <w:pPr>
              <w:spacing w:after="0" w:line="252" w:lineRule="auto"/>
              <w:jc w:val="center"/>
            </w:pPr>
            <w:r>
              <w:rPr>
                <w:b/>
                <w:color w:val="172033"/>
                <w:sz w:val="16"/>
              </w:rPr>
              <w:t>NPG-C04 Multi-Scale Quantity</w:t>
            </w:r>
          </w:p>
        </w:tc>
        <w:tc>
          <w:tcPr>
            <w:tcW w:w="3240" w:type="dxa"/>
            <w:tcMar>
              <w:top w:w="100" w:type="dxa"/>
              <w:left w:w="110" w:type="dxa"/>
              <w:bottom w:w="100" w:type="dxa"/>
              <w:right w:w="110" w:type="dxa"/>
            </w:tcMar>
            <w:vAlign w:val="center"/>
          </w:tcPr>
          <w:p w14:paraId="22143907" w14:textId="77777777" w:rsidR="00360219" w:rsidRDefault="003015F4">
            <w:pPr>
              <w:spacing w:after="0" w:line="252" w:lineRule="auto"/>
            </w:pPr>
            <w:r>
              <w:rPr>
                <w:color w:val="172033"/>
                <w:sz w:val="16"/>
              </w:rPr>
              <w:t>Can one Quantity use several Scales without identity collision?</w:t>
            </w:r>
          </w:p>
        </w:tc>
        <w:tc>
          <w:tcPr>
            <w:tcW w:w="4248" w:type="dxa"/>
            <w:tcMar>
              <w:top w:w="100" w:type="dxa"/>
              <w:left w:w="110" w:type="dxa"/>
              <w:bottom w:w="100" w:type="dxa"/>
              <w:right w:w="110" w:type="dxa"/>
            </w:tcMar>
            <w:vAlign w:val="center"/>
          </w:tcPr>
          <w:p w14:paraId="7CDC9070" w14:textId="77777777" w:rsidR="00360219" w:rsidRDefault="003015F4">
            <w:pPr>
              <w:spacing w:after="0" w:line="252" w:lineRule="auto"/>
            </w:pPr>
            <w:r>
              <w:rPr>
                <w:color w:val="172033"/>
                <w:sz w:val="16"/>
              </w:rPr>
              <w:t>PASS if each normalized result retains its distinct ScaleRef.</w:t>
            </w:r>
          </w:p>
        </w:tc>
      </w:tr>
      <w:tr w:rsidR="00360219" w14:paraId="2BFD9E64" w14:textId="77777777">
        <w:trPr>
          <w:cantSplit/>
          <w:jc w:val="center"/>
        </w:trPr>
        <w:tc>
          <w:tcPr>
            <w:tcW w:w="2160" w:type="dxa"/>
            <w:tcMar>
              <w:top w:w="100" w:type="dxa"/>
              <w:left w:w="110" w:type="dxa"/>
              <w:bottom w:w="100" w:type="dxa"/>
              <w:right w:w="110" w:type="dxa"/>
            </w:tcMar>
            <w:vAlign w:val="center"/>
          </w:tcPr>
          <w:p w14:paraId="31B782C9" w14:textId="77777777" w:rsidR="00360219" w:rsidRDefault="003015F4">
            <w:pPr>
              <w:spacing w:after="0" w:line="252" w:lineRule="auto"/>
              <w:jc w:val="center"/>
            </w:pPr>
            <w:r>
              <w:rPr>
                <w:b/>
                <w:color w:val="172033"/>
                <w:sz w:val="16"/>
              </w:rPr>
              <w:t>NPG-C05 Shared Perception</w:t>
            </w:r>
          </w:p>
        </w:tc>
        <w:tc>
          <w:tcPr>
            <w:tcW w:w="3240" w:type="dxa"/>
            <w:tcMar>
              <w:top w:w="100" w:type="dxa"/>
              <w:left w:w="110" w:type="dxa"/>
              <w:bottom w:w="100" w:type="dxa"/>
              <w:right w:w="110" w:type="dxa"/>
            </w:tcMar>
            <w:vAlign w:val="center"/>
          </w:tcPr>
          <w:p w14:paraId="682116E8" w14:textId="77777777" w:rsidR="00360219" w:rsidRDefault="003015F4">
            <w:pPr>
              <w:spacing w:after="0" w:line="252" w:lineRule="auto"/>
            </w:pPr>
            <w:r>
              <w:rPr>
                <w:color w:val="172033"/>
                <w:sz w:val="16"/>
              </w:rPr>
              <w:t>Can different Scales resolve to the same Perception identity?</w:t>
            </w:r>
          </w:p>
        </w:tc>
        <w:tc>
          <w:tcPr>
            <w:tcW w:w="4248" w:type="dxa"/>
            <w:tcMar>
              <w:top w:w="100" w:type="dxa"/>
              <w:left w:w="110" w:type="dxa"/>
              <w:bottom w:w="100" w:type="dxa"/>
              <w:right w:w="110" w:type="dxa"/>
            </w:tcMar>
            <w:vAlign w:val="center"/>
          </w:tcPr>
          <w:p w14:paraId="5878C3D5" w14:textId="77777777" w:rsidR="00360219" w:rsidRDefault="003015F4">
            <w:pPr>
              <w:spacing w:after="0" w:line="252" w:lineRule="auto"/>
            </w:pPr>
            <w:r>
              <w:rPr>
                <w:color w:val="172033"/>
                <w:sz w:val="16"/>
              </w:rPr>
              <w:t>PASS if they share NormalizedPerceptionRef without erasing Scale provenance.</w:t>
            </w:r>
          </w:p>
        </w:tc>
      </w:tr>
      <w:tr w:rsidR="00360219" w14:paraId="3773C61E" w14:textId="77777777">
        <w:trPr>
          <w:cantSplit/>
          <w:jc w:val="center"/>
        </w:trPr>
        <w:tc>
          <w:tcPr>
            <w:tcW w:w="2160" w:type="dxa"/>
            <w:tcMar>
              <w:top w:w="100" w:type="dxa"/>
              <w:left w:w="110" w:type="dxa"/>
              <w:bottom w:w="100" w:type="dxa"/>
              <w:right w:w="110" w:type="dxa"/>
            </w:tcMar>
            <w:vAlign w:val="center"/>
          </w:tcPr>
          <w:p w14:paraId="3BB23E44" w14:textId="77777777" w:rsidR="00360219" w:rsidRDefault="003015F4">
            <w:pPr>
              <w:spacing w:after="0" w:line="252" w:lineRule="auto"/>
              <w:jc w:val="center"/>
            </w:pPr>
            <w:r>
              <w:rPr>
                <w:b/>
                <w:color w:val="172033"/>
                <w:sz w:val="16"/>
              </w:rPr>
              <w:t>NPG-C06 GRADED Resolution</w:t>
            </w:r>
          </w:p>
        </w:tc>
        <w:tc>
          <w:tcPr>
            <w:tcW w:w="3240" w:type="dxa"/>
            <w:tcMar>
              <w:top w:w="100" w:type="dxa"/>
              <w:left w:w="110" w:type="dxa"/>
              <w:bottom w:w="100" w:type="dxa"/>
              <w:right w:w="110" w:type="dxa"/>
            </w:tcMar>
            <w:vAlign w:val="center"/>
          </w:tcPr>
          <w:p w14:paraId="400B8BAC" w14:textId="77777777" w:rsidR="00360219" w:rsidRDefault="003015F4">
            <w:pPr>
              <w:spacing w:after="0" w:line="252" w:lineRule="auto"/>
            </w:pPr>
            <w:r>
              <w:rPr>
                <w:color w:val="172033"/>
                <w:sz w:val="16"/>
              </w:rPr>
              <w:t>Does the Scale resolve the correct discrete Step?</w:t>
            </w:r>
          </w:p>
        </w:tc>
        <w:tc>
          <w:tcPr>
            <w:tcW w:w="4248" w:type="dxa"/>
            <w:tcMar>
              <w:top w:w="100" w:type="dxa"/>
              <w:left w:w="110" w:type="dxa"/>
              <w:bottom w:w="100" w:type="dxa"/>
              <w:right w:w="110" w:type="dxa"/>
            </w:tcMar>
            <w:vAlign w:val="center"/>
          </w:tcPr>
          <w:p w14:paraId="15FA1E94" w14:textId="77777777" w:rsidR="00360219" w:rsidRDefault="003015F4">
            <w:pPr>
              <w:spacing w:after="0" w:line="252" w:lineRule="auto"/>
            </w:pPr>
            <w:r>
              <w:rPr>
                <w:color w:val="172033"/>
                <w:sz w:val="16"/>
              </w:rPr>
              <w:t>PASS if raw/normalized position and transition Rules select the expected Step.</w:t>
            </w:r>
          </w:p>
        </w:tc>
      </w:tr>
      <w:tr w:rsidR="00360219" w14:paraId="6E574BC7" w14:textId="77777777">
        <w:trPr>
          <w:cantSplit/>
          <w:jc w:val="center"/>
        </w:trPr>
        <w:tc>
          <w:tcPr>
            <w:tcW w:w="2160" w:type="dxa"/>
            <w:tcMar>
              <w:top w:w="100" w:type="dxa"/>
              <w:left w:w="110" w:type="dxa"/>
              <w:bottom w:w="100" w:type="dxa"/>
              <w:right w:w="110" w:type="dxa"/>
            </w:tcMar>
            <w:vAlign w:val="center"/>
          </w:tcPr>
          <w:p w14:paraId="6F844922" w14:textId="77777777" w:rsidR="00360219" w:rsidRDefault="003015F4">
            <w:pPr>
              <w:spacing w:after="0" w:line="252" w:lineRule="auto"/>
              <w:jc w:val="center"/>
            </w:pPr>
            <w:r>
              <w:rPr>
                <w:b/>
                <w:color w:val="172033"/>
                <w:sz w:val="16"/>
              </w:rPr>
              <w:t>NPG-C07 GRADIENT Resolution</w:t>
            </w:r>
          </w:p>
        </w:tc>
        <w:tc>
          <w:tcPr>
            <w:tcW w:w="3240" w:type="dxa"/>
            <w:tcMar>
              <w:top w:w="100" w:type="dxa"/>
              <w:left w:w="110" w:type="dxa"/>
              <w:bottom w:w="100" w:type="dxa"/>
              <w:right w:w="110" w:type="dxa"/>
            </w:tcMar>
            <w:vAlign w:val="center"/>
          </w:tcPr>
          <w:p w14:paraId="40F68E32" w14:textId="77777777" w:rsidR="00360219" w:rsidRDefault="003015F4">
            <w:pPr>
              <w:spacing w:after="0" w:line="252" w:lineRule="auto"/>
            </w:pPr>
            <w:r>
              <w:rPr>
                <w:color w:val="172033"/>
                <w:sz w:val="16"/>
              </w:rPr>
              <w:t>Does interpolation behave as declared?</w:t>
            </w:r>
          </w:p>
        </w:tc>
        <w:tc>
          <w:tcPr>
            <w:tcW w:w="4248" w:type="dxa"/>
            <w:tcMar>
              <w:top w:w="100" w:type="dxa"/>
              <w:left w:w="110" w:type="dxa"/>
              <w:bottom w:w="100" w:type="dxa"/>
              <w:right w:w="110" w:type="dxa"/>
            </w:tcMar>
            <w:vAlign w:val="center"/>
          </w:tcPr>
          <w:p w14:paraId="4DB9DCC5" w14:textId="77777777" w:rsidR="00360219" w:rsidRDefault="003015F4">
            <w:pPr>
              <w:spacing w:after="0" w:line="252" w:lineRule="auto"/>
            </w:pPr>
            <w:r>
              <w:rPr>
                <w:color w:val="172033"/>
                <w:sz w:val="16"/>
              </w:rPr>
              <w:t>PASS if the continuous position follows the ordered anchors and Scale formula.</w:t>
            </w:r>
          </w:p>
        </w:tc>
      </w:tr>
      <w:tr w:rsidR="00360219" w14:paraId="455A5557" w14:textId="77777777">
        <w:trPr>
          <w:cantSplit/>
          <w:jc w:val="center"/>
        </w:trPr>
        <w:tc>
          <w:tcPr>
            <w:tcW w:w="2160" w:type="dxa"/>
            <w:tcMar>
              <w:top w:w="100" w:type="dxa"/>
              <w:left w:w="110" w:type="dxa"/>
              <w:bottom w:w="100" w:type="dxa"/>
              <w:right w:w="110" w:type="dxa"/>
            </w:tcMar>
            <w:vAlign w:val="center"/>
          </w:tcPr>
          <w:p w14:paraId="260305CF" w14:textId="77777777" w:rsidR="00360219" w:rsidRDefault="003015F4">
            <w:pPr>
              <w:spacing w:after="0" w:line="252" w:lineRule="auto"/>
              <w:jc w:val="center"/>
            </w:pPr>
            <w:r>
              <w:rPr>
                <w:b/>
                <w:color w:val="172033"/>
                <w:sz w:val="16"/>
              </w:rPr>
              <w:t>NPG-C08 Color Behavior</w:t>
            </w:r>
          </w:p>
        </w:tc>
        <w:tc>
          <w:tcPr>
            <w:tcW w:w="3240" w:type="dxa"/>
            <w:tcMar>
              <w:top w:w="100" w:type="dxa"/>
              <w:left w:w="110" w:type="dxa"/>
              <w:bottom w:w="100" w:type="dxa"/>
              <w:right w:w="110" w:type="dxa"/>
            </w:tcMar>
            <w:vAlign w:val="center"/>
          </w:tcPr>
          <w:p w14:paraId="5D029B0F" w14:textId="77777777" w:rsidR="00360219" w:rsidRDefault="003015F4">
            <w:pPr>
              <w:spacing w:after="0" w:line="252" w:lineRule="auto"/>
            </w:pPr>
            <w:r>
              <w:rPr>
                <w:color w:val="172033"/>
                <w:sz w:val="16"/>
              </w:rPr>
              <w:t>Does DEFAULT/CUSTOM color resolve correctly?</w:t>
            </w:r>
          </w:p>
        </w:tc>
        <w:tc>
          <w:tcPr>
            <w:tcW w:w="4248" w:type="dxa"/>
            <w:tcMar>
              <w:top w:w="100" w:type="dxa"/>
              <w:left w:w="110" w:type="dxa"/>
              <w:bottom w:w="100" w:type="dxa"/>
              <w:right w:w="110" w:type="dxa"/>
            </w:tcMar>
            <w:vAlign w:val="center"/>
          </w:tcPr>
          <w:p w14:paraId="48036584" w14:textId="77777777" w:rsidR="00360219" w:rsidRDefault="003015F4">
            <w:pPr>
              <w:spacing w:after="0" w:line="252" w:lineRule="auto"/>
            </w:pPr>
            <w:r>
              <w:rPr>
                <w:color w:val="172033"/>
                <w:sz w:val="16"/>
              </w:rPr>
              <w:t>PASS if Scale display color follows its declared mode without becoming a COLOR Transform.</w:t>
            </w:r>
          </w:p>
        </w:tc>
      </w:tr>
      <w:tr w:rsidR="00360219" w14:paraId="3E9E2DF9" w14:textId="77777777">
        <w:trPr>
          <w:cantSplit/>
          <w:jc w:val="center"/>
        </w:trPr>
        <w:tc>
          <w:tcPr>
            <w:tcW w:w="2160" w:type="dxa"/>
            <w:tcMar>
              <w:top w:w="100" w:type="dxa"/>
              <w:left w:w="110" w:type="dxa"/>
              <w:bottom w:w="100" w:type="dxa"/>
              <w:right w:w="110" w:type="dxa"/>
            </w:tcMar>
            <w:vAlign w:val="center"/>
          </w:tcPr>
          <w:p w14:paraId="3588C306" w14:textId="77777777" w:rsidR="00360219" w:rsidRDefault="003015F4">
            <w:pPr>
              <w:spacing w:after="0" w:line="252" w:lineRule="auto"/>
              <w:jc w:val="center"/>
            </w:pPr>
            <w:r>
              <w:rPr>
                <w:b/>
                <w:color w:val="172033"/>
                <w:sz w:val="16"/>
              </w:rPr>
              <w:t>NPG-C09 Hysteresis</w:t>
            </w:r>
          </w:p>
        </w:tc>
        <w:tc>
          <w:tcPr>
            <w:tcW w:w="3240" w:type="dxa"/>
            <w:tcMar>
              <w:top w:w="100" w:type="dxa"/>
              <w:left w:w="110" w:type="dxa"/>
              <w:bottom w:w="100" w:type="dxa"/>
              <w:right w:w="110" w:type="dxa"/>
            </w:tcMar>
            <w:vAlign w:val="center"/>
          </w:tcPr>
          <w:p w14:paraId="5AAE7D8B" w14:textId="77777777" w:rsidR="00360219" w:rsidRDefault="003015F4">
            <w:pPr>
              <w:spacing w:after="0" w:line="252" w:lineRule="auto"/>
            </w:pPr>
            <w:r>
              <w:rPr>
                <w:color w:val="172033"/>
                <w:sz w:val="16"/>
              </w:rPr>
              <w:t>Do transitions resist chatter?</w:t>
            </w:r>
          </w:p>
        </w:tc>
        <w:tc>
          <w:tcPr>
            <w:tcW w:w="4248" w:type="dxa"/>
            <w:tcMar>
              <w:top w:w="100" w:type="dxa"/>
              <w:left w:w="110" w:type="dxa"/>
              <w:bottom w:w="100" w:type="dxa"/>
              <w:right w:w="110" w:type="dxa"/>
            </w:tcMar>
            <w:vAlign w:val="center"/>
          </w:tcPr>
          <w:p w14:paraId="73131875" w14:textId="77777777" w:rsidR="00360219" w:rsidRDefault="003015F4">
            <w:pPr>
              <w:spacing w:after="0" w:line="252" w:lineRule="auto"/>
            </w:pPr>
            <w:r>
              <w:rPr>
                <w:color w:val="172033"/>
                <w:sz w:val="16"/>
              </w:rPr>
              <w:t>PASS if enter/return conditions and prior state are honored.</w:t>
            </w:r>
          </w:p>
        </w:tc>
      </w:tr>
      <w:tr w:rsidR="00360219" w14:paraId="5EE9F37F" w14:textId="77777777">
        <w:trPr>
          <w:cantSplit/>
          <w:jc w:val="center"/>
        </w:trPr>
        <w:tc>
          <w:tcPr>
            <w:tcW w:w="2160" w:type="dxa"/>
            <w:tcMar>
              <w:top w:w="100" w:type="dxa"/>
              <w:left w:w="110" w:type="dxa"/>
              <w:bottom w:w="100" w:type="dxa"/>
              <w:right w:w="110" w:type="dxa"/>
            </w:tcMar>
            <w:vAlign w:val="center"/>
          </w:tcPr>
          <w:p w14:paraId="555691D5" w14:textId="77777777" w:rsidR="00360219" w:rsidRDefault="003015F4">
            <w:pPr>
              <w:spacing w:after="0" w:line="252" w:lineRule="auto"/>
              <w:jc w:val="center"/>
            </w:pPr>
            <w:r>
              <w:rPr>
                <w:b/>
                <w:color w:val="172033"/>
                <w:sz w:val="16"/>
              </w:rPr>
              <w:t>NPG-C10 Gate Selection</w:t>
            </w:r>
          </w:p>
        </w:tc>
        <w:tc>
          <w:tcPr>
            <w:tcW w:w="3240" w:type="dxa"/>
            <w:tcMar>
              <w:top w:w="100" w:type="dxa"/>
              <w:left w:w="110" w:type="dxa"/>
              <w:bottom w:w="100" w:type="dxa"/>
              <w:right w:w="110" w:type="dxa"/>
            </w:tcMar>
            <w:vAlign w:val="center"/>
          </w:tcPr>
          <w:p w14:paraId="75257330" w14:textId="77777777" w:rsidR="00360219" w:rsidRDefault="003015F4">
            <w:pPr>
              <w:spacing w:after="0" w:line="252" w:lineRule="auto"/>
            </w:pPr>
            <w:r>
              <w:rPr>
                <w:color w:val="172033"/>
                <w:sz w:val="16"/>
              </w:rPr>
              <w:t>Does the correct formula regime apply?</w:t>
            </w:r>
          </w:p>
        </w:tc>
        <w:tc>
          <w:tcPr>
            <w:tcW w:w="4248" w:type="dxa"/>
            <w:tcMar>
              <w:top w:w="100" w:type="dxa"/>
              <w:left w:w="110" w:type="dxa"/>
              <w:bottom w:w="100" w:type="dxa"/>
              <w:right w:w="110" w:type="dxa"/>
            </w:tcMar>
            <w:vAlign w:val="center"/>
          </w:tcPr>
          <w:p w14:paraId="38C0FE56" w14:textId="77777777" w:rsidR="00360219" w:rsidRDefault="003015F4">
            <w:pPr>
              <w:spacing w:after="0" w:line="252" w:lineRule="auto"/>
            </w:pPr>
            <w:r>
              <w:rPr>
                <w:color w:val="172033"/>
                <w:sz w:val="16"/>
              </w:rPr>
              <w:t>PASS if active Gate and FormulaRef match the raw region and Rules.</w:t>
            </w:r>
          </w:p>
        </w:tc>
      </w:tr>
      <w:tr w:rsidR="00360219" w14:paraId="470F4917" w14:textId="77777777">
        <w:trPr>
          <w:cantSplit/>
          <w:jc w:val="center"/>
        </w:trPr>
        <w:tc>
          <w:tcPr>
            <w:tcW w:w="2160" w:type="dxa"/>
            <w:tcMar>
              <w:top w:w="100" w:type="dxa"/>
              <w:left w:w="110" w:type="dxa"/>
              <w:bottom w:w="100" w:type="dxa"/>
              <w:right w:w="110" w:type="dxa"/>
            </w:tcMar>
            <w:vAlign w:val="center"/>
          </w:tcPr>
          <w:p w14:paraId="502F2933" w14:textId="77777777" w:rsidR="00360219" w:rsidRDefault="003015F4">
            <w:pPr>
              <w:spacing w:after="0" w:line="252" w:lineRule="auto"/>
              <w:jc w:val="center"/>
            </w:pPr>
            <w:r>
              <w:rPr>
                <w:b/>
                <w:color w:val="172033"/>
                <w:sz w:val="16"/>
              </w:rPr>
              <w:t>NPG-C11 Null Separation</w:t>
            </w:r>
          </w:p>
        </w:tc>
        <w:tc>
          <w:tcPr>
            <w:tcW w:w="3240" w:type="dxa"/>
            <w:tcMar>
              <w:top w:w="100" w:type="dxa"/>
              <w:left w:w="110" w:type="dxa"/>
              <w:bottom w:w="100" w:type="dxa"/>
              <w:right w:w="110" w:type="dxa"/>
            </w:tcMar>
            <w:vAlign w:val="center"/>
          </w:tcPr>
          <w:p w14:paraId="3C4C701B" w14:textId="77777777" w:rsidR="00360219" w:rsidRDefault="003015F4">
            <w:pPr>
              <w:spacing w:after="0" w:line="252" w:lineRule="auto"/>
            </w:pPr>
            <w:r>
              <w:rPr>
                <w:color w:val="172033"/>
                <w:sz w:val="16"/>
              </w:rPr>
              <w:t>Is missing distinct from numeric zero?</w:t>
            </w:r>
          </w:p>
        </w:tc>
        <w:tc>
          <w:tcPr>
            <w:tcW w:w="4248" w:type="dxa"/>
            <w:tcMar>
              <w:top w:w="100" w:type="dxa"/>
              <w:left w:w="110" w:type="dxa"/>
              <w:bottom w:w="100" w:type="dxa"/>
              <w:right w:w="110" w:type="dxa"/>
            </w:tcMar>
            <w:vAlign w:val="center"/>
          </w:tcPr>
          <w:p w14:paraId="5B7588D5" w14:textId="77777777" w:rsidR="00360219" w:rsidRDefault="003015F4">
            <w:pPr>
              <w:spacing w:after="0" w:line="252" w:lineRule="auto"/>
            </w:pPr>
            <w:r>
              <w:rPr>
                <w:color w:val="172033"/>
                <w:sz w:val="16"/>
              </w:rPr>
              <w:t>PASS if null-like states remain nonnumeric state metadata.</w:t>
            </w:r>
          </w:p>
        </w:tc>
      </w:tr>
      <w:tr w:rsidR="00360219" w14:paraId="63A2B6AE" w14:textId="77777777">
        <w:trPr>
          <w:cantSplit/>
          <w:jc w:val="center"/>
        </w:trPr>
        <w:tc>
          <w:tcPr>
            <w:tcW w:w="2160" w:type="dxa"/>
            <w:tcMar>
              <w:top w:w="100" w:type="dxa"/>
              <w:left w:w="110" w:type="dxa"/>
              <w:bottom w:w="100" w:type="dxa"/>
              <w:right w:w="110" w:type="dxa"/>
            </w:tcMar>
            <w:vAlign w:val="center"/>
          </w:tcPr>
          <w:p w14:paraId="3073DEE8" w14:textId="77777777" w:rsidR="00360219" w:rsidRDefault="003015F4">
            <w:pPr>
              <w:spacing w:after="0" w:line="252" w:lineRule="auto"/>
              <w:jc w:val="center"/>
            </w:pPr>
            <w:r>
              <w:rPr>
                <w:b/>
                <w:color w:val="172033"/>
                <w:sz w:val="16"/>
              </w:rPr>
              <w:t>NPG-C12 Overflow Visibility</w:t>
            </w:r>
          </w:p>
        </w:tc>
        <w:tc>
          <w:tcPr>
            <w:tcW w:w="3240" w:type="dxa"/>
            <w:tcMar>
              <w:top w:w="100" w:type="dxa"/>
              <w:left w:w="110" w:type="dxa"/>
              <w:bottom w:w="100" w:type="dxa"/>
              <w:right w:w="110" w:type="dxa"/>
            </w:tcMar>
            <w:vAlign w:val="center"/>
          </w:tcPr>
          <w:p w14:paraId="683B452B" w14:textId="77777777" w:rsidR="00360219" w:rsidRDefault="003015F4">
            <w:pPr>
              <w:spacing w:after="0" w:line="252" w:lineRule="auto"/>
            </w:pPr>
            <w:r>
              <w:rPr>
                <w:color w:val="172033"/>
                <w:sz w:val="16"/>
              </w:rPr>
              <w:t>Is saturation or out-of-range state inspectable?</w:t>
            </w:r>
          </w:p>
        </w:tc>
        <w:tc>
          <w:tcPr>
            <w:tcW w:w="4248" w:type="dxa"/>
            <w:tcMar>
              <w:top w:w="100" w:type="dxa"/>
              <w:left w:w="110" w:type="dxa"/>
              <w:bottom w:w="100" w:type="dxa"/>
              <w:right w:w="110" w:type="dxa"/>
            </w:tcMar>
            <w:vAlign w:val="center"/>
          </w:tcPr>
          <w:p w14:paraId="44D9691F" w14:textId="77777777" w:rsidR="00360219" w:rsidRDefault="003015F4">
            <w:pPr>
              <w:spacing w:after="0" w:line="252" w:lineRule="auto"/>
            </w:pPr>
            <w:r>
              <w:rPr>
                <w:color w:val="172033"/>
                <w:sz w:val="16"/>
              </w:rPr>
              <w:t>PASS if clamping never erases evidence of exceeded bounds.</w:t>
            </w:r>
          </w:p>
        </w:tc>
      </w:tr>
      <w:tr w:rsidR="00360219" w14:paraId="5436414E" w14:textId="77777777">
        <w:trPr>
          <w:cantSplit/>
          <w:jc w:val="center"/>
        </w:trPr>
        <w:tc>
          <w:tcPr>
            <w:tcW w:w="2160" w:type="dxa"/>
            <w:tcMar>
              <w:top w:w="100" w:type="dxa"/>
              <w:left w:w="110" w:type="dxa"/>
              <w:bottom w:w="100" w:type="dxa"/>
              <w:right w:w="110" w:type="dxa"/>
            </w:tcMar>
            <w:vAlign w:val="center"/>
          </w:tcPr>
          <w:p w14:paraId="74472B0B" w14:textId="77777777" w:rsidR="00360219" w:rsidRDefault="003015F4">
            <w:pPr>
              <w:spacing w:after="0" w:line="252" w:lineRule="auto"/>
              <w:jc w:val="center"/>
            </w:pPr>
            <w:r>
              <w:rPr>
                <w:b/>
                <w:color w:val="172033"/>
                <w:sz w:val="16"/>
              </w:rPr>
              <w:t>NPG-C13 Precision Integrity</w:t>
            </w:r>
          </w:p>
        </w:tc>
        <w:tc>
          <w:tcPr>
            <w:tcW w:w="3240" w:type="dxa"/>
            <w:tcMar>
              <w:top w:w="100" w:type="dxa"/>
              <w:left w:w="110" w:type="dxa"/>
              <w:bottom w:w="100" w:type="dxa"/>
              <w:right w:w="110" w:type="dxa"/>
            </w:tcMar>
            <w:vAlign w:val="center"/>
          </w:tcPr>
          <w:p w14:paraId="694B2C2C" w14:textId="77777777" w:rsidR="00360219" w:rsidRDefault="003015F4">
            <w:pPr>
              <w:spacing w:after="0" w:line="252" w:lineRule="auto"/>
            </w:pPr>
            <w:r>
              <w:rPr>
                <w:color w:val="172033"/>
                <w:sz w:val="16"/>
              </w:rPr>
              <w:t>Does normalization avoid fake precision?</w:t>
            </w:r>
          </w:p>
        </w:tc>
        <w:tc>
          <w:tcPr>
            <w:tcW w:w="4248" w:type="dxa"/>
            <w:tcMar>
              <w:top w:w="100" w:type="dxa"/>
              <w:left w:w="110" w:type="dxa"/>
              <w:bottom w:w="100" w:type="dxa"/>
              <w:right w:w="110" w:type="dxa"/>
            </w:tcMar>
            <w:vAlign w:val="center"/>
          </w:tcPr>
          <w:p w14:paraId="03EA7279" w14:textId="77777777" w:rsidR="00360219" w:rsidRDefault="003015F4">
            <w:pPr>
              <w:spacing w:after="0" w:line="252" w:lineRule="auto"/>
            </w:pPr>
            <w:r>
              <w:rPr>
                <w:color w:val="172033"/>
                <w:sz w:val="16"/>
              </w:rPr>
              <w:t>PASS if declared precision is no greater than source/Model support.</w:t>
            </w:r>
          </w:p>
        </w:tc>
      </w:tr>
      <w:tr w:rsidR="00360219" w14:paraId="6738C98B" w14:textId="77777777">
        <w:trPr>
          <w:cantSplit/>
          <w:jc w:val="center"/>
        </w:trPr>
        <w:tc>
          <w:tcPr>
            <w:tcW w:w="2160" w:type="dxa"/>
            <w:tcMar>
              <w:top w:w="100" w:type="dxa"/>
              <w:left w:w="110" w:type="dxa"/>
              <w:bottom w:w="100" w:type="dxa"/>
              <w:right w:w="110" w:type="dxa"/>
            </w:tcMar>
            <w:vAlign w:val="center"/>
          </w:tcPr>
          <w:p w14:paraId="407433C3" w14:textId="77777777" w:rsidR="00360219" w:rsidRDefault="003015F4">
            <w:pPr>
              <w:spacing w:after="0" w:line="252" w:lineRule="auto"/>
              <w:jc w:val="center"/>
            </w:pPr>
            <w:r>
              <w:rPr>
                <w:b/>
                <w:color w:val="172033"/>
                <w:sz w:val="16"/>
              </w:rPr>
              <w:t>NPG-C14 Transform Routing</w:t>
            </w:r>
          </w:p>
        </w:tc>
        <w:tc>
          <w:tcPr>
            <w:tcW w:w="3240" w:type="dxa"/>
            <w:tcMar>
              <w:top w:w="100" w:type="dxa"/>
              <w:left w:w="110" w:type="dxa"/>
              <w:bottom w:w="100" w:type="dxa"/>
              <w:right w:w="110" w:type="dxa"/>
            </w:tcMar>
            <w:vAlign w:val="center"/>
          </w:tcPr>
          <w:p w14:paraId="44F2A54B" w14:textId="77777777" w:rsidR="00360219" w:rsidRDefault="003015F4">
            <w:pPr>
              <w:spacing w:after="0" w:line="252" w:lineRule="auto"/>
            </w:pPr>
            <w:r>
              <w:rPr>
                <w:color w:val="172033"/>
                <w:sz w:val="16"/>
              </w:rPr>
              <w:t>Can normalized state route through the declared edge?</w:t>
            </w:r>
          </w:p>
        </w:tc>
        <w:tc>
          <w:tcPr>
            <w:tcW w:w="4248" w:type="dxa"/>
            <w:tcMar>
              <w:top w:w="100" w:type="dxa"/>
              <w:left w:w="110" w:type="dxa"/>
              <w:bottom w:w="100" w:type="dxa"/>
              <w:right w:w="110" w:type="dxa"/>
            </w:tcMar>
            <w:vAlign w:val="center"/>
          </w:tcPr>
          <w:p w14:paraId="2BBC05D7" w14:textId="77777777" w:rsidR="00360219" w:rsidRDefault="003015F4">
            <w:pPr>
              <w:spacing w:after="0" w:line="252" w:lineRule="auto"/>
            </w:pPr>
            <w:r>
              <w:rPr>
                <w:color w:val="172033"/>
                <w:sz w:val="16"/>
              </w:rPr>
              <w:t>PASS if the exact Transform is resolved and produces the expected target state.</w:t>
            </w:r>
          </w:p>
        </w:tc>
      </w:tr>
      <w:tr w:rsidR="00360219" w14:paraId="0957C22F" w14:textId="77777777">
        <w:trPr>
          <w:cantSplit/>
          <w:jc w:val="center"/>
        </w:trPr>
        <w:tc>
          <w:tcPr>
            <w:tcW w:w="2160" w:type="dxa"/>
            <w:tcMar>
              <w:top w:w="100" w:type="dxa"/>
              <w:left w:w="110" w:type="dxa"/>
              <w:bottom w:w="100" w:type="dxa"/>
              <w:right w:w="110" w:type="dxa"/>
            </w:tcMar>
            <w:vAlign w:val="center"/>
          </w:tcPr>
          <w:p w14:paraId="0898BB6E" w14:textId="77777777" w:rsidR="00360219" w:rsidRDefault="003015F4">
            <w:pPr>
              <w:spacing w:after="0" w:line="252" w:lineRule="auto"/>
              <w:jc w:val="center"/>
            </w:pPr>
            <w:r>
              <w:rPr>
                <w:b/>
                <w:color w:val="172033"/>
                <w:sz w:val="16"/>
              </w:rPr>
              <w:t>NPG-C15 No Implicit Correspondence</w:t>
            </w:r>
          </w:p>
        </w:tc>
        <w:tc>
          <w:tcPr>
            <w:tcW w:w="3240" w:type="dxa"/>
            <w:tcMar>
              <w:top w:w="100" w:type="dxa"/>
              <w:left w:w="110" w:type="dxa"/>
              <w:bottom w:w="100" w:type="dxa"/>
              <w:right w:w="110" w:type="dxa"/>
            </w:tcMar>
            <w:vAlign w:val="center"/>
          </w:tcPr>
          <w:p w14:paraId="665B2DF2" w14:textId="77777777" w:rsidR="00360219" w:rsidRDefault="003015F4">
            <w:pPr>
              <w:spacing w:after="0" w:line="252" w:lineRule="auto"/>
            </w:pPr>
            <w:r>
              <w:rPr>
                <w:color w:val="172033"/>
                <w:sz w:val="16"/>
              </w:rPr>
              <w:t>Are undeclared cross-perception mappings rejected?</w:t>
            </w:r>
          </w:p>
        </w:tc>
        <w:tc>
          <w:tcPr>
            <w:tcW w:w="4248" w:type="dxa"/>
            <w:tcMar>
              <w:top w:w="100" w:type="dxa"/>
              <w:left w:w="110" w:type="dxa"/>
              <w:bottom w:w="100" w:type="dxa"/>
              <w:right w:w="110" w:type="dxa"/>
            </w:tcMar>
            <w:vAlign w:val="center"/>
          </w:tcPr>
          <w:p w14:paraId="52FE8597" w14:textId="77777777" w:rsidR="00360219" w:rsidRDefault="003015F4">
            <w:pPr>
              <w:spacing w:after="0" w:line="252" w:lineRule="auto"/>
            </w:pPr>
            <w:r>
              <w:rPr>
                <w:color w:val="172033"/>
                <w:sz w:val="16"/>
              </w:rPr>
              <w:t>PASS if numeric similarity alone does not authorize a Transform.</w:t>
            </w:r>
          </w:p>
        </w:tc>
      </w:tr>
      <w:tr w:rsidR="00360219" w14:paraId="496B6128" w14:textId="77777777">
        <w:trPr>
          <w:cantSplit/>
          <w:jc w:val="center"/>
        </w:trPr>
        <w:tc>
          <w:tcPr>
            <w:tcW w:w="2160" w:type="dxa"/>
            <w:tcMar>
              <w:top w:w="100" w:type="dxa"/>
              <w:left w:w="110" w:type="dxa"/>
              <w:bottom w:w="100" w:type="dxa"/>
              <w:right w:w="110" w:type="dxa"/>
            </w:tcMar>
            <w:vAlign w:val="center"/>
          </w:tcPr>
          <w:p w14:paraId="06C12DC4" w14:textId="77777777" w:rsidR="00360219" w:rsidRDefault="003015F4">
            <w:pPr>
              <w:spacing w:after="0" w:line="252" w:lineRule="auto"/>
              <w:jc w:val="center"/>
            </w:pPr>
            <w:r>
              <w:rPr>
                <w:b/>
                <w:color w:val="172033"/>
                <w:sz w:val="16"/>
              </w:rPr>
              <w:t>NPG-C16 Mask Non-Override</w:t>
            </w:r>
          </w:p>
        </w:tc>
        <w:tc>
          <w:tcPr>
            <w:tcW w:w="3240" w:type="dxa"/>
            <w:tcMar>
              <w:top w:w="100" w:type="dxa"/>
              <w:left w:w="110" w:type="dxa"/>
              <w:bottom w:w="100" w:type="dxa"/>
              <w:right w:w="110" w:type="dxa"/>
            </w:tcMar>
            <w:vAlign w:val="center"/>
          </w:tcPr>
          <w:p w14:paraId="3C055D85" w14:textId="77777777" w:rsidR="00360219" w:rsidRDefault="003015F4">
            <w:pPr>
              <w:spacing w:after="0" w:line="252" w:lineRule="auto"/>
            </w:pPr>
            <w:r>
              <w:rPr>
                <w:color w:val="172033"/>
                <w:sz w:val="16"/>
              </w:rPr>
              <w:t>Does semantic interpretation leave quantitative state unchanged?</w:t>
            </w:r>
          </w:p>
        </w:tc>
        <w:tc>
          <w:tcPr>
            <w:tcW w:w="4248" w:type="dxa"/>
            <w:tcMar>
              <w:top w:w="100" w:type="dxa"/>
              <w:left w:w="110" w:type="dxa"/>
              <w:bottom w:w="100" w:type="dxa"/>
              <w:right w:w="110" w:type="dxa"/>
            </w:tcMar>
            <w:vAlign w:val="center"/>
          </w:tcPr>
          <w:p w14:paraId="34E17C54" w14:textId="77777777" w:rsidR="00360219" w:rsidRDefault="003015F4">
            <w:pPr>
              <w:spacing w:after="0" w:line="252" w:lineRule="auto"/>
            </w:pPr>
            <w:r>
              <w:rPr>
                <w:color w:val="172033"/>
                <w:sz w:val="16"/>
              </w:rPr>
              <w:t>PASS if Masks remain scoped derived interpretation.</w:t>
            </w:r>
          </w:p>
        </w:tc>
      </w:tr>
      <w:tr w:rsidR="00360219" w14:paraId="2AEC0F0C" w14:textId="77777777">
        <w:trPr>
          <w:cantSplit/>
          <w:jc w:val="center"/>
        </w:trPr>
        <w:tc>
          <w:tcPr>
            <w:tcW w:w="2160" w:type="dxa"/>
            <w:tcMar>
              <w:top w:w="100" w:type="dxa"/>
              <w:left w:w="110" w:type="dxa"/>
              <w:bottom w:w="100" w:type="dxa"/>
              <w:right w:w="110" w:type="dxa"/>
            </w:tcMar>
            <w:vAlign w:val="center"/>
          </w:tcPr>
          <w:p w14:paraId="377B0FAD" w14:textId="77777777" w:rsidR="00360219" w:rsidRDefault="003015F4">
            <w:pPr>
              <w:spacing w:after="0" w:line="252" w:lineRule="auto"/>
              <w:jc w:val="center"/>
            </w:pPr>
            <w:r>
              <w:rPr>
                <w:b/>
                <w:color w:val="172033"/>
                <w:sz w:val="16"/>
              </w:rPr>
              <w:t>NPG-C17 Observer Variation</w:t>
            </w:r>
          </w:p>
        </w:tc>
        <w:tc>
          <w:tcPr>
            <w:tcW w:w="3240" w:type="dxa"/>
            <w:tcMar>
              <w:top w:w="100" w:type="dxa"/>
              <w:left w:w="110" w:type="dxa"/>
              <w:bottom w:w="100" w:type="dxa"/>
              <w:right w:w="110" w:type="dxa"/>
            </w:tcMar>
            <w:vAlign w:val="center"/>
          </w:tcPr>
          <w:p w14:paraId="07153904" w14:textId="77777777" w:rsidR="00360219" w:rsidRDefault="003015F4">
            <w:pPr>
              <w:spacing w:after="0" w:line="252" w:lineRule="auto"/>
            </w:pPr>
            <w:r>
              <w:rPr>
                <w:color w:val="172033"/>
                <w:sz w:val="16"/>
              </w:rPr>
              <w:t>Can two Masks yield different local descriptions?</w:t>
            </w:r>
          </w:p>
        </w:tc>
        <w:tc>
          <w:tcPr>
            <w:tcW w:w="4248" w:type="dxa"/>
            <w:tcMar>
              <w:top w:w="100" w:type="dxa"/>
              <w:left w:w="110" w:type="dxa"/>
              <w:bottom w:w="100" w:type="dxa"/>
              <w:right w:w="110" w:type="dxa"/>
            </w:tcMar>
            <w:vAlign w:val="center"/>
          </w:tcPr>
          <w:p w14:paraId="543907C6" w14:textId="77777777" w:rsidR="00360219" w:rsidRDefault="003015F4">
            <w:pPr>
              <w:spacing w:after="0" w:line="252" w:lineRule="auto"/>
            </w:pPr>
            <w:r>
              <w:rPr>
                <w:color w:val="172033"/>
                <w:sz w:val="16"/>
              </w:rPr>
              <w:t>PASS if both preserve the same underlying normalized state.</w:t>
            </w:r>
          </w:p>
        </w:tc>
      </w:tr>
      <w:tr w:rsidR="00360219" w14:paraId="0079E90C" w14:textId="77777777">
        <w:trPr>
          <w:cantSplit/>
          <w:jc w:val="center"/>
        </w:trPr>
        <w:tc>
          <w:tcPr>
            <w:tcW w:w="2160" w:type="dxa"/>
            <w:tcMar>
              <w:top w:w="100" w:type="dxa"/>
              <w:left w:w="110" w:type="dxa"/>
              <w:bottom w:w="100" w:type="dxa"/>
              <w:right w:w="110" w:type="dxa"/>
            </w:tcMar>
            <w:vAlign w:val="center"/>
          </w:tcPr>
          <w:p w14:paraId="3D0A0A37" w14:textId="77777777" w:rsidR="00360219" w:rsidRDefault="003015F4">
            <w:pPr>
              <w:spacing w:after="0" w:line="252" w:lineRule="auto"/>
              <w:jc w:val="center"/>
            </w:pPr>
            <w:r>
              <w:rPr>
                <w:b/>
                <w:color w:val="172033"/>
                <w:sz w:val="16"/>
              </w:rPr>
              <w:t>NPG-C18 Renderer Independence</w:t>
            </w:r>
          </w:p>
        </w:tc>
        <w:tc>
          <w:tcPr>
            <w:tcW w:w="3240" w:type="dxa"/>
            <w:tcMar>
              <w:top w:w="100" w:type="dxa"/>
              <w:left w:w="110" w:type="dxa"/>
              <w:bottom w:w="100" w:type="dxa"/>
              <w:right w:w="110" w:type="dxa"/>
            </w:tcMar>
            <w:vAlign w:val="center"/>
          </w:tcPr>
          <w:p w14:paraId="4536A510" w14:textId="77777777" w:rsidR="00360219" w:rsidRDefault="003015F4">
            <w:pPr>
              <w:spacing w:after="0" w:line="252" w:lineRule="auto"/>
            </w:pPr>
            <w:r>
              <w:rPr>
                <w:color w:val="172033"/>
                <w:sz w:val="16"/>
              </w:rPr>
              <w:t>Can presentation change without rewriting source?</w:t>
            </w:r>
          </w:p>
        </w:tc>
        <w:tc>
          <w:tcPr>
            <w:tcW w:w="4248" w:type="dxa"/>
            <w:tcMar>
              <w:top w:w="100" w:type="dxa"/>
              <w:left w:w="110" w:type="dxa"/>
              <w:bottom w:w="100" w:type="dxa"/>
              <w:right w:w="110" w:type="dxa"/>
            </w:tcMar>
            <w:vAlign w:val="center"/>
          </w:tcPr>
          <w:p w14:paraId="5C6742C8" w14:textId="77777777" w:rsidR="00360219" w:rsidRDefault="003015F4">
            <w:pPr>
              <w:spacing w:after="0" w:line="252" w:lineRule="auto"/>
            </w:pPr>
            <w:r>
              <w:rPr>
                <w:color w:val="172033"/>
                <w:sz w:val="16"/>
              </w:rPr>
              <w:t>PASS if alternate endpoints preserve the semantic Transform chain.</w:t>
            </w:r>
          </w:p>
        </w:tc>
      </w:tr>
      <w:tr w:rsidR="00360219" w14:paraId="1B83AF2F" w14:textId="77777777">
        <w:trPr>
          <w:cantSplit/>
          <w:jc w:val="center"/>
        </w:trPr>
        <w:tc>
          <w:tcPr>
            <w:tcW w:w="2160" w:type="dxa"/>
            <w:tcMar>
              <w:top w:w="100" w:type="dxa"/>
              <w:left w:w="110" w:type="dxa"/>
              <w:bottom w:w="100" w:type="dxa"/>
              <w:right w:w="110" w:type="dxa"/>
            </w:tcMar>
            <w:vAlign w:val="center"/>
          </w:tcPr>
          <w:p w14:paraId="5FEE2489" w14:textId="77777777" w:rsidR="00360219" w:rsidRDefault="003015F4">
            <w:pPr>
              <w:spacing w:after="0" w:line="252" w:lineRule="auto"/>
              <w:jc w:val="center"/>
            </w:pPr>
            <w:r>
              <w:rPr>
                <w:b/>
                <w:color w:val="172033"/>
                <w:sz w:val="16"/>
              </w:rPr>
              <w:t>NPG-C19 Traceback</w:t>
            </w:r>
          </w:p>
        </w:tc>
        <w:tc>
          <w:tcPr>
            <w:tcW w:w="3240" w:type="dxa"/>
            <w:tcMar>
              <w:top w:w="100" w:type="dxa"/>
              <w:left w:w="110" w:type="dxa"/>
              <w:bottom w:w="100" w:type="dxa"/>
              <w:right w:w="110" w:type="dxa"/>
            </w:tcMar>
            <w:vAlign w:val="center"/>
          </w:tcPr>
          <w:p w14:paraId="4DFC77EF" w14:textId="77777777" w:rsidR="00360219" w:rsidRDefault="003015F4">
            <w:pPr>
              <w:spacing w:after="0" w:line="252" w:lineRule="auto"/>
            </w:pPr>
            <w:r>
              <w:rPr>
                <w:color w:val="172033"/>
                <w:sz w:val="16"/>
              </w:rPr>
              <w:t>Can output be traced to Transform, Perception, Scale, and raw source?</w:t>
            </w:r>
          </w:p>
        </w:tc>
        <w:tc>
          <w:tcPr>
            <w:tcW w:w="4248" w:type="dxa"/>
            <w:tcMar>
              <w:top w:w="100" w:type="dxa"/>
              <w:left w:w="110" w:type="dxa"/>
              <w:bottom w:w="100" w:type="dxa"/>
              <w:right w:w="110" w:type="dxa"/>
            </w:tcMar>
            <w:vAlign w:val="center"/>
          </w:tcPr>
          <w:p w14:paraId="6991DACC" w14:textId="77777777" w:rsidR="00360219" w:rsidRDefault="003015F4">
            <w:pPr>
              <w:spacing w:after="0" w:line="252" w:lineRule="auto"/>
            </w:pPr>
            <w:r>
              <w:rPr>
                <w:color w:val="172033"/>
                <w:sz w:val="16"/>
              </w:rPr>
              <w:t>PASS if the full explanation route is recoverable.</w:t>
            </w:r>
          </w:p>
        </w:tc>
      </w:tr>
      <w:tr w:rsidR="00360219" w14:paraId="7FB685F3" w14:textId="77777777">
        <w:trPr>
          <w:cantSplit/>
          <w:jc w:val="center"/>
        </w:trPr>
        <w:tc>
          <w:tcPr>
            <w:tcW w:w="2160" w:type="dxa"/>
            <w:tcMar>
              <w:top w:w="100" w:type="dxa"/>
              <w:left w:w="110" w:type="dxa"/>
              <w:bottom w:w="100" w:type="dxa"/>
              <w:right w:w="110" w:type="dxa"/>
            </w:tcMar>
            <w:vAlign w:val="center"/>
          </w:tcPr>
          <w:p w14:paraId="25E46735" w14:textId="77777777" w:rsidR="00360219" w:rsidRDefault="003015F4">
            <w:pPr>
              <w:spacing w:after="0" w:line="252" w:lineRule="auto"/>
              <w:jc w:val="center"/>
            </w:pPr>
            <w:r>
              <w:rPr>
                <w:b/>
                <w:color w:val="172033"/>
                <w:sz w:val="16"/>
              </w:rPr>
              <w:t>NPG-C20 Actuation Boundary</w:t>
            </w:r>
          </w:p>
        </w:tc>
        <w:tc>
          <w:tcPr>
            <w:tcW w:w="3240" w:type="dxa"/>
            <w:tcMar>
              <w:top w:w="100" w:type="dxa"/>
              <w:left w:w="110" w:type="dxa"/>
              <w:bottom w:w="100" w:type="dxa"/>
              <w:right w:w="110" w:type="dxa"/>
            </w:tcMar>
            <w:vAlign w:val="center"/>
          </w:tcPr>
          <w:p w14:paraId="46581A85" w14:textId="77777777" w:rsidR="00360219" w:rsidRDefault="003015F4">
            <w:pPr>
              <w:spacing w:after="0" w:line="252" w:lineRule="auto"/>
            </w:pPr>
            <w:r>
              <w:rPr>
                <w:color w:val="172033"/>
                <w:sz w:val="16"/>
              </w:rPr>
              <w:t>Does computable reverse mapping remain separate from execution authority?</w:t>
            </w:r>
          </w:p>
        </w:tc>
        <w:tc>
          <w:tcPr>
            <w:tcW w:w="4248" w:type="dxa"/>
            <w:tcMar>
              <w:top w:w="100" w:type="dxa"/>
              <w:left w:w="110" w:type="dxa"/>
              <w:bottom w:w="100" w:type="dxa"/>
              <w:right w:w="110" w:type="dxa"/>
            </w:tcMar>
            <w:vAlign w:val="center"/>
          </w:tcPr>
          <w:p w14:paraId="3CFE37FC" w14:textId="77777777" w:rsidR="00360219" w:rsidRDefault="003015F4">
            <w:pPr>
              <w:spacing w:after="0" w:line="252" w:lineRule="auto"/>
            </w:pPr>
            <w:r>
              <w:rPr>
                <w:color w:val="172033"/>
                <w:sz w:val="16"/>
              </w:rPr>
              <w:t>PASS if candidate target values require a governed operational path before mutation or actuation.</w:t>
            </w:r>
          </w:p>
        </w:tc>
      </w:tr>
    </w:tbl>
    <w:p w14:paraId="183DBF74" w14:textId="77777777" w:rsidR="00360219" w:rsidRDefault="00360219">
      <w:pPr>
        <w:spacing w:after="40"/>
      </w:pPr>
    </w:p>
    <w:p w14:paraId="13E68881" w14:textId="77777777" w:rsidR="00360219" w:rsidRDefault="003015F4">
      <w:pPr>
        <w:pageBreakBefore/>
        <w:spacing w:before="2200"/>
      </w:pPr>
      <w:r>
        <w:rPr>
          <w:b/>
          <w:color w:val="1E5AA8"/>
          <w:sz w:val="26"/>
        </w:rPr>
        <w:t>PART D</w:t>
      </w:r>
    </w:p>
    <w:p w14:paraId="0E0F7BA8" w14:textId="77777777" w:rsidR="00360219" w:rsidRDefault="003015F4">
      <w:pPr>
        <w:spacing w:before="160" w:after="240" w:line="240" w:lineRule="auto"/>
      </w:pPr>
      <w:r>
        <w:rPr>
          <w:b/>
          <w:color w:val="172033"/>
          <w:sz w:val="56"/>
        </w:rPr>
        <w:t>References and Glossary</w:t>
      </w:r>
    </w:p>
    <w:p w14:paraId="030797C1" w14:textId="77777777" w:rsidR="00360219" w:rsidRDefault="003015F4">
      <w:pPr>
        <w:spacing w:after="0" w:line="276" w:lineRule="auto"/>
      </w:pPr>
      <w:r>
        <w:rPr>
          <w:color w:val="5B6577"/>
          <w:sz w:val="25"/>
        </w:rPr>
        <w:t>Source basis and compact terminology for implementation, review, and future extension.</w:t>
      </w:r>
    </w:p>
    <w:tbl>
      <w:tblPr>
        <w:tblW w:w="0" w:type="auto"/>
        <w:tblLayout w:type="fixed"/>
        <w:tblLook w:val="04A0" w:firstRow="1" w:lastRow="0" w:firstColumn="1" w:lastColumn="0" w:noHBand="0" w:noVBand="1"/>
      </w:tblPr>
      <w:tblGrid>
        <w:gridCol w:w="1440"/>
      </w:tblGrid>
      <w:tr w:rsidR="00360219" w14:paraId="49F6B3EB" w14:textId="77777777">
        <w:tc>
          <w:tcPr>
            <w:tcW w:w="1440" w:type="dxa"/>
            <w:shd w:val="clear" w:color="auto" w:fill="1E5AA8"/>
            <w:tcMar>
              <w:top w:w="20" w:type="dxa"/>
              <w:left w:w="20" w:type="dxa"/>
              <w:bottom w:w="20" w:type="dxa"/>
              <w:right w:w="20" w:type="dxa"/>
            </w:tcMar>
          </w:tcPr>
          <w:p w14:paraId="555571AC" w14:textId="77777777" w:rsidR="00360219" w:rsidRDefault="00360219"/>
        </w:tc>
      </w:tr>
    </w:tbl>
    <w:p w14:paraId="18612673" w14:textId="77777777" w:rsidR="00360219" w:rsidRDefault="003015F4">
      <w:r>
        <w:br w:type="page"/>
      </w:r>
    </w:p>
    <w:p w14:paraId="620CC8B7" w14:textId="77777777" w:rsidR="00360219" w:rsidRDefault="003015F4">
      <w:pPr>
        <w:pStyle w:val="Heading1"/>
        <w:spacing w:before="200" w:after="100" w:line="240" w:lineRule="auto"/>
      </w:pPr>
      <w:r>
        <w:rPr>
          <w:rFonts w:ascii="Arial" w:hAnsi="Arial"/>
        </w:rPr>
        <w:t>References</w:t>
      </w:r>
    </w:p>
    <w:p w14:paraId="1F7D0480" w14:textId="77777777" w:rsidR="00360219" w:rsidRDefault="003015F4">
      <w:pPr>
        <w:pStyle w:val="BodyText"/>
      </w:pPr>
      <w:r>
        <w:rPr>
          <w:color w:val="172033"/>
        </w:rPr>
        <w:t>[1] CERBERUS. Personal Perceptual Languages: Mathematical Relationship Modality Modeling - Constructed Synesthetic Simulations for Analytical, Professional, and Creative Data Experience. Version 1.0.</w:t>
      </w:r>
    </w:p>
    <w:p w14:paraId="1A226B2F" w14:textId="77777777" w:rsidR="00360219" w:rsidRDefault="003015F4">
      <w:pPr>
        <w:pStyle w:val="BodyText"/>
      </w:pPr>
      <w:r>
        <w:rPr>
          <w:color w:val="172033"/>
        </w:rPr>
        <w:t>[2] CERBERUS. Multimodal Expressive Environments: Canonical State, Coherent Expression, and Cross-Modal Projection. Formal Specification v0.1. 15 August 2026.</w:t>
      </w:r>
    </w:p>
    <w:p w14:paraId="3576A4E5" w14:textId="77777777" w:rsidR="00360219" w:rsidRDefault="003015F4">
      <w:pPr>
        <w:pStyle w:val="Heading1"/>
        <w:spacing w:before="200" w:after="100" w:line="240" w:lineRule="auto"/>
      </w:pPr>
      <w:r>
        <w:rPr>
          <w:rFonts w:ascii="Arial" w:hAnsi="Arial"/>
        </w:rPr>
        <w:t>Glossary</w:t>
      </w:r>
    </w:p>
    <w:tbl>
      <w:tblPr>
        <w:tblStyle w:val="TableGrid"/>
        <w:tblW w:w="0" w:type="auto"/>
        <w:jc w:val="center"/>
        <w:tblLayout w:type="fixed"/>
        <w:tblLook w:val="04A0" w:firstRow="1" w:lastRow="0" w:firstColumn="1" w:lastColumn="0" w:noHBand="0" w:noVBand="1"/>
      </w:tblPr>
      <w:tblGrid>
        <w:gridCol w:w="2592"/>
        <w:gridCol w:w="7056"/>
      </w:tblGrid>
      <w:tr w:rsidR="00360219" w14:paraId="47022B3A" w14:textId="77777777">
        <w:trPr>
          <w:tblHeader/>
          <w:jc w:val="center"/>
        </w:trPr>
        <w:tc>
          <w:tcPr>
            <w:tcW w:w="2592" w:type="dxa"/>
            <w:shd w:val="clear" w:color="auto" w:fill="172033"/>
            <w:tcMar>
              <w:top w:w="100" w:type="dxa"/>
              <w:left w:w="110" w:type="dxa"/>
              <w:bottom w:w="100" w:type="dxa"/>
              <w:right w:w="110" w:type="dxa"/>
            </w:tcMar>
            <w:vAlign w:val="center"/>
          </w:tcPr>
          <w:p w14:paraId="23A0AF39" w14:textId="77777777" w:rsidR="00360219" w:rsidRDefault="003015F4">
            <w:pPr>
              <w:jc w:val="center"/>
            </w:pPr>
            <w:r>
              <w:rPr>
                <w:b/>
                <w:color w:val="FFFFFF"/>
                <w:sz w:val="18"/>
              </w:rPr>
              <w:t>Term</w:t>
            </w:r>
          </w:p>
        </w:tc>
        <w:tc>
          <w:tcPr>
            <w:tcW w:w="7056" w:type="dxa"/>
            <w:shd w:val="clear" w:color="auto" w:fill="172033"/>
            <w:tcMar>
              <w:top w:w="100" w:type="dxa"/>
              <w:left w:w="110" w:type="dxa"/>
              <w:bottom w:w="100" w:type="dxa"/>
              <w:right w:w="110" w:type="dxa"/>
            </w:tcMar>
            <w:vAlign w:val="center"/>
          </w:tcPr>
          <w:p w14:paraId="666EE2DD" w14:textId="77777777" w:rsidR="00360219" w:rsidRDefault="003015F4">
            <w:pPr>
              <w:jc w:val="center"/>
            </w:pPr>
            <w:r>
              <w:rPr>
                <w:b/>
                <w:color w:val="FFFFFF"/>
                <w:sz w:val="18"/>
              </w:rPr>
              <w:t>Definition</w:t>
            </w:r>
          </w:p>
        </w:tc>
      </w:tr>
      <w:tr w:rsidR="00360219" w14:paraId="189D8A28" w14:textId="77777777">
        <w:trPr>
          <w:cantSplit/>
          <w:jc w:val="center"/>
        </w:trPr>
        <w:tc>
          <w:tcPr>
            <w:tcW w:w="2592" w:type="dxa"/>
            <w:shd w:val="clear" w:color="auto" w:fill="F4F6F8"/>
            <w:tcMar>
              <w:top w:w="100" w:type="dxa"/>
              <w:left w:w="110" w:type="dxa"/>
              <w:bottom w:w="100" w:type="dxa"/>
              <w:right w:w="110" w:type="dxa"/>
            </w:tcMar>
            <w:vAlign w:val="center"/>
          </w:tcPr>
          <w:p w14:paraId="39411BF9" w14:textId="77777777" w:rsidR="00360219" w:rsidRDefault="003015F4">
            <w:pPr>
              <w:spacing w:after="0" w:line="252" w:lineRule="auto"/>
              <w:jc w:val="center"/>
            </w:pPr>
            <w:r>
              <w:rPr>
                <w:b/>
                <w:color w:val="172033"/>
                <w:sz w:val="18"/>
              </w:rPr>
              <w:t>Measurable Item</w:t>
            </w:r>
          </w:p>
        </w:tc>
        <w:tc>
          <w:tcPr>
            <w:tcW w:w="7056" w:type="dxa"/>
            <w:tcMar>
              <w:top w:w="100" w:type="dxa"/>
              <w:left w:w="110" w:type="dxa"/>
              <w:bottom w:w="100" w:type="dxa"/>
              <w:right w:w="110" w:type="dxa"/>
            </w:tcMar>
            <w:vAlign w:val="center"/>
          </w:tcPr>
          <w:p w14:paraId="11DAF960" w14:textId="77777777" w:rsidR="00360219" w:rsidRDefault="003015F4">
            <w:pPr>
              <w:spacing w:after="0" w:line="252" w:lineRule="auto"/>
            </w:pPr>
            <w:r>
              <w:rPr>
                <w:color w:val="172033"/>
                <w:sz w:val="18"/>
              </w:rPr>
              <w:t>A governed state carrying a quantitative value, unit, validity, precision, provenance, and normalization route.</w:t>
            </w:r>
          </w:p>
        </w:tc>
      </w:tr>
      <w:tr w:rsidR="00360219" w14:paraId="44884130" w14:textId="77777777">
        <w:trPr>
          <w:cantSplit/>
          <w:jc w:val="center"/>
        </w:trPr>
        <w:tc>
          <w:tcPr>
            <w:tcW w:w="2592" w:type="dxa"/>
            <w:shd w:val="clear" w:color="auto" w:fill="F4F6F8"/>
            <w:tcMar>
              <w:top w:w="100" w:type="dxa"/>
              <w:left w:w="110" w:type="dxa"/>
              <w:bottom w:w="100" w:type="dxa"/>
              <w:right w:w="110" w:type="dxa"/>
            </w:tcMar>
            <w:vAlign w:val="center"/>
          </w:tcPr>
          <w:p w14:paraId="6EC9CF6F" w14:textId="77777777" w:rsidR="00360219" w:rsidRDefault="003015F4">
            <w:pPr>
              <w:spacing w:after="0" w:line="252" w:lineRule="auto"/>
              <w:jc w:val="center"/>
            </w:pPr>
            <w:r>
              <w:rPr>
                <w:b/>
                <w:color w:val="172033"/>
                <w:sz w:val="18"/>
              </w:rPr>
              <w:t>NormalizationContractRef</w:t>
            </w:r>
          </w:p>
        </w:tc>
        <w:tc>
          <w:tcPr>
            <w:tcW w:w="7056" w:type="dxa"/>
            <w:tcMar>
              <w:top w:w="100" w:type="dxa"/>
              <w:left w:w="110" w:type="dxa"/>
              <w:bottom w:w="100" w:type="dxa"/>
              <w:right w:w="110" w:type="dxa"/>
            </w:tcMar>
            <w:vAlign w:val="center"/>
          </w:tcPr>
          <w:p w14:paraId="4F27CA49" w14:textId="77777777" w:rsidR="00360219" w:rsidRDefault="003015F4">
            <w:pPr>
              <w:spacing w:after="0" w:line="252" w:lineRule="auto"/>
            </w:pPr>
            <w:r>
              <w:rPr>
                <w:color w:val="172033"/>
                <w:sz w:val="18"/>
              </w:rPr>
              <w:t>Exact reference from a measurable state to the Normalization Scale that resolves it.</w:t>
            </w:r>
          </w:p>
        </w:tc>
      </w:tr>
      <w:tr w:rsidR="00360219" w14:paraId="043111C5" w14:textId="77777777">
        <w:trPr>
          <w:cantSplit/>
          <w:jc w:val="center"/>
        </w:trPr>
        <w:tc>
          <w:tcPr>
            <w:tcW w:w="2592" w:type="dxa"/>
            <w:shd w:val="clear" w:color="auto" w:fill="F4F6F8"/>
            <w:tcMar>
              <w:top w:w="100" w:type="dxa"/>
              <w:left w:w="110" w:type="dxa"/>
              <w:bottom w:w="100" w:type="dxa"/>
              <w:right w:w="110" w:type="dxa"/>
            </w:tcMar>
            <w:vAlign w:val="center"/>
          </w:tcPr>
          <w:p w14:paraId="3A39B324" w14:textId="77777777" w:rsidR="00360219" w:rsidRDefault="003015F4">
            <w:pPr>
              <w:spacing w:after="0" w:line="252" w:lineRule="auto"/>
              <w:jc w:val="center"/>
            </w:pPr>
            <w:r>
              <w:rPr>
                <w:b/>
                <w:color w:val="172033"/>
                <w:sz w:val="18"/>
              </w:rPr>
              <w:t>Normalization Table</w:t>
            </w:r>
          </w:p>
        </w:tc>
        <w:tc>
          <w:tcPr>
            <w:tcW w:w="7056" w:type="dxa"/>
            <w:tcMar>
              <w:top w:w="100" w:type="dxa"/>
              <w:left w:w="110" w:type="dxa"/>
              <w:bottom w:w="100" w:type="dxa"/>
              <w:right w:w="110" w:type="dxa"/>
            </w:tcMar>
            <w:vAlign w:val="center"/>
          </w:tcPr>
          <w:p w14:paraId="529A4AB6" w14:textId="77777777" w:rsidR="00360219" w:rsidRDefault="003015F4">
            <w:pPr>
              <w:spacing w:after="0" w:line="252" w:lineRule="auto"/>
            </w:pPr>
            <w:r>
              <w:rPr>
                <w:color w:val="172033"/>
                <w:sz w:val="18"/>
              </w:rPr>
              <w:t>Shared registry of raw-to-normalized Scale contracts.</w:t>
            </w:r>
          </w:p>
        </w:tc>
      </w:tr>
      <w:tr w:rsidR="00360219" w14:paraId="057EC82C" w14:textId="77777777">
        <w:trPr>
          <w:cantSplit/>
          <w:jc w:val="center"/>
        </w:trPr>
        <w:tc>
          <w:tcPr>
            <w:tcW w:w="2592" w:type="dxa"/>
            <w:shd w:val="clear" w:color="auto" w:fill="F4F6F8"/>
            <w:tcMar>
              <w:top w:w="100" w:type="dxa"/>
              <w:left w:w="110" w:type="dxa"/>
              <w:bottom w:w="100" w:type="dxa"/>
              <w:right w:w="110" w:type="dxa"/>
            </w:tcMar>
            <w:vAlign w:val="center"/>
          </w:tcPr>
          <w:p w14:paraId="69836A63" w14:textId="77777777" w:rsidR="00360219" w:rsidRDefault="003015F4">
            <w:pPr>
              <w:spacing w:after="0" w:line="252" w:lineRule="auto"/>
              <w:jc w:val="center"/>
            </w:pPr>
            <w:r>
              <w:rPr>
                <w:b/>
                <w:color w:val="172033"/>
                <w:sz w:val="18"/>
              </w:rPr>
              <w:t>Normalization Scale</w:t>
            </w:r>
          </w:p>
        </w:tc>
        <w:tc>
          <w:tcPr>
            <w:tcW w:w="7056" w:type="dxa"/>
            <w:tcMar>
              <w:top w:w="100" w:type="dxa"/>
              <w:left w:w="110" w:type="dxa"/>
              <w:bottom w:w="100" w:type="dxa"/>
              <w:right w:w="110" w:type="dxa"/>
            </w:tcMar>
            <w:vAlign w:val="center"/>
          </w:tcPr>
          <w:p w14:paraId="71953E2A" w14:textId="77777777" w:rsidR="00360219" w:rsidRDefault="003015F4">
            <w:pPr>
              <w:spacing w:after="0" w:line="252" w:lineRule="auto"/>
            </w:pPr>
            <w:r>
              <w:rPr>
                <w:color w:val="172033"/>
                <w:sz w:val="18"/>
              </w:rPr>
              <w:t>One registered bounded mapping from a raw Quantity domain into a specific 0-100 Normalized Perception.</w:t>
            </w:r>
          </w:p>
        </w:tc>
      </w:tr>
      <w:tr w:rsidR="00360219" w14:paraId="06DD13A8" w14:textId="77777777">
        <w:trPr>
          <w:cantSplit/>
          <w:jc w:val="center"/>
        </w:trPr>
        <w:tc>
          <w:tcPr>
            <w:tcW w:w="2592" w:type="dxa"/>
            <w:shd w:val="clear" w:color="auto" w:fill="F4F6F8"/>
            <w:tcMar>
              <w:top w:w="100" w:type="dxa"/>
              <w:left w:w="110" w:type="dxa"/>
              <w:bottom w:w="100" w:type="dxa"/>
              <w:right w:w="110" w:type="dxa"/>
            </w:tcMar>
            <w:vAlign w:val="center"/>
          </w:tcPr>
          <w:p w14:paraId="6BD1FDA6" w14:textId="77777777" w:rsidR="00360219" w:rsidRDefault="003015F4">
            <w:pPr>
              <w:spacing w:after="0" w:line="252" w:lineRule="auto"/>
              <w:jc w:val="center"/>
            </w:pPr>
            <w:r>
              <w:rPr>
                <w:b/>
                <w:color w:val="172033"/>
                <w:sz w:val="18"/>
              </w:rPr>
              <w:t>Normalized Perception Record</w:t>
            </w:r>
          </w:p>
        </w:tc>
        <w:tc>
          <w:tcPr>
            <w:tcW w:w="7056" w:type="dxa"/>
            <w:tcMar>
              <w:top w:w="100" w:type="dxa"/>
              <w:left w:w="110" w:type="dxa"/>
              <w:bottom w:w="100" w:type="dxa"/>
              <w:right w:w="110" w:type="dxa"/>
            </w:tcMar>
            <w:vAlign w:val="center"/>
          </w:tcPr>
          <w:p w14:paraId="71FCB5F3" w14:textId="77777777" w:rsidR="00360219" w:rsidRDefault="003015F4">
            <w:pPr>
              <w:spacing w:after="0" w:line="252" w:lineRule="auto"/>
            </w:pPr>
            <w:r>
              <w:rPr>
                <w:color w:val="172033"/>
                <w:sz w:val="18"/>
              </w:rPr>
              <w:t>Stable semantic perception identity participating in the Transform Matrix.</w:t>
            </w:r>
          </w:p>
        </w:tc>
      </w:tr>
      <w:tr w:rsidR="00360219" w14:paraId="3252F66A" w14:textId="77777777">
        <w:trPr>
          <w:cantSplit/>
          <w:jc w:val="center"/>
        </w:trPr>
        <w:tc>
          <w:tcPr>
            <w:tcW w:w="2592" w:type="dxa"/>
            <w:shd w:val="clear" w:color="auto" w:fill="F4F6F8"/>
            <w:tcMar>
              <w:top w:w="100" w:type="dxa"/>
              <w:left w:w="110" w:type="dxa"/>
              <w:bottom w:w="100" w:type="dxa"/>
              <w:right w:w="110" w:type="dxa"/>
            </w:tcMar>
            <w:vAlign w:val="center"/>
          </w:tcPr>
          <w:p w14:paraId="6A47C88E" w14:textId="77777777" w:rsidR="00360219" w:rsidRDefault="003015F4">
            <w:pPr>
              <w:spacing w:after="0" w:line="252" w:lineRule="auto"/>
              <w:jc w:val="center"/>
            </w:pPr>
            <w:r>
              <w:rPr>
                <w:b/>
                <w:color w:val="172033"/>
                <w:sz w:val="18"/>
              </w:rPr>
              <w:t>Normalized Value</w:t>
            </w:r>
          </w:p>
        </w:tc>
        <w:tc>
          <w:tcPr>
            <w:tcW w:w="7056" w:type="dxa"/>
            <w:tcMar>
              <w:top w:w="100" w:type="dxa"/>
              <w:left w:w="110" w:type="dxa"/>
              <w:bottom w:w="100" w:type="dxa"/>
              <w:right w:w="110" w:type="dxa"/>
            </w:tcMar>
            <w:vAlign w:val="center"/>
          </w:tcPr>
          <w:p w14:paraId="5EE5D616" w14:textId="77777777" w:rsidR="00360219" w:rsidRDefault="003015F4">
            <w:pPr>
              <w:spacing w:after="0" w:line="252" w:lineRule="auto"/>
            </w:pPr>
            <w:r>
              <w:rPr>
                <w:color w:val="172033"/>
                <w:sz w:val="18"/>
              </w:rPr>
              <w:t>The 0-100 state produced under one declared Scale for one Normalized Perception.</w:t>
            </w:r>
          </w:p>
        </w:tc>
      </w:tr>
      <w:tr w:rsidR="00360219" w14:paraId="0A46C90D" w14:textId="77777777">
        <w:trPr>
          <w:cantSplit/>
          <w:jc w:val="center"/>
        </w:trPr>
        <w:tc>
          <w:tcPr>
            <w:tcW w:w="2592" w:type="dxa"/>
            <w:shd w:val="clear" w:color="auto" w:fill="F4F6F8"/>
            <w:tcMar>
              <w:top w:w="100" w:type="dxa"/>
              <w:left w:w="110" w:type="dxa"/>
              <w:bottom w:w="100" w:type="dxa"/>
              <w:right w:w="110" w:type="dxa"/>
            </w:tcMar>
            <w:vAlign w:val="center"/>
          </w:tcPr>
          <w:p w14:paraId="33C413FB" w14:textId="77777777" w:rsidR="00360219" w:rsidRDefault="003015F4">
            <w:pPr>
              <w:spacing w:after="0" w:line="252" w:lineRule="auto"/>
              <w:jc w:val="center"/>
            </w:pPr>
            <w:r>
              <w:rPr>
                <w:b/>
                <w:color w:val="172033"/>
                <w:sz w:val="18"/>
              </w:rPr>
              <w:t>Transform Matrix</w:t>
            </w:r>
          </w:p>
        </w:tc>
        <w:tc>
          <w:tcPr>
            <w:tcW w:w="7056" w:type="dxa"/>
            <w:tcMar>
              <w:top w:w="100" w:type="dxa"/>
              <w:left w:w="110" w:type="dxa"/>
              <w:bottom w:w="100" w:type="dxa"/>
              <w:right w:w="110" w:type="dxa"/>
            </w:tcMar>
            <w:vAlign w:val="center"/>
          </w:tcPr>
          <w:p w14:paraId="043F4500" w14:textId="77777777" w:rsidR="00360219" w:rsidRDefault="003015F4">
            <w:pPr>
              <w:spacing w:after="0" w:line="252" w:lineRule="auto"/>
            </w:pPr>
            <w:r>
              <w:rPr>
                <w:color w:val="172033"/>
                <w:sz w:val="18"/>
              </w:rPr>
              <w:t>Registered relational environment connecting Normalized Perception Records through explicit transforms.</w:t>
            </w:r>
          </w:p>
        </w:tc>
      </w:tr>
      <w:tr w:rsidR="00360219" w14:paraId="44CB7E5A" w14:textId="77777777">
        <w:trPr>
          <w:cantSplit/>
          <w:jc w:val="center"/>
        </w:trPr>
        <w:tc>
          <w:tcPr>
            <w:tcW w:w="2592" w:type="dxa"/>
            <w:shd w:val="clear" w:color="auto" w:fill="F4F6F8"/>
            <w:tcMar>
              <w:top w:w="100" w:type="dxa"/>
              <w:left w:w="110" w:type="dxa"/>
              <w:bottom w:w="100" w:type="dxa"/>
              <w:right w:w="110" w:type="dxa"/>
            </w:tcMar>
            <w:vAlign w:val="center"/>
          </w:tcPr>
          <w:p w14:paraId="589BA61A" w14:textId="77777777" w:rsidR="00360219" w:rsidRDefault="003015F4">
            <w:pPr>
              <w:spacing w:after="0" w:line="252" w:lineRule="auto"/>
              <w:jc w:val="center"/>
            </w:pPr>
            <w:r>
              <w:rPr>
                <w:b/>
                <w:color w:val="172033"/>
                <w:sz w:val="18"/>
              </w:rPr>
              <w:t>Transform</w:t>
            </w:r>
          </w:p>
        </w:tc>
        <w:tc>
          <w:tcPr>
            <w:tcW w:w="7056" w:type="dxa"/>
            <w:tcMar>
              <w:top w:w="100" w:type="dxa"/>
              <w:left w:w="110" w:type="dxa"/>
              <w:bottom w:w="100" w:type="dxa"/>
              <w:right w:w="110" w:type="dxa"/>
            </w:tcMar>
            <w:vAlign w:val="center"/>
          </w:tcPr>
          <w:p w14:paraId="66401DFE" w14:textId="77777777" w:rsidR="00360219" w:rsidRDefault="003015F4">
            <w:pPr>
              <w:spacing w:after="0" w:line="252" w:lineRule="auto"/>
            </w:pPr>
            <w:r>
              <w:rPr>
                <w:color w:val="172033"/>
                <w:sz w:val="18"/>
              </w:rPr>
              <w:t>One declared mathematical correspondence from source perception state to target perception state.</w:t>
            </w:r>
          </w:p>
        </w:tc>
      </w:tr>
      <w:tr w:rsidR="00360219" w14:paraId="4BB32195" w14:textId="77777777">
        <w:trPr>
          <w:cantSplit/>
          <w:jc w:val="center"/>
        </w:trPr>
        <w:tc>
          <w:tcPr>
            <w:tcW w:w="2592" w:type="dxa"/>
            <w:shd w:val="clear" w:color="auto" w:fill="F4F6F8"/>
            <w:tcMar>
              <w:top w:w="100" w:type="dxa"/>
              <w:left w:w="110" w:type="dxa"/>
              <w:bottom w:w="100" w:type="dxa"/>
              <w:right w:w="110" w:type="dxa"/>
            </w:tcMar>
            <w:vAlign w:val="center"/>
          </w:tcPr>
          <w:p w14:paraId="4DBB1DCF" w14:textId="77777777" w:rsidR="00360219" w:rsidRDefault="003015F4">
            <w:pPr>
              <w:spacing w:after="0" w:line="252" w:lineRule="auto"/>
              <w:jc w:val="center"/>
            </w:pPr>
            <w:r>
              <w:rPr>
                <w:b/>
                <w:color w:val="172033"/>
                <w:sz w:val="18"/>
              </w:rPr>
              <w:t>GRADED</w:t>
            </w:r>
          </w:p>
        </w:tc>
        <w:tc>
          <w:tcPr>
            <w:tcW w:w="7056" w:type="dxa"/>
            <w:tcMar>
              <w:top w:w="100" w:type="dxa"/>
              <w:left w:w="110" w:type="dxa"/>
              <w:bottom w:w="100" w:type="dxa"/>
              <w:right w:w="110" w:type="dxa"/>
            </w:tcMar>
            <w:vAlign w:val="center"/>
          </w:tcPr>
          <w:p w14:paraId="1E73633F" w14:textId="77777777" w:rsidR="00360219" w:rsidRDefault="003015F4">
            <w:pPr>
              <w:spacing w:after="0" w:line="252" w:lineRule="auto"/>
            </w:pPr>
            <w:r>
              <w:rPr>
                <w:color w:val="172033"/>
                <w:sz w:val="18"/>
              </w:rPr>
              <w:t>Resolution mode that returns a discrete registered Step state.</w:t>
            </w:r>
          </w:p>
        </w:tc>
      </w:tr>
      <w:tr w:rsidR="00360219" w14:paraId="39726D3F" w14:textId="77777777">
        <w:trPr>
          <w:cantSplit/>
          <w:jc w:val="center"/>
        </w:trPr>
        <w:tc>
          <w:tcPr>
            <w:tcW w:w="2592" w:type="dxa"/>
            <w:shd w:val="clear" w:color="auto" w:fill="F4F6F8"/>
            <w:tcMar>
              <w:top w:w="100" w:type="dxa"/>
              <w:left w:w="110" w:type="dxa"/>
              <w:bottom w:w="100" w:type="dxa"/>
              <w:right w:w="110" w:type="dxa"/>
            </w:tcMar>
            <w:vAlign w:val="center"/>
          </w:tcPr>
          <w:p w14:paraId="321C25B9" w14:textId="77777777" w:rsidR="00360219" w:rsidRDefault="003015F4">
            <w:pPr>
              <w:spacing w:after="0" w:line="252" w:lineRule="auto"/>
              <w:jc w:val="center"/>
            </w:pPr>
            <w:r>
              <w:rPr>
                <w:b/>
                <w:color w:val="172033"/>
                <w:sz w:val="18"/>
              </w:rPr>
              <w:t>GRADIENT</w:t>
            </w:r>
          </w:p>
        </w:tc>
        <w:tc>
          <w:tcPr>
            <w:tcW w:w="7056" w:type="dxa"/>
            <w:tcMar>
              <w:top w:w="100" w:type="dxa"/>
              <w:left w:w="110" w:type="dxa"/>
              <w:bottom w:w="100" w:type="dxa"/>
              <w:right w:w="110" w:type="dxa"/>
            </w:tcMar>
            <w:vAlign w:val="center"/>
          </w:tcPr>
          <w:p w14:paraId="7CE006D1" w14:textId="77777777" w:rsidR="00360219" w:rsidRDefault="003015F4">
            <w:pPr>
              <w:spacing w:after="0" w:line="252" w:lineRule="auto"/>
            </w:pPr>
            <w:r>
              <w:rPr>
                <w:color w:val="172033"/>
                <w:sz w:val="18"/>
              </w:rPr>
              <w:t>Resolution mode that preserves continuous position across ordered Step anchors.</w:t>
            </w:r>
          </w:p>
        </w:tc>
      </w:tr>
      <w:tr w:rsidR="00360219" w14:paraId="3FDDFB0A" w14:textId="77777777">
        <w:trPr>
          <w:cantSplit/>
          <w:jc w:val="center"/>
        </w:trPr>
        <w:tc>
          <w:tcPr>
            <w:tcW w:w="2592" w:type="dxa"/>
            <w:shd w:val="clear" w:color="auto" w:fill="F4F6F8"/>
            <w:tcMar>
              <w:top w:w="100" w:type="dxa"/>
              <w:left w:w="110" w:type="dxa"/>
              <w:bottom w:w="100" w:type="dxa"/>
              <w:right w:w="110" w:type="dxa"/>
            </w:tcMar>
            <w:vAlign w:val="center"/>
          </w:tcPr>
          <w:p w14:paraId="75D5E452" w14:textId="77777777" w:rsidR="00360219" w:rsidRDefault="003015F4">
            <w:pPr>
              <w:spacing w:after="0" w:line="252" w:lineRule="auto"/>
              <w:jc w:val="center"/>
            </w:pPr>
            <w:r>
              <w:rPr>
                <w:b/>
                <w:color w:val="172033"/>
                <w:sz w:val="18"/>
              </w:rPr>
              <w:t>Gate</w:t>
            </w:r>
          </w:p>
        </w:tc>
        <w:tc>
          <w:tcPr>
            <w:tcW w:w="7056" w:type="dxa"/>
            <w:tcMar>
              <w:top w:w="100" w:type="dxa"/>
              <w:left w:w="110" w:type="dxa"/>
              <w:bottom w:w="100" w:type="dxa"/>
              <w:right w:w="110" w:type="dxa"/>
            </w:tcMar>
            <w:vAlign w:val="center"/>
          </w:tcPr>
          <w:p w14:paraId="29A52736" w14:textId="77777777" w:rsidR="00360219" w:rsidRDefault="003015F4">
            <w:pPr>
              <w:spacing w:after="0" w:line="252" w:lineRule="auto"/>
            </w:pPr>
            <w:r>
              <w:rPr>
                <w:color w:val="172033"/>
                <w:sz w:val="18"/>
              </w:rPr>
              <w:t>Rule selecting which mathematical regime or formula applies.</w:t>
            </w:r>
          </w:p>
        </w:tc>
      </w:tr>
      <w:tr w:rsidR="00360219" w14:paraId="4D3A7773" w14:textId="77777777">
        <w:trPr>
          <w:cantSplit/>
          <w:jc w:val="center"/>
        </w:trPr>
        <w:tc>
          <w:tcPr>
            <w:tcW w:w="2592" w:type="dxa"/>
            <w:shd w:val="clear" w:color="auto" w:fill="F4F6F8"/>
            <w:tcMar>
              <w:top w:w="100" w:type="dxa"/>
              <w:left w:w="110" w:type="dxa"/>
              <w:bottom w:w="100" w:type="dxa"/>
              <w:right w:w="110" w:type="dxa"/>
            </w:tcMar>
            <w:vAlign w:val="center"/>
          </w:tcPr>
          <w:p w14:paraId="41F47FDB" w14:textId="77777777" w:rsidR="00360219" w:rsidRDefault="003015F4">
            <w:pPr>
              <w:spacing w:after="0" w:line="252" w:lineRule="auto"/>
              <w:jc w:val="center"/>
            </w:pPr>
            <w:r>
              <w:rPr>
                <w:b/>
                <w:color w:val="172033"/>
                <w:sz w:val="18"/>
              </w:rPr>
              <w:t>Hysteresis</w:t>
            </w:r>
          </w:p>
        </w:tc>
        <w:tc>
          <w:tcPr>
            <w:tcW w:w="7056" w:type="dxa"/>
            <w:tcMar>
              <w:top w:w="100" w:type="dxa"/>
              <w:left w:w="110" w:type="dxa"/>
              <w:bottom w:w="100" w:type="dxa"/>
              <w:right w:w="110" w:type="dxa"/>
            </w:tcMar>
            <w:vAlign w:val="center"/>
          </w:tcPr>
          <w:p w14:paraId="5BD9CA80" w14:textId="77777777" w:rsidR="00360219" w:rsidRDefault="003015F4">
            <w:pPr>
              <w:spacing w:after="0" w:line="252" w:lineRule="auto"/>
            </w:pPr>
            <w:r>
              <w:rPr>
                <w:color w:val="172033"/>
                <w:sz w:val="18"/>
              </w:rPr>
              <w:t>Stateful transition logic using different entry and return conditions, often with prior-state memory.</w:t>
            </w:r>
          </w:p>
        </w:tc>
      </w:tr>
      <w:tr w:rsidR="00360219" w14:paraId="76451AC8" w14:textId="77777777">
        <w:trPr>
          <w:cantSplit/>
          <w:jc w:val="center"/>
        </w:trPr>
        <w:tc>
          <w:tcPr>
            <w:tcW w:w="2592" w:type="dxa"/>
            <w:shd w:val="clear" w:color="auto" w:fill="F4F6F8"/>
            <w:tcMar>
              <w:top w:w="100" w:type="dxa"/>
              <w:left w:w="110" w:type="dxa"/>
              <w:bottom w:w="100" w:type="dxa"/>
              <w:right w:w="110" w:type="dxa"/>
            </w:tcMar>
            <w:vAlign w:val="center"/>
          </w:tcPr>
          <w:p w14:paraId="570566A5" w14:textId="77777777" w:rsidR="00360219" w:rsidRDefault="003015F4">
            <w:pPr>
              <w:spacing w:after="0" w:line="252" w:lineRule="auto"/>
              <w:jc w:val="center"/>
            </w:pPr>
            <w:r>
              <w:rPr>
                <w:b/>
                <w:color w:val="172033"/>
                <w:sz w:val="18"/>
              </w:rPr>
              <w:t>Mask</w:t>
            </w:r>
          </w:p>
        </w:tc>
        <w:tc>
          <w:tcPr>
            <w:tcW w:w="7056" w:type="dxa"/>
            <w:tcMar>
              <w:top w:w="100" w:type="dxa"/>
              <w:left w:w="110" w:type="dxa"/>
              <w:bottom w:w="100" w:type="dxa"/>
              <w:right w:w="110" w:type="dxa"/>
            </w:tcMar>
            <w:vAlign w:val="center"/>
          </w:tcPr>
          <w:p w14:paraId="053FA90D" w14:textId="77777777" w:rsidR="00360219" w:rsidRDefault="003015F4">
            <w:pPr>
              <w:spacing w:after="0" w:line="252" w:lineRule="auto"/>
            </w:pPr>
            <w:r>
              <w:rPr>
                <w:color w:val="172033"/>
                <w:sz w:val="18"/>
              </w:rPr>
              <w:t>Observer-, group-, culture-, task-, or context-scoped semantic interpretation that does not rewrite quantitative state.</w:t>
            </w:r>
          </w:p>
        </w:tc>
      </w:tr>
      <w:tr w:rsidR="00360219" w14:paraId="635075C5" w14:textId="77777777">
        <w:trPr>
          <w:cantSplit/>
          <w:jc w:val="center"/>
        </w:trPr>
        <w:tc>
          <w:tcPr>
            <w:tcW w:w="2592" w:type="dxa"/>
            <w:shd w:val="clear" w:color="auto" w:fill="F4F6F8"/>
            <w:tcMar>
              <w:top w:w="100" w:type="dxa"/>
              <w:left w:w="110" w:type="dxa"/>
              <w:bottom w:w="100" w:type="dxa"/>
              <w:right w:w="110" w:type="dxa"/>
            </w:tcMar>
            <w:vAlign w:val="center"/>
          </w:tcPr>
          <w:p w14:paraId="54215A4C" w14:textId="77777777" w:rsidR="00360219" w:rsidRDefault="003015F4">
            <w:pPr>
              <w:spacing w:after="0" w:line="252" w:lineRule="auto"/>
              <w:jc w:val="center"/>
            </w:pPr>
            <w:r>
              <w:rPr>
                <w:b/>
                <w:color w:val="172033"/>
                <w:sz w:val="18"/>
              </w:rPr>
              <w:t>MRMM Projection Contract</w:t>
            </w:r>
          </w:p>
        </w:tc>
        <w:tc>
          <w:tcPr>
            <w:tcW w:w="7056" w:type="dxa"/>
            <w:tcMar>
              <w:top w:w="100" w:type="dxa"/>
              <w:left w:w="110" w:type="dxa"/>
              <w:bottom w:w="100" w:type="dxa"/>
              <w:right w:w="110" w:type="dxa"/>
            </w:tcMar>
            <w:vAlign w:val="center"/>
          </w:tcPr>
          <w:p w14:paraId="1E92082D" w14:textId="77777777" w:rsidR="00360219" w:rsidRDefault="003015F4">
            <w:pPr>
              <w:spacing w:after="0" w:line="252" w:lineRule="auto"/>
            </w:pPr>
            <w:r>
              <w:rPr>
                <w:color w:val="172033"/>
                <w:sz w:val="18"/>
              </w:rPr>
              <w:t>Declared mapping from source semantics or relationships into perceptual modality parameters.</w:t>
            </w:r>
          </w:p>
        </w:tc>
      </w:tr>
      <w:tr w:rsidR="00360219" w14:paraId="4805B05A" w14:textId="77777777">
        <w:trPr>
          <w:cantSplit/>
          <w:jc w:val="center"/>
        </w:trPr>
        <w:tc>
          <w:tcPr>
            <w:tcW w:w="2592" w:type="dxa"/>
            <w:shd w:val="clear" w:color="auto" w:fill="F4F6F8"/>
            <w:tcMar>
              <w:top w:w="100" w:type="dxa"/>
              <w:left w:w="110" w:type="dxa"/>
              <w:bottom w:w="100" w:type="dxa"/>
              <w:right w:w="110" w:type="dxa"/>
            </w:tcMar>
            <w:vAlign w:val="center"/>
          </w:tcPr>
          <w:p w14:paraId="20C2F516" w14:textId="77777777" w:rsidR="00360219" w:rsidRDefault="003015F4">
            <w:pPr>
              <w:spacing w:after="0" w:line="252" w:lineRule="auto"/>
              <w:jc w:val="center"/>
            </w:pPr>
            <w:r>
              <w:rPr>
                <w:b/>
                <w:color w:val="172033"/>
                <w:sz w:val="18"/>
              </w:rPr>
              <w:t>Renderer</w:t>
            </w:r>
          </w:p>
        </w:tc>
        <w:tc>
          <w:tcPr>
            <w:tcW w:w="7056" w:type="dxa"/>
            <w:tcMar>
              <w:top w:w="100" w:type="dxa"/>
              <w:left w:w="110" w:type="dxa"/>
              <w:bottom w:w="100" w:type="dxa"/>
              <w:right w:w="110" w:type="dxa"/>
            </w:tcMar>
            <w:vAlign w:val="center"/>
          </w:tcPr>
          <w:p w14:paraId="724123C2" w14:textId="77777777" w:rsidR="00360219" w:rsidRDefault="003015F4">
            <w:pPr>
              <w:spacing w:after="0" w:line="252" w:lineRule="auto"/>
            </w:pPr>
            <w:r>
              <w:rPr>
                <w:color w:val="172033"/>
                <w:sz w:val="18"/>
              </w:rPr>
              <w:t>Software or device that realizes renderer-neutral projection parameters as actual perceptual output.</w:t>
            </w:r>
          </w:p>
        </w:tc>
      </w:tr>
      <w:tr w:rsidR="00360219" w14:paraId="39C8A15B" w14:textId="77777777">
        <w:trPr>
          <w:cantSplit/>
          <w:jc w:val="center"/>
        </w:trPr>
        <w:tc>
          <w:tcPr>
            <w:tcW w:w="2592" w:type="dxa"/>
            <w:shd w:val="clear" w:color="auto" w:fill="F4F6F8"/>
            <w:tcMar>
              <w:top w:w="100" w:type="dxa"/>
              <w:left w:w="110" w:type="dxa"/>
              <w:bottom w:w="100" w:type="dxa"/>
              <w:right w:w="110" w:type="dxa"/>
            </w:tcMar>
            <w:vAlign w:val="center"/>
          </w:tcPr>
          <w:p w14:paraId="1D4B55AC" w14:textId="77777777" w:rsidR="00360219" w:rsidRDefault="003015F4">
            <w:pPr>
              <w:spacing w:after="0" w:line="252" w:lineRule="auto"/>
              <w:jc w:val="center"/>
            </w:pPr>
            <w:r>
              <w:rPr>
                <w:b/>
                <w:color w:val="172033"/>
                <w:sz w:val="18"/>
              </w:rPr>
              <w:t>Sensory Bitmap</w:t>
            </w:r>
          </w:p>
        </w:tc>
        <w:tc>
          <w:tcPr>
            <w:tcW w:w="7056" w:type="dxa"/>
            <w:tcMar>
              <w:top w:w="100" w:type="dxa"/>
              <w:left w:w="110" w:type="dxa"/>
              <w:bottom w:w="100" w:type="dxa"/>
              <w:right w:w="110" w:type="dxa"/>
            </w:tcMar>
            <w:vAlign w:val="center"/>
          </w:tcPr>
          <w:p w14:paraId="6E226D51" w14:textId="77777777" w:rsidR="00360219" w:rsidRDefault="003015F4">
            <w:pPr>
              <w:spacing w:after="0" w:line="252" w:lineRule="auto"/>
            </w:pPr>
            <w:r>
              <w:rPr>
                <w:color w:val="172033"/>
                <w:sz w:val="18"/>
              </w:rPr>
              <w:t>Bit-encoded representation of normalized semantic state at a justified resolution.</w:t>
            </w:r>
          </w:p>
        </w:tc>
      </w:tr>
    </w:tbl>
    <w:p w14:paraId="60E2ED4F" w14:textId="77777777" w:rsidR="00360219" w:rsidRDefault="00360219">
      <w:pPr>
        <w:spacing w:after="40"/>
      </w:pPr>
    </w:p>
    <w:p w14:paraId="7CB6D3F3" w14:textId="77777777" w:rsidR="00360219" w:rsidRDefault="003015F4">
      <w:pPr>
        <w:spacing w:before="480"/>
        <w:jc w:val="center"/>
      </w:pPr>
      <w:r>
        <w:rPr>
          <w:b/>
          <w:color w:val="5B6577"/>
        </w:rPr>
        <w:t>END OF GUIDE</w:t>
      </w:r>
    </w:p>
    <w:p w14:paraId="0CEE12D5" w14:textId="77777777" w:rsidR="00360219" w:rsidRDefault="003015F4">
      <w:pPr>
        <w:jc w:val="center"/>
      </w:pPr>
      <w:r>
        <w:rPr>
          <w:color w:val="5B6577"/>
          <w:sz w:val="18"/>
        </w:rPr>
        <w:t>CERBERUS Sensory Detection, Normalization &amp; Perception Bitmapping Guide | v0.1</w:t>
      </w:r>
    </w:p>
    <w:sectPr w:rsidR="00360219" w:rsidSect="00034616">
      <w:footerReference w:type="default" r:id="rId40"/>
      <w:pgSz w:w="12240" w:h="15840"/>
      <w:pgMar w:top="979" w:right="1123" w:bottom="979" w:left="1123" w:header="461" w:footer="46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682D4" w14:textId="77777777" w:rsidR="003015F4" w:rsidRDefault="003015F4">
      <w:pPr>
        <w:spacing w:after="0" w:line="240" w:lineRule="auto"/>
      </w:pPr>
      <w:r>
        <w:separator/>
      </w:r>
    </w:p>
  </w:endnote>
  <w:endnote w:type="continuationSeparator" w:id="0">
    <w:p w14:paraId="2E86014F" w14:textId="77777777" w:rsidR="003015F4" w:rsidRDefault="00301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3D659" w14:textId="77777777" w:rsidR="00360219" w:rsidRDefault="00360219">
    <w:pPr>
      <w:pStyle w:val="Footer"/>
    </w:pPr>
  </w:p>
  <w:tbl>
    <w:tblPr>
      <w:tblW w:w="0" w:type="auto"/>
      <w:jc w:val="center"/>
      <w:tblLayout w:type="fixed"/>
      <w:tblLook w:val="04A0" w:firstRow="1" w:lastRow="0" w:firstColumn="1" w:lastColumn="0" w:noHBand="0" w:noVBand="1"/>
    </w:tblPr>
    <w:tblGrid>
      <w:gridCol w:w="7776"/>
      <w:gridCol w:w="2088"/>
    </w:tblGrid>
    <w:tr w:rsidR="00360219" w14:paraId="1B7EDE60" w14:textId="77777777">
      <w:trPr>
        <w:jc w:val="center"/>
      </w:trPr>
      <w:tc>
        <w:tcPr>
          <w:tcW w:w="7776" w:type="dxa"/>
          <w:tcBorders>
            <w:top w:val="single" w:sz="3" w:space="0" w:color="D6DBE3"/>
            <w:left w:val="nil"/>
            <w:bottom w:val="nil"/>
            <w:right w:val="nil"/>
          </w:tcBorders>
          <w:tcMar>
            <w:top w:w="30" w:type="dxa"/>
            <w:left w:w="0" w:type="dxa"/>
            <w:bottom w:w="10" w:type="dxa"/>
            <w:right w:w="0" w:type="dxa"/>
          </w:tcMar>
        </w:tcPr>
        <w:p w14:paraId="5B22EC26" w14:textId="77777777" w:rsidR="00360219" w:rsidRDefault="003015F4">
          <w:r>
            <w:rPr>
              <w:b/>
              <w:color w:val="5B6577"/>
              <w:sz w:val="16"/>
            </w:rPr>
            <w:t>CERBERUS | SENSORY NORMALIZATION &amp; PERCEPTION</w:t>
          </w:r>
        </w:p>
      </w:tc>
      <w:tc>
        <w:tcPr>
          <w:tcW w:w="2088" w:type="dxa"/>
          <w:tcBorders>
            <w:top w:val="single" w:sz="3" w:space="0" w:color="D6DBE3"/>
            <w:left w:val="nil"/>
            <w:bottom w:val="nil"/>
            <w:right w:val="nil"/>
          </w:tcBorders>
          <w:tcMar>
            <w:top w:w="30" w:type="dxa"/>
            <w:left w:w="0" w:type="dxa"/>
            <w:bottom w:w="10" w:type="dxa"/>
            <w:right w:w="0" w:type="dxa"/>
          </w:tcMar>
        </w:tcPr>
        <w:p w14:paraId="65CA4325" w14:textId="77777777" w:rsidR="00360219" w:rsidRDefault="003015F4">
          <w:pPr>
            <w:jc w:val="right"/>
          </w:pPr>
          <w:r>
            <w:rPr>
              <w:color w:val="5B6577"/>
              <w:sz w:val="17"/>
            </w:rPr>
            <w:t xml:space="preserve">Page </w:t>
          </w:r>
          <w:r>
            <w:rPr>
              <w:color w:val="5B6577"/>
              <w:sz w:val="17"/>
            </w:rPr>
            <w:fldChar w:fldCharType="begin"/>
          </w:r>
          <w:r>
            <w:rPr>
              <w:color w:val="5B6577"/>
              <w:sz w:val="17"/>
            </w:rPr>
            <w:instrText xml:space="preserve"> PAGE </w:instrText>
          </w:r>
          <w:r>
            <w:rPr>
              <w:color w:val="5B6577"/>
              <w:sz w:val="17"/>
            </w:rPr>
            <w:fldChar w:fldCharType="end"/>
          </w:r>
          <w:r>
            <w:rPr>
              <w:color w:val="5B6577"/>
              <w:sz w:val="17"/>
            </w:rPr>
            <w:t xml:space="preserve"> of </w:t>
          </w:r>
          <w:r>
            <w:rPr>
              <w:color w:val="5B6577"/>
              <w:sz w:val="17"/>
            </w:rPr>
            <w:fldChar w:fldCharType="begin"/>
          </w:r>
          <w:r>
            <w:rPr>
              <w:color w:val="5B6577"/>
              <w:sz w:val="17"/>
            </w:rPr>
            <w:instrText xml:space="preserve"> NUMPAGES </w:instrText>
          </w:r>
          <w:r>
            <w:rPr>
              <w:color w:val="5B6577"/>
              <w:sz w:val="17"/>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35033" w14:textId="77777777" w:rsidR="003015F4" w:rsidRDefault="003015F4">
      <w:pPr>
        <w:spacing w:after="0" w:line="240" w:lineRule="auto"/>
      </w:pPr>
      <w:r>
        <w:separator/>
      </w:r>
    </w:p>
  </w:footnote>
  <w:footnote w:type="continuationSeparator" w:id="0">
    <w:p w14:paraId="1B41DE36" w14:textId="77777777" w:rsidR="003015F4" w:rsidRDefault="003015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92517409">
    <w:abstractNumId w:val="8"/>
  </w:num>
  <w:num w:numId="2" w16cid:durableId="648948432">
    <w:abstractNumId w:val="6"/>
  </w:num>
  <w:num w:numId="3" w16cid:durableId="658652102">
    <w:abstractNumId w:val="5"/>
  </w:num>
  <w:num w:numId="4" w16cid:durableId="1374691953">
    <w:abstractNumId w:val="4"/>
  </w:num>
  <w:num w:numId="5" w16cid:durableId="830562540">
    <w:abstractNumId w:val="7"/>
  </w:num>
  <w:num w:numId="6" w16cid:durableId="313721463">
    <w:abstractNumId w:val="3"/>
  </w:num>
  <w:num w:numId="7" w16cid:durableId="1673527778">
    <w:abstractNumId w:val="2"/>
  </w:num>
  <w:num w:numId="8" w16cid:durableId="645596459">
    <w:abstractNumId w:val="1"/>
  </w:num>
  <w:num w:numId="9" w16cid:durableId="1524201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015F4"/>
    <w:rsid w:val="00326F90"/>
    <w:rsid w:val="00360219"/>
    <w:rsid w:val="008628AA"/>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77718E"/>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2033"/>
      <w:sz w:val="3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E5AA8"/>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66508F"/>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40" w:line="271" w:lineRule="auto"/>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8113</Words>
  <Characters>46246</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54251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Sensory Detection, Normalization &amp; Perception Bitmapping Guide</dc:title>
  <dc:subject>CERBERUS normalization, normalized perception, Transform Matrix, and sensory bitmapping architecture.</dc:subject>
  <dc:creator>CERBERUS Architecture</dc:creator>
  <cp:keywords>CERBERUS, Normalization Table, Transform Matrix, Normalized Perception, MRMM, PPL, sensory bitmapping</cp:keywords>
  <dc:description>Formal architecture guide.</dc:description>
  <cp:lastModifiedBy>Shane Conrad</cp:lastModifiedBy>
  <cp:revision>2</cp:revision>
  <dcterms:created xsi:type="dcterms:W3CDTF">2026-08-23T18:48:00Z</dcterms:created>
  <dcterms:modified xsi:type="dcterms:W3CDTF">2026-08-23T18:48:00Z</dcterms:modified>
  <cp:category/>
</cp:coreProperties>
</file>