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BDF9" w14:textId="77777777" w:rsidR="00784701" w:rsidRDefault="00ED1A28">
      <w:pPr>
        <w:spacing w:before="1440"/>
        <w:jc w:val="center"/>
        <w:rPr>
          <w:rFonts w:hint="eastAsia"/>
        </w:rPr>
      </w:pPr>
      <w:r>
        <w:rPr>
          <w:rFonts w:ascii="Aptos Display" w:hAnsi="Aptos Display"/>
          <w:b/>
          <w:color w:val="17365D"/>
          <w:sz w:val="60"/>
        </w:rPr>
        <w:t>SEMANTIC PREFIX</w:t>
      </w:r>
      <w:r>
        <w:rPr>
          <w:rFonts w:ascii="Aptos Display" w:hAnsi="Aptos Display"/>
          <w:b/>
          <w:color w:val="17365D"/>
          <w:sz w:val="60"/>
        </w:rPr>
        <w:br/>
        <w:t>INVARIANCE</w:t>
      </w:r>
    </w:p>
    <w:p w14:paraId="3D18BEC4" w14:textId="77777777" w:rsidR="00784701" w:rsidRDefault="00ED1A28">
      <w:pPr>
        <w:spacing w:after="520"/>
        <w:jc w:val="center"/>
        <w:rPr>
          <w:rFonts w:hint="eastAsia"/>
        </w:rPr>
      </w:pPr>
      <w:r>
        <w:rPr>
          <w:color w:val="0F6B78"/>
          <w:sz w:val="26"/>
        </w:rPr>
        <w:t>Formal System Specification for Append-Only Semantic Resolution, Prefix-Compatible Bitwords, and Resolution-Aware Bitlinking</w:t>
      </w:r>
    </w:p>
    <w:tbl>
      <w:tblPr>
        <w:tblW w:w="0" w:type="auto"/>
        <w:jc w:val="center"/>
        <w:tblLook w:val="04A0" w:firstRow="1" w:lastRow="0" w:firstColumn="1" w:lastColumn="0" w:noHBand="0" w:noVBand="1"/>
      </w:tblPr>
      <w:tblGrid>
        <w:gridCol w:w="9936"/>
      </w:tblGrid>
      <w:tr w:rsidR="00784701" w14:paraId="1CB2E49B" w14:textId="77777777">
        <w:trPr>
          <w:cantSplit/>
          <w:jc w:val="center"/>
        </w:trPr>
        <w:tc>
          <w:tcPr>
            <w:tcW w:w="9936" w:type="dxa"/>
            <w:tcBorders>
              <w:top w:val="single" w:sz="8" w:space="0" w:color="0F6B78"/>
              <w:left w:val="single" w:sz="8" w:space="0" w:color="0F6B78"/>
              <w:bottom w:val="single" w:sz="8" w:space="0" w:color="0F6B78"/>
              <w:right w:val="single" w:sz="8" w:space="0" w:color="0F6B78"/>
            </w:tcBorders>
            <w:shd w:val="clear" w:color="auto" w:fill="EAF5F6"/>
            <w:tcMar>
              <w:top w:w="120" w:type="dxa"/>
              <w:left w:w="160" w:type="dxa"/>
              <w:bottom w:w="120" w:type="dxa"/>
              <w:right w:w="160" w:type="dxa"/>
            </w:tcMar>
          </w:tcPr>
          <w:p w14:paraId="795B3FB7" w14:textId="77777777" w:rsidR="00784701" w:rsidRDefault="00ED1A28">
            <w:pPr>
              <w:spacing w:after="60"/>
              <w:rPr>
                <w:rFonts w:hint="eastAsia"/>
              </w:rPr>
            </w:pPr>
            <w:r>
              <w:rPr>
                <w:b/>
                <w:color w:val="0F6B78"/>
              </w:rPr>
              <w:t>Reference Principle</w:t>
            </w:r>
          </w:p>
          <w:p w14:paraId="3CA83981" w14:textId="77777777" w:rsidR="00784701" w:rsidRDefault="00ED1A28">
            <w:pPr>
              <w:spacing w:after="0"/>
              <w:rPr>
                <w:rFonts w:hint="eastAsia"/>
              </w:rPr>
            </w:pPr>
            <w:r>
              <w:rPr>
                <w:sz w:val="20"/>
              </w:rPr>
              <w:t>A higher-resolution Semantic Kernel extends a lower-resolution Kernel by ordered concatenation. Published prefix bits do not move, change meaning, or require migration. A consumer may read only the prefix resolution it understands, while higher-resolution consumers may continue into appended semantic segments.</w:t>
            </w:r>
          </w:p>
        </w:tc>
      </w:tr>
    </w:tbl>
    <w:p w14:paraId="15F8C083" w14:textId="77777777" w:rsidR="00784701" w:rsidRDefault="00784701">
      <w:pPr>
        <w:spacing w:after="20"/>
        <w:rPr>
          <w:rFonts w:hint="eastAsia"/>
        </w:rPr>
      </w:pPr>
    </w:p>
    <w:p w14:paraId="02FE2FE5" w14:textId="77777777" w:rsidR="00784701" w:rsidRDefault="00ED1A28">
      <w:pPr>
        <w:spacing w:before="360"/>
        <w:jc w:val="center"/>
        <w:rPr>
          <w:rFonts w:hint="eastAsia"/>
        </w:rPr>
      </w:pPr>
      <w:r>
        <w:rPr>
          <w:b/>
          <w:sz w:val="22"/>
        </w:rPr>
        <w:t>Specification Version 1.0</w:t>
      </w:r>
      <w:r>
        <w:rPr>
          <w:b/>
          <w:sz w:val="22"/>
        </w:rPr>
        <w:br/>
      </w:r>
      <w:r>
        <w:t>Architecture Family: CERBERUS Semantic Kernel / Matryoshka</w:t>
      </w:r>
      <w:r>
        <w:br/>
        <w:t>Status: Formal reference specification for implementation and evolution</w:t>
      </w:r>
      <w:r>
        <w:br/>
        <w:t>Date: August 2026</w:t>
      </w:r>
      <w:r>
        <w:br/>
      </w:r>
    </w:p>
    <w:p w14:paraId="6C80108C" w14:textId="77777777" w:rsidR="00784701" w:rsidRDefault="00ED1A28">
      <w:pPr>
        <w:spacing w:before="680"/>
        <w:jc w:val="center"/>
        <w:rPr>
          <w:rFonts w:hint="eastAsia"/>
        </w:rPr>
      </w:pPr>
      <w:r>
        <w:rPr>
          <w:i/>
          <w:color w:val="4B5563"/>
          <w:sz w:val="22"/>
        </w:rPr>
        <w:t>Semantic depth is optional and addressable.</w:t>
      </w:r>
      <w:r>
        <w:rPr>
          <w:i/>
          <w:color w:val="4B5563"/>
          <w:sz w:val="22"/>
        </w:rPr>
        <w:br/>
        <w:t>Learn once. Encode once. Extend without semantic migration.</w:t>
      </w:r>
    </w:p>
    <w:p w14:paraId="0807B916" w14:textId="77777777" w:rsidR="00784701" w:rsidRDefault="00ED1A28">
      <w:pPr>
        <w:rPr>
          <w:rFonts w:hint="eastAsia"/>
        </w:rPr>
      </w:pPr>
      <w:r>
        <w:br w:type="page"/>
      </w:r>
    </w:p>
    <w:p w14:paraId="2B542C87" w14:textId="77777777" w:rsidR="00784701" w:rsidRDefault="00ED1A28">
      <w:pPr>
        <w:pStyle w:val="Heading1"/>
        <w:spacing w:before="240" w:after="100"/>
      </w:pPr>
      <w:r>
        <w:t>Document Control</w:t>
      </w:r>
    </w:p>
    <w:tbl>
      <w:tblPr>
        <w:tblStyle w:val="TableGrid"/>
        <w:tblW w:w="0" w:type="auto"/>
        <w:jc w:val="center"/>
        <w:tblLayout w:type="fixed"/>
        <w:tblLook w:val="04A0" w:firstRow="1" w:lastRow="0" w:firstColumn="1" w:lastColumn="0" w:noHBand="0" w:noVBand="1"/>
      </w:tblPr>
      <w:tblGrid>
        <w:gridCol w:w="2376"/>
        <w:gridCol w:w="7992"/>
      </w:tblGrid>
      <w:tr w:rsidR="00784701" w14:paraId="791ECC73" w14:textId="77777777">
        <w:trPr>
          <w:tblHeader/>
          <w:jc w:val="center"/>
        </w:trPr>
        <w:tc>
          <w:tcPr>
            <w:tcW w:w="2376" w:type="dxa"/>
            <w:shd w:val="clear" w:color="auto" w:fill="17365D"/>
            <w:tcMar>
              <w:top w:w="90" w:type="dxa"/>
              <w:left w:w="100" w:type="dxa"/>
              <w:bottom w:w="90" w:type="dxa"/>
              <w:right w:w="100" w:type="dxa"/>
            </w:tcMar>
            <w:vAlign w:val="center"/>
          </w:tcPr>
          <w:p w14:paraId="573CFEF9" w14:textId="77777777" w:rsidR="00784701" w:rsidRDefault="00ED1A28">
            <w:pPr>
              <w:jc w:val="center"/>
              <w:rPr>
                <w:rFonts w:hint="eastAsia"/>
              </w:rPr>
            </w:pPr>
            <w:r>
              <w:rPr>
                <w:b/>
                <w:color w:val="FFFFFF"/>
                <w:sz w:val="19"/>
              </w:rPr>
              <w:t>Field</w:t>
            </w:r>
          </w:p>
        </w:tc>
        <w:tc>
          <w:tcPr>
            <w:tcW w:w="7992" w:type="dxa"/>
            <w:shd w:val="clear" w:color="auto" w:fill="17365D"/>
            <w:tcMar>
              <w:top w:w="90" w:type="dxa"/>
              <w:left w:w="100" w:type="dxa"/>
              <w:bottom w:w="90" w:type="dxa"/>
              <w:right w:w="100" w:type="dxa"/>
            </w:tcMar>
            <w:vAlign w:val="center"/>
          </w:tcPr>
          <w:p w14:paraId="5A0E7EAE" w14:textId="77777777" w:rsidR="00784701" w:rsidRDefault="00ED1A28">
            <w:pPr>
              <w:jc w:val="center"/>
              <w:rPr>
                <w:rFonts w:hint="eastAsia"/>
              </w:rPr>
            </w:pPr>
            <w:r>
              <w:rPr>
                <w:b/>
                <w:color w:val="FFFFFF"/>
                <w:sz w:val="19"/>
              </w:rPr>
              <w:t>Specification</w:t>
            </w:r>
          </w:p>
        </w:tc>
      </w:tr>
      <w:tr w:rsidR="00784701" w14:paraId="3D70F777" w14:textId="77777777">
        <w:trPr>
          <w:jc w:val="center"/>
        </w:trPr>
        <w:tc>
          <w:tcPr>
            <w:tcW w:w="2376" w:type="dxa"/>
            <w:tcMar>
              <w:top w:w="90" w:type="dxa"/>
              <w:left w:w="100" w:type="dxa"/>
              <w:bottom w:w="90" w:type="dxa"/>
              <w:right w:w="100" w:type="dxa"/>
            </w:tcMar>
            <w:vAlign w:val="center"/>
          </w:tcPr>
          <w:p w14:paraId="2D963F8E" w14:textId="77777777" w:rsidR="00784701" w:rsidRDefault="00ED1A28">
            <w:pPr>
              <w:jc w:val="center"/>
              <w:rPr>
                <w:rFonts w:hint="eastAsia"/>
              </w:rPr>
            </w:pPr>
            <w:r>
              <w:rPr>
                <w:sz w:val="18"/>
              </w:rPr>
              <w:t>Document Title</w:t>
            </w:r>
          </w:p>
        </w:tc>
        <w:tc>
          <w:tcPr>
            <w:tcW w:w="7992" w:type="dxa"/>
            <w:tcMar>
              <w:top w:w="90" w:type="dxa"/>
              <w:left w:w="100" w:type="dxa"/>
              <w:bottom w:w="90" w:type="dxa"/>
              <w:right w:w="100" w:type="dxa"/>
            </w:tcMar>
            <w:vAlign w:val="center"/>
          </w:tcPr>
          <w:p w14:paraId="7810F416" w14:textId="77777777" w:rsidR="00784701" w:rsidRDefault="00ED1A28">
            <w:pPr>
              <w:rPr>
                <w:rFonts w:hint="eastAsia"/>
              </w:rPr>
            </w:pPr>
            <w:r>
              <w:rPr>
                <w:sz w:val="18"/>
              </w:rPr>
              <w:t>Semantic Prefix Invariance</w:t>
            </w:r>
          </w:p>
        </w:tc>
      </w:tr>
      <w:tr w:rsidR="00784701" w14:paraId="5629603E" w14:textId="77777777">
        <w:trPr>
          <w:jc w:val="center"/>
        </w:trPr>
        <w:tc>
          <w:tcPr>
            <w:tcW w:w="2376" w:type="dxa"/>
            <w:shd w:val="clear" w:color="auto" w:fill="F8FAFC"/>
            <w:tcMar>
              <w:top w:w="90" w:type="dxa"/>
              <w:left w:w="100" w:type="dxa"/>
              <w:bottom w:w="90" w:type="dxa"/>
              <w:right w:w="100" w:type="dxa"/>
            </w:tcMar>
            <w:vAlign w:val="center"/>
          </w:tcPr>
          <w:p w14:paraId="31D2534B" w14:textId="77777777" w:rsidR="00784701" w:rsidRDefault="00ED1A28">
            <w:pPr>
              <w:rPr>
                <w:rFonts w:hint="eastAsia"/>
              </w:rPr>
            </w:pPr>
            <w:r>
              <w:rPr>
                <w:sz w:val="18"/>
              </w:rPr>
              <w:t>Specification Version</w:t>
            </w:r>
          </w:p>
        </w:tc>
        <w:tc>
          <w:tcPr>
            <w:tcW w:w="7992" w:type="dxa"/>
            <w:shd w:val="clear" w:color="auto" w:fill="F8FAFC"/>
            <w:tcMar>
              <w:top w:w="90" w:type="dxa"/>
              <w:left w:w="100" w:type="dxa"/>
              <w:bottom w:w="90" w:type="dxa"/>
              <w:right w:w="100" w:type="dxa"/>
            </w:tcMar>
            <w:vAlign w:val="center"/>
          </w:tcPr>
          <w:p w14:paraId="6CD22D86" w14:textId="77777777" w:rsidR="00784701" w:rsidRDefault="00ED1A28">
            <w:pPr>
              <w:jc w:val="center"/>
              <w:rPr>
                <w:rFonts w:hint="eastAsia"/>
              </w:rPr>
            </w:pPr>
            <w:r>
              <w:rPr>
                <w:sz w:val="18"/>
              </w:rPr>
              <w:t>1.0</w:t>
            </w:r>
          </w:p>
        </w:tc>
      </w:tr>
      <w:tr w:rsidR="00784701" w14:paraId="22205601" w14:textId="77777777">
        <w:trPr>
          <w:jc w:val="center"/>
        </w:trPr>
        <w:tc>
          <w:tcPr>
            <w:tcW w:w="2376" w:type="dxa"/>
            <w:tcMar>
              <w:top w:w="90" w:type="dxa"/>
              <w:left w:w="100" w:type="dxa"/>
              <w:bottom w:w="90" w:type="dxa"/>
              <w:right w:w="100" w:type="dxa"/>
            </w:tcMar>
            <w:vAlign w:val="center"/>
          </w:tcPr>
          <w:p w14:paraId="0C5E2064" w14:textId="77777777" w:rsidR="00784701" w:rsidRDefault="00ED1A28">
            <w:pPr>
              <w:jc w:val="center"/>
              <w:rPr>
                <w:rFonts w:hint="eastAsia"/>
              </w:rPr>
            </w:pPr>
            <w:r>
              <w:rPr>
                <w:sz w:val="18"/>
              </w:rPr>
              <w:t>Architecture</w:t>
            </w:r>
          </w:p>
        </w:tc>
        <w:tc>
          <w:tcPr>
            <w:tcW w:w="7992" w:type="dxa"/>
            <w:tcMar>
              <w:top w:w="90" w:type="dxa"/>
              <w:left w:w="100" w:type="dxa"/>
              <w:bottom w:w="90" w:type="dxa"/>
              <w:right w:w="100" w:type="dxa"/>
            </w:tcMar>
            <w:vAlign w:val="center"/>
          </w:tcPr>
          <w:p w14:paraId="120D4518" w14:textId="77777777" w:rsidR="00784701" w:rsidRDefault="00ED1A28">
            <w:pPr>
              <w:rPr>
                <w:rFonts w:hint="eastAsia"/>
              </w:rPr>
            </w:pPr>
            <w:r>
              <w:rPr>
                <w:sz w:val="18"/>
              </w:rPr>
              <w:t>CERBERUS Semantic Kernel / Matryoshka</w:t>
            </w:r>
          </w:p>
        </w:tc>
      </w:tr>
      <w:tr w:rsidR="00784701" w14:paraId="35360A1D" w14:textId="77777777">
        <w:trPr>
          <w:jc w:val="center"/>
        </w:trPr>
        <w:tc>
          <w:tcPr>
            <w:tcW w:w="2376" w:type="dxa"/>
            <w:shd w:val="clear" w:color="auto" w:fill="F8FAFC"/>
            <w:tcMar>
              <w:top w:w="90" w:type="dxa"/>
              <w:left w:w="100" w:type="dxa"/>
              <w:bottom w:w="90" w:type="dxa"/>
              <w:right w:w="100" w:type="dxa"/>
            </w:tcMar>
            <w:vAlign w:val="center"/>
          </w:tcPr>
          <w:p w14:paraId="4D902540" w14:textId="77777777" w:rsidR="00784701" w:rsidRDefault="00ED1A28">
            <w:pPr>
              <w:jc w:val="center"/>
              <w:rPr>
                <w:rFonts w:hint="eastAsia"/>
              </w:rPr>
            </w:pPr>
            <w:r>
              <w:rPr>
                <w:sz w:val="18"/>
              </w:rPr>
              <w:t>Primary Subject</w:t>
            </w:r>
          </w:p>
        </w:tc>
        <w:tc>
          <w:tcPr>
            <w:tcW w:w="7992" w:type="dxa"/>
            <w:shd w:val="clear" w:color="auto" w:fill="F8FAFC"/>
            <w:tcMar>
              <w:top w:w="90" w:type="dxa"/>
              <w:left w:w="100" w:type="dxa"/>
              <w:bottom w:w="90" w:type="dxa"/>
              <w:right w:w="100" w:type="dxa"/>
            </w:tcMar>
            <w:vAlign w:val="center"/>
          </w:tcPr>
          <w:p w14:paraId="2DF1EDA1" w14:textId="77777777" w:rsidR="00784701" w:rsidRDefault="00ED1A28">
            <w:pPr>
              <w:rPr>
                <w:rFonts w:hint="eastAsia"/>
              </w:rPr>
            </w:pPr>
            <w:r>
              <w:rPr>
                <w:sz w:val="18"/>
              </w:rPr>
              <w:t>Append-only semantic resolution, prefix invariance, compatibility, transfer, and resolution-aware Bitlinking</w:t>
            </w:r>
          </w:p>
        </w:tc>
      </w:tr>
      <w:tr w:rsidR="00784701" w14:paraId="67E6B34C" w14:textId="77777777">
        <w:trPr>
          <w:jc w:val="center"/>
        </w:trPr>
        <w:tc>
          <w:tcPr>
            <w:tcW w:w="2376" w:type="dxa"/>
            <w:tcMar>
              <w:top w:w="90" w:type="dxa"/>
              <w:left w:w="100" w:type="dxa"/>
              <w:bottom w:w="90" w:type="dxa"/>
              <w:right w:w="100" w:type="dxa"/>
            </w:tcMar>
            <w:vAlign w:val="center"/>
          </w:tcPr>
          <w:p w14:paraId="752EBF17" w14:textId="77777777" w:rsidR="00784701" w:rsidRDefault="00ED1A28">
            <w:pPr>
              <w:jc w:val="center"/>
              <w:rPr>
                <w:rFonts w:hint="eastAsia"/>
              </w:rPr>
            </w:pPr>
            <w:r>
              <w:rPr>
                <w:sz w:val="18"/>
              </w:rPr>
              <w:t>Normative Terms</w:t>
            </w:r>
          </w:p>
        </w:tc>
        <w:tc>
          <w:tcPr>
            <w:tcW w:w="7992" w:type="dxa"/>
            <w:tcMar>
              <w:top w:w="90" w:type="dxa"/>
              <w:left w:w="100" w:type="dxa"/>
              <w:bottom w:w="90" w:type="dxa"/>
              <w:right w:w="100" w:type="dxa"/>
            </w:tcMar>
            <w:vAlign w:val="center"/>
          </w:tcPr>
          <w:p w14:paraId="1D65DD47" w14:textId="77777777" w:rsidR="00784701" w:rsidRDefault="00ED1A28">
            <w:pPr>
              <w:rPr>
                <w:rFonts w:hint="eastAsia"/>
              </w:rPr>
            </w:pPr>
            <w:r>
              <w:rPr>
                <w:sz w:val="18"/>
              </w:rPr>
              <w:t>MUST, MUST NOT, SHOULD, SHOULD NOT, and MAY are used as requirements language.</w:t>
            </w:r>
          </w:p>
        </w:tc>
      </w:tr>
      <w:tr w:rsidR="00784701" w14:paraId="257AD874" w14:textId="77777777">
        <w:trPr>
          <w:jc w:val="center"/>
        </w:trPr>
        <w:tc>
          <w:tcPr>
            <w:tcW w:w="2376" w:type="dxa"/>
            <w:shd w:val="clear" w:color="auto" w:fill="F8FAFC"/>
            <w:tcMar>
              <w:top w:w="90" w:type="dxa"/>
              <w:left w:w="100" w:type="dxa"/>
              <w:bottom w:w="90" w:type="dxa"/>
              <w:right w:w="100" w:type="dxa"/>
            </w:tcMar>
            <w:vAlign w:val="center"/>
          </w:tcPr>
          <w:p w14:paraId="187967E4" w14:textId="77777777" w:rsidR="00784701" w:rsidRDefault="00ED1A28">
            <w:pPr>
              <w:jc w:val="center"/>
              <w:rPr>
                <w:rFonts w:hint="eastAsia"/>
              </w:rPr>
            </w:pPr>
            <w:r>
              <w:rPr>
                <w:sz w:val="18"/>
              </w:rPr>
              <w:t>Primary Word Sizes</w:t>
            </w:r>
          </w:p>
        </w:tc>
        <w:tc>
          <w:tcPr>
            <w:tcW w:w="7992" w:type="dxa"/>
            <w:shd w:val="clear" w:color="auto" w:fill="F8FAFC"/>
            <w:tcMar>
              <w:top w:w="90" w:type="dxa"/>
              <w:left w:w="100" w:type="dxa"/>
              <w:bottom w:w="90" w:type="dxa"/>
              <w:right w:w="100" w:type="dxa"/>
            </w:tcMar>
            <w:vAlign w:val="center"/>
          </w:tcPr>
          <w:p w14:paraId="04936448" w14:textId="77777777" w:rsidR="00784701" w:rsidRDefault="00ED1A28">
            <w:pPr>
              <w:rPr>
                <w:rFonts w:hint="eastAsia"/>
              </w:rPr>
            </w:pPr>
            <w:r>
              <w:rPr>
                <w:sz w:val="18"/>
              </w:rPr>
              <w:t>128, 256, and 512 bits are canonical examples; larger conforming extensions are permitted.</w:t>
            </w:r>
          </w:p>
        </w:tc>
      </w:tr>
      <w:tr w:rsidR="00784701" w14:paraId="12006638" w14:textId="77777777">
        <w:trPr>
          <w:jc w:val="center"/>
        </w:trPr>
        <w:tc>
          <w:tcPr>
            <w:tcW w:w="2376" w:type="dxa"/>
            <w:tcMar>
              <w:top w:w="90" w:type="dxa"/>
              <w:left w:w="100" w:type="dxa"/>
              <w:bottom w:w="90" w:type="dxa"/>
              <w:right w:w="100" w:type="dxa"/>
            </w:tcMar>
            <w:vAlign w:val="center"/>
          </w:tcPr>
          <w:p w14:paraId="74CE99C0" w14:textId="77777777" w:rsidR="00784701" w:rsidRDefault="00ED1A28">
            <w:pPr>
              <w:rPr>
                <w:rFonts w:hint="eastAsia"/>
              </w:rPr>
            </w:pPr>
            <w:r>
              <w:rPr>
                <w:sz w:val="18"/>
              </w:rPr>
              <w:t>Related Specification</w:t>
            </w:r>
          </w:p>
        </w:tc>
        <w:tc>
          <w:tcPr>
            <w:tcW w:w="7992" w:type="dxa"/>
            <w:tcMar>
              <w:top w:w="90" w:type="dxa"/>
              <w:left w:w="100" w:type="dxa"/>
              <w:bottom w:w="90" w:type="dxa"/>
              <w:right w:w="100" w:type="dxa"/>
            </w:tcMar>
            <w:vAlign w:val="center"/>
          </w:tcPr>
          <w:p w14:paraId="34ED631F" w14:textId="77777777" w:rsidR="00784701" w:rsidRDefault="00ED1A28">
            <w:pPr>
              <w:rPr>
                <w:rFonts w:hint="eastAsia"/>
              </w:rPr>
            </w:pPr>
            <w:r>
              <w:rPr>
                <w:sz w:val="18"/>
              </w:rPr>
              <w:t>Semantic Kernel Bitlinking v1.0</w:t>
            </w:r>
          </w:p>
        </w:tc>
      </w:tr>
      <w:tr w:rsidR="00784701" w14:paraId="60AF6F1F" w14:textId="77777777">
        <w:trPr>
          <w:jc w:val="center"/>
        </w:trPr>
        <w:tc>
          <w:tcPr>
            <w:tcW w:w="2376" w:type="dxa"/>
            <w:shd w:val="clear" w:color="auto" w:fill="F8FAFC"/>
            <w:tcMar>
              <w:top w:w="90" w:type="dxa"/>
              <w:left w:w="100" w:type="dxa"/>
              <w:bottom w:w="90" w:type="dxa"/>
              <w:right w:w="100" w:type="dxa"/>
            </w:tcMar>
            <w:vAlign w:val="center"/>
          </w:tcPr>
          <w:p w14:paraId="345E3089" w14:textId="77777777" w:rsidR="00784701" w:rsidRDefault="00ED1A28">
            <w:pPr>
              <w:jc w:val="center"/>
              <w:rPr>
                <w:rFonts w:hint="eastAsia"/>
              </w:rPr>
            </w:pPr>
            <w:r>
              <w:rPr>
                <w:sz w:val="18"/>
              </w:rPr>
              <w:t>Status</w:t>
            </w:r>
          </w:p>
        </w:tc>
        <w:tc>
          <w:tcPr>
            <w:tcW w:w="7992" w:type="dxa"/>
            <w:shd w:val="clear" w:color="auto" w:fill="F8FAFC"/>
            <w:tcMar>
              <w:top w:w="90" w:type="dxa"/>
              <w:left w:w="100" w:type="dxa"/>
              <w:bottom w:w="90" w:type="dxa"/>
              <w:right w:w="100" w:type="dxa"/>
            </w:tcMar>
            <w:vAlign w:val="center"/>
          </w:tcPr>
          <w:p w14:paraId="1C78C878" w14:textId="77777777" w:rsidR="00784701" w:rsidRDefault="00ED1A28">
            <w:pPr>
              <w:rPr>
                <w:rFonts w:hint="eastAsia"/>
              </w:rPr>
            </w:pPr>
            <w:r>
              <w:rPr>
                <w:sz w:val="18"/>
              </w:rPr>
              <w:t>Formal reference specification for implementation and future Kernel family design.</w:t>
            </w:r>
          </w:p>
        </w:tc>
      </w:tr>
    </w:tbl>
    <w:p w14:paraId="4546D5B3" w14:textId="77777777" w:rsidR="00784701" w:rsidRDefault="00784701">
      <w:pPr>
        <w:spacing w:after="40"/>
        <w:rPr>
          <w:rFonts w:hint="eastAsia"/>
        </w:rPr>
      </w:pPr>
    </w:p>
    <w:tbl>
      <w:tblPr>
        <w:tblW w:w="0" w:type="auto"/>
        <w:jc w:val="center"/>
        <w:tblLook w:val="04A0" w:firstRow="1" w:lastRow="0" w:firstColumn="1" w:lastColumn="0" w:noHBand="0" w:noVBand="1"/>
      </w:tblPr>
      <w:tblGrid>
        <w:gridCol w:w="9936"/>
      </w:tblGrid>
      <w:tr w:rsidR="00784701" w14:paraId="0670AFD8" w14:textId="77777777">
        <w:trPr>
          <w:cantSplit/>
          <w:jc w:val="center"/>
        </w:trPr>
        <w:tc>
          <w:tcPr>
            <w:tcW w:w="9936" w:type="dxa"/>
            <w:tcBorders>
              <w:top w:val="single" w:sz="8" w:space="0" w:color="17365D"/>
              <w:left w:val="single" w:sz="8" w:space="0" w:color="17365D"/>
              <w:bottom w:val="single" w:sz="8" w:space="0" w:color="17365D"/>
              <w:right w:val="single" w:sz="8" w:space="0" w:color="17365D"/>
            </w:tcBorders>
            <w:shd w:val="clear" w:color="auto" w:fill="EDF3F8"/>
            <w:tcMar>
              <w:top w:w="120" w:type="dxa"/>
              <w:left w:w="160" w:type="dxa"/>
              <w:bottom w:w="120" w:type="dxa"/>
              <w:right w:w="160" w:type="dxa"/>
            </w:tcMar>
          </w:tcPr>
          <w:p w14:paraId="4980FAE9" w14:textId="77777777" w:rsidR="00784701" w:rsidRDefault="00ED1A28">
            <w:pPr>
              <w:spacing w:after="60"/>
              <w:rPr>
                <w:rFonts w:hint="eastAsia"/>
              </w:rPr>
            </w:pPr>
            <w:r>
              <w:rPr>
                <w:b/>
                <w:color w:val="17365D"/>
              </w:rPr>
              <w:t>Scope Boundary</w:t>
            </w:r>
          </w:p>
          <w:p w14:paraId="74269009" w14:textId="77777777" w:rsidR="00784701" w:rsidRDefault="00ED1A28">
            <w:pPr>
              <w:spacing w:after="0"/>
              <w:rPr>
                <w:rFonts w:hint="eastAsia"/>
              </w:rPr>
            </w:pPr>
            <w:r>
              <w:rPr>
                <w:sz w:val="20"/>
              </w:rPr>
              <w:t>Semantic Prefix Invariance governs how meaning is preserved when a Kernel family gains additional resolution. It does not require every domain to create larger words, and it does not permit reinterpretation of an already-published prefix. When meaning must change rather than deepen, the result is a new version, fork, or translation problem.</w:t>
            </w:r>
          </w:p>
        </w:tc>
      </w:tr>
    </w:tbl>
    <w:p w14:paraId="2C16ADA3" w14:textId="77777777" w:rsidR="00784701" w:rsidRDefault="00784701">
      <w:pPr>
        <w:spacing w:after="20"/>
        <w:rPr>
          <w:rFonts w:hint="eastAsia"/>
        </w:rPr>
      </w:pPr>
    </w:p>
    <w:p w14:paraId="7D101A95" w14:textId="77777777" w:rsidR="00784701" w:rsidRDefault="00ED1A28">
      <w:pPr>
        <w:pStyle w:val="Heading1"/>
        <w:spacing w:before="240" w:after="100"/>
      </w:pPr>
      <w:r>
        <w:t>Contents</w:t>
      </w:r>
    </w:p>
    <w:tbl>
      <w:tblPr>
        <w:tblW w:w="0" w:type="auto"/>
        <w:jc w:val="center"/>
        <w:tblLayout w:type="fixed"/>
        <w:tblLook w:val="04A0" w:firstRow="1" w:lastRow="0" w:firstColumn="1" w:lastColumn="0" w:noHBand="0" w:noVBand="1"/>
      </w:tblPr>
      <w:tblGrid>
        <w:gridCol w:w="5112"/>
        <w:gridCol w:w="5112"/>
      </w:tblGrid>
      <w:tr w:rsidR="00784701" w14:paraId="0352CD05" w14:textId="77777777">
        <w:trPr>
          <w:jc w:val="center"/>
        </w:trPr>
        <w:tc>
          <w:tcPr>
            <w:tcW w:w="5112" w:type="dxa"/>
            <w:tcBorders>
              <w:top w:val="nil"/>
              <w:left w:val="nil"/>
              <w:bottom w:val="nil"/>
              <w:right w:val="nil"/>
            </w:tcBorders>
            <w:tcMar>
              <w:top w:w="45" w:type="dxa"/>
              <w:left w:w="80" w:type="dxa"/>
              <w:bottom w:w="45" w:type="dxa"/>
              <w:right w:w="80" w:type="dxa"/>
            </w:tcMar>
          </w:tcPr>
          <w:p w14:paraId="6DD8B432" w14:textId="77777777" w:rsidR="00784701" w:rsidRDefault="00ED1A28">
            <w:pPr>
              <w:spacing w:after="0"/>
              <w:rPr>
                <w:rFonts w:hint="eastAsia"/>
              </w:rPr>
            </w:pPr>
            <w:r>
              <w:rPr>
                <w:color w:val="0F6B78"/>
                <w:sz w:val="18"/>
              </w:rPr>
              <w:t>1. Purpose and Scope</w:t>
            </w:r>
          </w:p>
        </w:tc>
        <w:tc>
          <w:tcPr>
            <w:tcW w:w="5112" w:type="dxa"/>
            <w:tcBorders>
              <w:top w:val="nil"/>
              <w:left w:val="nil"/>
              <w:bottom w:val="nil"/>
              <w:right w:val="nil"/>
            </w:tcBorders>
            <w:tcMar>
              <w:top w:w="45" w:type="dxa"/>
              <w:left w:w="80" w:type="dxa"/>
              <w:bottom w:w="45" w:type="dxa"/>
              <w:right w:w="80" w:type="dxa"/>
            </w:tcMar>
          </w:tcPr>
          <w:p w14:paraId="2D85DBED" w14:textId="77777777" w:rsidR="00784701" w:rsidRDefault="00ED1A28">
            <w:pPr>
              <w:spacing w:after="0"/>
              <w:rPr>
                <w:rFonts w:hint="eastAsia"/>
              </w:rPr>
            </w:pPr>
            <w:r>
              <w:rPr>
                <w:color w:val="0F6B78"/>
                <w:sz w:val="18"/>
              </w:rPr>
              <w:t>11. Relationship to CERBERUS Matryoshka and LIBERTY</w:t>
            </w:r>
          </w:p>
        </w:tc>
      </w:tr>
      <w:tr w:rsidR="00784701" w14:paraId="3CB9FCEA" w14:textId="77777777">
        <w:trPr>
          <w:jc w:val="center"/>
        </w:trPr>
        <w:tc>
          <w:tcPr>
            <w:tcW w:w="5112" w:type="dxa"/>
            <w:tcBorders>
              <w:top w:val="nil"/>
              <w:left w:val="nil"/>
              <w:bottom w:val="nil"/>
              <w:right w:val="nil"/>
            </w:tcBorders>
            <w:tcMar>
              <w:top w:w="45" w:type="dxa"/>
              <w:left w:w="80" w:type="dxa"/>
              <w:bottom w:w="45" w:type="dxa"/>
              <w:right w:w="80" w:type="dxa"/>
            </w:tcMar>
          </w:tcPr>
          <w:p w14:paraId="1A8FFBF4" w14:textId="77777777" w:rsidR="00784701" w:rsidRDefault="00ED1A28">
            <w:pPr>
              <w:spacing w:after="0"/>
              <w:rPr>
                <w:rFonts w:hint="eastAsia"/>
              </w:rPr>
            </w:pPr>
            <w:r>
              <w:rPr>
                <w:color w:val="0F6B78"/>
                <w:sz w:val="18"/>
              </w:rPr>
              <w:t>2. Foundational Concepts</w:t>
            </w:r>
          </w:p>
        </w:tc>
        <w:tc>
          <w:tcPr>
            <w:tcW w:w="5112" w:type="dxa"/>
            <w:tcBorders>
              <w:top w:val="nil"/>
              <w:left w:val="nil"/>
              <w:bottom w:val="nil"/>
              <w:right w:val="nil"/>
            </w:tcBorders>
            <w:tcMar>
              <w:top w:w="45" w:type="dxa"/>
              <w:left w:w="80" w:type="dxa"/>
              <w:bottom w:w="45" w:type="dxa"/>
              <w:right w:w="80" w:type="dxa"/>
            </w:tcMar>
          </w:tcPr>
          <w:p w14:paraId="20C18FE5" w14:textId="77777777" w:rsidR="00784701" w:rsidRDefault="00ED1A28">
            <w:pPr>
              <w:spacing w:after="0"/>
              <w:rPr>
                <w:rFonts w:hint="eastAsia"/>
              </w:rPr>
            </w:pPr>
            <w:r>
              <w:rPr>
                <w:color w:val="0F6B78"/>
                <w:sz w:val="18"/>
              </w:rPr>
              <w:t>12. Registry and Implementation Architecture</w:t>
            </w:r>
          </w:p>
        </w:tc>
      </w:tr>
      <w:tr w:rsidR="00784701" w14:paraId="5C1B9822" w14:textId="77777777">
        <w:trPr>
          <w:jc w:val="center"/>
        </w:trPr>
        <w:tc>
          <w:tcPr>
            <w:tcW w:w="5112" w:type="dxa"/>
            <w:tcBorders>
              <w:top w:val="nil"/>
              <w:left w:val="nil"/>
              <w:bottom w:val="nil"/>
              <w:right w:val="nil"/>
            </w:tcBorders>
            <w:tcMar>
              <w:top w:w="45" w:type="dxa"/>
              <w:left w:w="80" w:type="dxa"/>
              <w:bottom w:w="45" w:type="dxa"/>
              <w:right w:w="80" w:type="dxa"/>
            </w:tcMar>
          </w:tcPr>
          <w:p w14:paraId="462863BD" w14:textId="77777777" w:rsidR="00784701" w:rsidRDefault="00ED1A28">
            <w:pPr>
              <w:spacing w:after="0"/>
              <w:rPr>
                <w:rFonts w:hint="eastAsia"/>
              </w:rPr>
            </w:pPr>
            <w:r>
              <w:rPr>
                <w:color w:val="0F6B78"/>
                <w:sz w:val="18"/>
              </w:rPr>
              <w:t>3. Semantic Prefix Invariance: Normative Laws</w:t>
            </w:r>
          </w:p>
        </w:tc>
        <w:tc>
          <w:tcPr>
            <w:tcW w:w="5112" w:type="dxa"/>
            <w:tcBorders>
              <w:top w:val="nil"/>
              <w:left w:val="nil"/>
              <w:bottom w:val="nil"/>
              <w:right w:val="nil"/>
            </w:tcBorders>
            <w:tcMar>
              <w:top w:w="45" w:type="dxa"/>
              <w:left w:w="80" w:type="dxa"/>
              <w:bottom w:w="45" w:type="dxa"/>
              <w:right w:w="80" w:type="dxa"/>
            </w:tcMar>
          </w:tcPr>
          <w:p w14:paraId="1687357C" w14:textId="77777777" w:rsidR="00784701" w:rsidRDefault="00ED1A28">
            <w:pPr>
              <w:spacing w:after="0"/>
              <w:rPr>
                <w:rFonts w:hint="eastAsia"/>
              </w:rPr>
            </w:pPr>
            <w:r>
              <w:rPr>
                <w:color w:val="0F6B78"/>
                <w:sz w:val="18"/>
              </w:rPr>
              <w:t>13. Conformance, Validation, and Testing</w:t>
            </w:r>
          </w:p>
        </w:tc>
      </w:tr>
      <w:tr w:rsidR="00784701" w14:paraId="4ABAB2C2" w14:textId="77777777">
        <w:trPr>
          <w:jc w:val="center"/>
        </w:trPr>
        <w:tc>
          <w:tcPr>
            <w:tcW w:w="5112" w:type="dxa"/>
            <w:tcBorders>
              <w:top w:val="nil"/>
              <w:left w:val="nil"/>
              <w:bottom w:val="nil"/>
              <w:right w:val="nil"/>
            </w:tcBorders>
            <w:tcMar>
              <w:top w:w="45" w:type="dxa"/>
              <w:left w:w="80" w:type="dxa"/>
              <w:bottom w:w="45" w:type="dxa"/>
              <w:right w:w="80" w:type="dxa"/>
            </w:tcMar>
          </w:tcPr>
          <w:p w14:paraId="29A83222" w14:textId="77777777" w:rsidR="00784701" w:rsidRDefault="00ED1A28">
            <w:pPr>
              <w:spacing w:after="0"/>
              <w:rPr>
                <w:rFonts w:hint="eastAsia"/>
              </w:rPr>
            </w:pPr>
            <w:r>
              <w:rPr>
                <w:color w:val="0F6B78"/>
                <w:sz w:val="18"/>
              </w:rPr>
              <w:t>4. Canonical Construction of Resolution Families</w:t>
            </w:r>
          </w:p>
        </w:tc>
        <w:tc>
          <w:tcPr>
            <w:tcW w:w="5112" w:type="dxa"/>
            <w:tcBorders>
              <w:top w:val="nil"/>
              <w:left w:val="nil"/>
              <w:bottom w:val="nil"/>
              <w:right w:val="nil"/>
            </w:tcBorders>
            <w:tcMar>
              <w:top w:w="45" w:type="dxa"/>
              <w:left w:w="80" w:type="dxa"/>
              <w:bottom w:w="45" w:type="dxa"/>
              <w:right w:w="80" w:type="dxa"/>
            </w:tcMar>
          </w:tcPr>
          <w:p w14:paraId="34981DC4" w14:textId="77777777" w:rsidR="00784701" w:rsidRDefault="00ED1A28">
            <w:pPr>
              <w:spacing w:after="0"/>
              <w:rPr>
                <w:rFonts w:hint="eastAsia"/>
              </w:rPr>
            </w:pPr>
            <w:r>
              <w:rPr>
                <w:color w:val="0F6B78"/>
                <w:sz w:val="18"/>
              </w:rPr>
              <w:t>14. Governance, Safety, and Domain Validation</w:t>
            </w:r>
          </w:p>
        </w:tc>
      </w:tr>
      <w:tr w:rsidR="00784701" w14:paraId="05ACB488" w14:textId="77777777">
        <w:trPr>
          <w:jc w:val="center"/>
        </w:trPr>
        <w:tc>
          <w:tcPr>
            <w:tcW w:w="5112" w:type="dxa"/>
            <w:tcBorders>
              <w:top w:val="nil"/>
              <w:left w:val="nil"/>
              <w:bottom w:val="nil"/>
              <w:right w:val="nil"/>
            </w:tcBorders>
            <w:tcMar>
              <w:top w:w="45" w:type="dxa"/>
              <w:left w:w="80" w:type="dxa"/>
              <w:bottom w:w="45" w:type="dxa"/>
              <w:right w:w="80" w:type="dxa"/>
            </w:tcMar>
          </w:tcPr>
          <w:p w14:paraId="77688C0C" w14:textId="77777777" w:rsidR="00784701" w:rsidRDefault="00ED1A28">
            <w:pPr>
              <w:spacing w:after="0"/>
              <w:rPr>
                <w:rFonts w:hint="eastAsia"/>
              </w:rPr>
            </w:pPr>
            <w:r>
              <w:rPr>
                <w:color w:val="0F6B78"/>
                <w:sz w:val="18"/>
              </w:rPr>
              <w:t>5. Resolution Selection and the Minimum Sufficient Resolution Principle</w:t>
            </w:r>
          </w:p>
        </w:tc>
        <w:tc>
          <w:tcPr>
            <w:tcW w:w="5112" w:type="dxa"/>
            <w:tcBorders>
              <w:top w:val="nil"/>
              <w:left w:val="nil"/>
              <w:bottom w:val="nil"/>
              <w:right w:val="nil"/>
            </w:tcBorders>
            <w:tcMar>
              <w:top w:w="45" w:type="dxa"/>
              <w:left w:w="80" w:type="dxa"/>
              <w:bottom w:w="45" w:type="dxa"/>
              <w:right w:w="80" w:type="dxa"/>
            </w:tcMar>
          </w:tcPr>
          <w:p w14:paraId="00D1A4D2" w14:textId="77777777" w:rsidR="00784701" w:rsidRDefault="00ED1A28">
            <w:pPr>
              <w:spacing w:after="0"/>
              <w:rPr>
                <w:rFonts w:hint="eastAsia"/>
              </w:rPr>
            </w:pPr>
            <w:r>
              <w:rPr>
                <w:color w:val="0F6B78"/>
                <w:sz w:val="18"/>
              </w:rPr>
              <w:t>15. Design Principles and Conclusion</w:t>
            </w:r>
          </w:p>
        </w:tc>
      </w:tr>
      <w:tr w:rsidR="00784701" w14:paraId="39EC5833" w14:textId="77777777">
        <w:trPr>
          <w:jc w:val="center"/>
        </w:trPr>
        <w:tc>
          <w:tcPr>
            <w:tcW w:w="5112" w:type="dxa"/>
            <w:tcBorders>
              <w:top w:val="nil"/>
              <w:left w:val="nil"/>
              <w:bottom w:val="nil"/>
              <w:right w:val="nil"/>
            </w:tcBorders>
            <w:tcMar>
              <w:top w:w="45" w:type="dxa"/>
              <w:left w:w="80" w:type="dxa"/>
              <w:bottom w:w="45" w:type="dxa"/>
              <w:right w:w="80" w:type="dxa"/>
            </w:tcMar>
          </w:tcPr>
          <w:p w14:paraId="4D966746" w14:textId="77777777" w:rsidR="00784701" w:rsidRDefault="00ED1A28">
            <w:pPr>
              <w:spacing w:after="0"/>
              <w:rPr>
                <w:rFonts w:hint="eastAsia"/>
              </w:rPr>
            </w:pPr>
            <w:r>
              <w:rPr>
                <w:color w:val="0F6B78"/>
                <w:sz w:val="18"/>
              </w:rPr>
              <w:t>6. Bitlinking Across Increasing Resolution</w:t>
            </w:r>
          </w:p>
        </w:tc>
        <w:tc>
          <w:tcPr>
            <w:tcW w:w="5112" w:type="dxa"/>
            <w:tcBorders>
              <w:top w:val="nil"/>
              <w:left w:val="nil"/>
              <w:bottom w:val="nil"/>
              <w:right w:val="nil"/>
            </w:tcBorders>
            <w:tcMar>
              <w:top w:w="45" w:type="dxa"/>
              <w:left w:w="80" w:type="dxa"/>
              <w:bottom w:w="45" w:type="dxa"/>
              <w:right w:w="80" w:type="dxa"/>
            </w:tcMar>
          </w:tcPr>
          <w:p w14:paraId="1E04D1AB" w14:textId="77777777" w:rsidR="00784701" w:rsidRDefault="00ED1A28">
            <w:pPr>
              <w:spacing w:after="0"/>
              <w:rPr>
                <w:rFonts w:hint="eastAsia"/>
              </w:rPr>
            </w:pPr>
            <w:r>
              <w:rPr>
                <w:sz w:val="18"/>
              </w:rPr>
              <w:t>Appendix A. Formal Invariants</w:t>
            </w:r>
          </w:p>
        </w:tc>
      </w:tr>
      <w:tr w:rsidR="00784701" w14:paraId="0343B677" w14:textId="77777777">
        <w:trPr>
          <w:jc w:val="center"/>
        </w:trPr>
        <w:tc>
          <w:tcPr>
            <w:tcW w:w="5112" w:type="dxa"/>
            <w:tcBorders>
              <w:top w:val="nil"/>
              <w:left w:val="nil"/>
              <w:bottom w:val="nil"/>
              <w:right w:val="nil"/>
            </w:tcBorders>
            <w:tcMar>
              <w:top w:w="45" w:type="dxa"/>
              <w:left w:w="80" w:type="dxa"/>
              <w:bottom w:w="45" w:type="dxa"/>
              <w:right w:w="80" w:type="dxa"/>
            </w:tcMar>
          </w:tcPr>
          <w:p w14:paraId="3B007684" w14:textId="77777777" w:rsidR="00784701" w:rsidRDefault="00ED1A28">
            <w:pPr>
              <w:spacing w:after="0"/>
              <w:rPr>
                <w:rFonts w:hint="eastAsia"/>
              </w:rPr>
            </w:pPr>
            <w:r>
              <w:rPr>
                <w:color w:val="0F6B78"/>
                <w:sz w:val="18"/>
              </w:rPr>
              <w:t>7. Storage, Transfer, Projection, and Interoperability</w:t>
            </w:r>
          </w:p>
        </w:tc>
        <w:tc>
          <w:tcPr>
            <w:tcW w:w="5112" w:type="dxa"/>
            <w:tcBorders>
              <w:top w:val="nil"/>
              <w:left w:val="nil"/>
              <w:bottom w:val="nil"/>
              <w:right w:val="nil"/>
            </w:tcBorders>
            <w:tcMar>
              <w:top w:w="45" w:type="dxa"/>
              <w:left w:w="80" w:type="dxa"/>
              <w:bottom w:w="45" w:type="dxa"/>
              <w:right w:w="80" w:type="dxa"/>
            </w:tcMar>
          </w:tcPr>
          <w:p w14:paraId="1BCF8590" w14:textId="77777777" w:rsidR="00784701" w:rsidRDefault="00ED1A28">
            <w:pPr>
              <w:spacing w:after="0"/>
              <w:rPr>
                <w:rFonts w:hint="eastAsia"/>
              </w:rPr>
            </w:pPr>
            <w:r>
              <w:rPr>
                <w:sz w:val="18"/>
              </w:rPr>
              <w:t>Appendix B. Implementation Templates</w:t>
            </w:r>
          </w:p>
        </w:tc>
      </w:tr>
      <w:tr w:rsidR="00784701" w14:paraId="36672ED8" w14:textId="77777777">
        <w:trPr>
          <w:jc w:val="center"/>
        </w:trPr>
        <w:tc>
          <w:tcPr>
            <w:tcW w:w="5112" w:type="dxa"/>
            <w:tcBorders>
              <w:top w:val="nil"/>
              <w:left w:val="nil"/>
              <w:bottom w:val="nil"/>
              <w:right w:val="nil"/>
            </w:tcBorders>
            <w:tcMar>
              <w:top w:w="45" w:type="dxa"/>
              <w:left w:w="80" w:type="dxa"/>
              <w:bottom w:w="45" w:type="dxa"/>
              <w:right w:w="80" w:type="dxa"/>
            </w:tcMar>
          </w:tcPr>
          <w:p w14:paraId="57BB9BD7" w14:textId="77777777" w:rsidR="00784701" w:rsidRDefault="00ED1A28">
            <w:pPr>
              <w:spacing w:after="0"/>
              <w:rPr>
                <w:rFonts w:hint="eastAsia"/>
              </w:rPr>
            </w:pPr>
            <w:r>
              <w:rPr>
                <w:color w:val="0F6B78"/>
                <w:sz w:val="18"/>
              </w:rPr>
              <w:t>8. Versioning, Forking, and Evolution</w:t>
            </w:r>
          </w:p>
        </w:tc>
        <w:tc>
          <w:tcPr>
            <w:tcW w:w="5112" w:type="dxa"/>
            <w:tcBorders>
              <w:top w:val="nil"/>
              <w:left w:val="nil"/>
              <w:bottom w:val="nil"/>
              <w:right w:val="nil"/>
            </w:tcBorders>
            <w:tcMar>
              <w:top w:w="45" w:type="dxa"/>
              <w:left w:w="80" w:type="dxa"/>
              <w:bottom w:w="45" w:type="dxa"/>
              <w:right w:w="80" w:type="dxa"/>
            </w:tcMar>
          </w:tcPr>
          <w:p w14:paraId="5356722E" w14:textId="77777777" w:rsidR="00784701" w:rsidRDefault="00ED1A28">
            <w:pPr>
              <w:spacing w:after="0"/>
              <w:rPr>
                <w:rFonts w:hint="eastAsia"/>
              </w:rPr>
            </w:pPr>
            <w:r>
              <w:rPr>
                <w:sz w:val="18"/>
              </w:rPr>
              <w:t>Glossary</w:t>
            </w:r>
          </w:p>
        </w:tc>
      </w:tr>
      <w:tr w:rsidR="00784701" w14:paraId="1B207F64" w14:textId="77777777">
        <w:trPr>
          <w:jc w:val="center"/>
        </w:trPr>
        <w:tc>
          <w:tcPr>
            <w:tcW w:w="5112" w:type="dxa"/>
            <w:tcBorders>
              <w:top w:val="nil"/>
              <w:left w:val="nil"/>
              <w:bottom w:val="nil"/>
              <w:right w:val="nil"/>
            </w:tcBorders>
            <w:tcMar>
              <w:top w:w="45" w:type="dxa"/>
              <w:left w:w="80" w:type="dxa"/>
              <w:bottom w:w="45" w:type="dxa"/>
              <w:right w:w="80" w:type="dxa"/>
            </w:tcMar>
          </w:tcPr>
          <w:p w14:paraId="2F7CF008" w14:textId="77777777" w:rsidR="00784701" w:rsidRDefault="00ED1A28">
            <w:pPr>
              <w:spacing w:after="0"/>
              <w:rPr>
                <w:rFonts w:hint="eastAsia"/>
              </w:rPr>
            </w:pPr>
            <w:r>
              <w:rPr>
                <w:color w:val="0F6B78"/>
                <w:sz w:val="18"/>
              </w:rPr>
              <w:t>9. Runtime Capability and Resolution Negotiation</w:t>
            </w:r>
          </w:p>
        </w:tc>
        <w:tc>
          <w:tcPr>
            <w:tcW w:w="5112" w:type="dxa"/>
            <w:tcBorders>
              <w:top w:val="nil"/>
              <w:left w:val="nil"/>
              <w:bottom w:val="nil"/>
              <w:right w:val="nil"/>
            </w:tcBorders>
            <w:tcMar>
              <w:top w:w="45" w:type="dxa"/>
              <w:left w:w="80" w:type="dxa"/>
              <w:bottom w:w="45" w:type="dxa"/>
              <w:right w:w="80" w:type="dxa"/>
            </w:tcMar>
          </w:tcPr>
          <w:p w14:paraId="67113B65" w14:textId="77777777" w:rsidR="00784701" w:rsidRDefault="00ED1A28">
            <w:pPr>
              <w:spacing w:after="0"/>
              <w:rPr>
                <w:rFonts w:hint="eastAsia"/>
              </w:rPr>
            </w:pPr>
            <w:r>
              <w:rPr>
                <w:sz w:val="18"/>
              </w:rPr>
              <w:t>Subject Index</w:t>
            </w:r>
          </w:p>
        </w:tc>
      </w:tr>
      <w:tr w:rsidR="00784701" w14:paraId="1CE89AFE" w14:textId="77777777">
        <w:trPr>
          <w:jc w:val="center"/>
        </w:trPr>
        <w:tc>
          <w:tcPr>
            <w:tcW w:w="5112" w:type="dxa"/>
            <w:tcBorders>
              <w:top w:val="nil"/>
              <w:left w:val="nil"/>
              <w:bottom w:val="nil"/>
              <w:right w:val="nil"/>
            </w:tcBorders>
            <w:tcMar>
              <w:top w:w="45" w:type="dxa"/>
              <w:left w:w="80" w:type="dxa"/>
              <w:bottom w:w="45" w:type="dxa"/>
              <w:right w:w="80" w:type="dxa"/>
            </w:tcMar>
          </w:tcPr>
          <w:p w14:paraId="48C3CFCE" w14:textId="77777777" w:rsidR="00784701" w:rsidRDefault="00ED1A28">
            <w:pPr>
              <w:spacing w:after="0"/>
              <w:rPr>
                <w:rFonts w:hint="eastAsia"/>
              </w:rPr>
            </w:pPr>
            <w:r>
              <w:rPr>
                <w:color w:val="0F6B78"/>
                <w:sz w:val="18"/>
              </w:rPr>
              <w:t>10. Worked Examples</w:t>
            </w:r>
          </w:p>
        </w:tc>
        <w:tc>
          <w:tcPr>
            <w:tcW w:w="5112" w:type="dxa"/>
            <w:tcBorders>
              <w:top w:val="nil"/>
              <w:left w:val="nil"/>
              <w:bottom w:val="nil"/>
              <w:right w:val="nil"/>
            </w:tcBorders>
            <w:tcMar>
              <w:top w:w="45" w:type="dxa"/>
              <w:left w:w="80" w:type="dxa"/>
              <w:bottom w:w="45" w:type="dxa"/>
              <w:right w:w="80" w:type="dxa"/>
            </w:tcMar>
          </w:tcPr>
          <w:p w14:paraId="1B07FFAF" w14:textId="77777777" w:rsidR="00784701" w:rsidRDefault="00784701">
            <w:pPr>
              <w:rPr>
                <w:rFonts w:hint="eastAsia"/>
              </w:rPr>
            </w:pPr>
          </w:p>
        </w:tc>
      </w:tr>
    </w:tbl>
    <w:p w14:paraId="228EC184" w14:textId="77777777" w:rsidR="00784701" w:rsidRDefault="00ED1A28">
      <w:pPr>
        <w:pStyle w:val="Heading1"/>
        <w:spacing w:before="240" w:after="100"/>
      </w:pPr>
      <w:r>
        <w:t>1. Purpose and Scope</w:t>
      </w:r>
    </w:p>
    <w:p w14:paraId="59A2A41E" w14:textId="77777777" w:rsidR="00784701" w:rsidRDefault="00ED1A28">
      <w:pPr>
        <w:pStyle w:val="BodyText"/>
        <w:spacing w:after="100" w:line="259" w:lineRule="auto"/>
        <w:rPr>
          <w:rFonts w:hint="eastAsia"/>
        </w:rPr>
      </w:pPr>
      <w:r>
        <w:t>Semantic Prefix Invariance defines how a Semantic Kernel family may increase semantic resolution without migrating, renumbering, or reinterpreting the bits already published at lower resolution. The specification treats each published prefix as an immutable semantic contract and allows new semantic capacity to be appended in a stable order. A higher-resolution word therefore contains the lower-resolution word literally, not approximately.</w:t>
      </w:r>
    </w:p>
    <w:p w14:paraId="4F7EF175" w14:textId="77777777" w:rsidR="00784701" w:rsidRDefault="00ED1A28">
      <w:pPr>
        <w:pStyle w:val="BodyText"/>
        <w:spacing w:after="100" w:line="259" w:lineRule="auto"/>
        <w:rPr>
          <w:rFonts w:hint="eastAsia"/>
        </w:rPr>
      </w:pPr>
      <w:r>
        <w:t>The purpose is to let a domain expose multiple levels of resolution while preserving exact interoperability. An operational system may use a compact 128-bit record; a scientific, specialist, or research system may use 256, 512, or more bits. The larger word remains readable at every supported lower resolution because its prefix is unchanged.</w:t>
      </w:r>
    </w:p>
    <w:p w14:paraId="5401F82F" w14:textId="77777777" w:rsidR="00784701" w:rsidRDefault="00ED1A28">
      <w:pPr>
        <w:pStyle w:val="Heading2"/>
        <w:spacing w:before="160" w:after="100"/>
      </w:pPr>
      <w:r>
        <w:t>1.1 In Scope</w:t>
      </w:r>
    </w:p>
    <w:p w14:paraId="6A9B0561" w14:textId="77777777" w:rsidR="00784701" w:rsidRDefault="00ED1A28">
      <w:pPr>
        <w:pStyle w:val="ListBullet"/>
        <w:spacing w:after="50"/>
        <w:rPr>
          <w:rFonts w:hint="eastAsia"/>
        </w:rPr>
      </w:pPr>
      <w:r>
        <w:t>Prefix-compatible Semantic Kernel families such as K-128 → K-256 → K-512.</w:t>
      </w:r>
    </w:p>
    <w:p w14:paraId="582A4011" w14:textId="77777777" w:rsidR="00784701" w:rsidRDefault="00ED1A28">
      <w:pPr>
        <w:pStyle w:val="ListBullet"/>
        <w:spacing w:after="50"/>
        <w:rPr>
          <w:rFonts w:hint="eastAsia"/>
        </w:rPr>
      </w:pPr>
      <w:r>
        <w:t>Append-only semantic extension segments and stable bit numbering.</w:t>
      </w:r>
    </w:p>
    <w:p w14:paraId="67E8A03E" w14:textId="77777777" w:rsidR="00784701" w:rsidRDefault="00ED1A28">
      <w:pPr>
        <w:pStyle w:val="ListBullet"/>
        <w:spacing w:after="50"/>
        <w:rPr>
          <w:rFonts w:hint="eastAsia"/>
        </w:rPr>
      </w:pPr>
      <w:r>
        <w:t>Zero-loss upward extension of an existing word into a larger compatible word.</w:t>
      </w:r>
    </w:p>
    <w:p w14:paraId="62586315" w14:textId="77777777" w:rsidR="00784701" w:rsidRDefault="00ED1A28">
      <w:pPr>
        <w:pStyle w:val="ListBullet"/>
        <w:spacing w:after="50"/>
        <w:rPr>
          <w:rFonts w:hint="eastAsia"/>
        </w:rPr>
      </w:pPr>
      <w:r>
        <w:t>Prefix projection from a larger word into a smaller supported resolution.</w:t>
      </w:r>
    </w:p>
    <w:p w14:paraId="73DE006E" w14:textId="77777777" w:rsidR="00784701" w:rsidRDefault="00ED1A28">
      <w:pPr>
        <w:pStyle w:val="ListBullet"/>
        <w:spacing w:after="50"/>
        <w:rPr>
          <w:rFonts w:hint="eastAsia"/>
        </w:rPr>
      </w:pPr>
      <w:r>
        <w:t>Resolution-aware Bitlinks, Operators, Rules, Models, Semantic Deltas, and event propagation.</w:t>
      </w:r>
    </w:p>
    <w:p w14:paraId="26C37A11" w14:textId="77777777" w:rsidR="00784701" w:rsidRDefault="00ED1A28">
      <w:pPr>
        <w:pStyle w:val="ListBullet"/>
        <w:spacing w:after="50"/>
        <w:rPr>
          <w:rFonts w:hint="eastAsia"/>
        </w:rPr>
      </w:pPr>
      <w:r>
        <w:t>Runtime capability negotiation between producers and consumers that support different semantic depths.</w:t>
      </w:r>
    </w:p>
    <w:p w14:paraId="342EACA0" w14:textId="77777777" w:rsidR="00784701" w:rsidRDefault="00ED1A28">
      <w:pPr>
        <w:pStyle w:val="ListBullet"/>
        <w:spacing w:after="50"/>
        <w:rPr>
          <w:rFonts w:hint="eastAsia"/>
        </w:rPr>
      </w:pPr>
      <w:r>
        <w:t>Portable transfer of packed bitwords without field-by-field semantic reconstruction when both systems conform to the same Kernel family.</w:t>
      </w:r>
    </w:p>
    <w:p w14:paraId="7DA156C7" w14:textId="77777777" w:rsidR="00784701" w:rsidRDefault="00ED1A28">
      <w:pPr>
        <w:pStyle w:val="ListBullet"/>
        <w:spacing w:after="50"/>
        <w:rPr>
          <w:rFonts w:hint="eastAsia"/>
        </w:rPr>
      </w:pPr>
      <w:r>
        <w:t>Governance rules that distinguish additive semantic resolution from incompatible reinterpretation.</w:t>
      </w:r>
    </w:p>
    <w:p w14:paraId="318B1CA3" w14:textId="77777777" w:rsidR="00784701" w:rsidRDefault="00ED1A28">
      <w:pPr>
        <w:pStyle w:val="ListBullet"/>
        <w:spacing w:after="50"/>
        <w:rPr>
          <w:rFonts w:hint="eastAsia"/>
        </w:rPr>
      </w:pPr>
      <w:r>
        <w:t>Examples using BODY, MUSCLE, TIME, FIT, and other Semantic Kernel families.</w:t>
      </w:r>
    </w:p>
    <w:p w14:paraId="40D654EF" w14:textId="77777777" w:rsidR="00784701" w:rsidRDefault="00ED1A28">
      <w:pPr>
        <w:pStyle w:val="Heading2"/>
        <w:spacing w:before="160" w:after="100"/>
      </w:pPr>
      <w:r>
        <w:t>1.2 Out of Scope</w:t>
      </w:r>
    </w:p>
    <w:p w14:paraId="798525BE" w14:textId="77777777" w:rsidR="00784701" w:rsidRDefault="00ED1A28">
      <w:pPr>
        <w:pStyle w:val="ListBullet"/>
        <w:spacing w:after="50"/>
        <w:rPr>
          <w:rFonts w:hint="eastAsia"/>
        </w:rPr>
      </w:pPr>
      <w:r>
        <w:t>Requiring all Semantic Kernels to use 128-bit increments. The examples use 128/256/512 because they are convenient fixed-width resolutions, not because every domain must use all levels.</w:t>
      </w:r>
    </w:p>
    <w:p w14:paraId="0405F0D3" w14:textId="77777777" w:rsidR="00784701" w:rsidRDefault="00ED1A28">
      <w:pPr>
        <w:pStyle w:val="ListBullet"/>
        <w:spacing w:after="50"/>
        <w:rPr>
          <w:rFonts w:hint="eastAsia"/>
        </w:rPr>
      </w:pPr>
      <w:r>
        <w:t>Claiming that larger words are inherently better. Higher resolution is useful only when the additional semantics are material to the operation.</w:t>
      </w:r>
    </w:p>
    <w:p w14:paraId="72F4796F" w14:textId="77777777" w:rsidR="00784701" w:rsidRDefault="00ED1A28">
      <w:pPr>
        <w:pStyle w:val="ListBullet"/>
        <w:spacing w:after="50"/>
        <w:rPr>
          <w:rFonts w:hint="eastAsia"/>
        </w:rPr>
      </w:pPr>
      <w:r>
        <w:t>Allowing a higher-resolution extension to silently redefine the meaning of a prefix bit.</w:t>
      </w:r>
    </w:p>
    <w:p w14:paraId="27E38CAA" w14:textId="77777777" w:rsidR="00784701" w:rsidRDefault="00ED1A28">
      <w:pPr>
        <w:pStyle w:val="ListBullet"/>
        <w:spacing w:after="50"/>
        <w:rPr>
          <w:rFonts w:hint="eastAsia"/>
        </w:rPr>
      </w:pPr>
      <w:r>
        <w:t>Treating truncation of a larger word as lossless with respect to the discarded extension. Prefix meaning is preserved; omitted tail semantics are intentionally not carried by the projection.</w:t>
      </w:r>
    </w:p>
    <w:p w14:paraId="5F981A77" w14:textId="77777777" w:rsidR="00784701" w:rsidRDefault="00ED1A28">
      <w:pPr>
        <w:pStyle w:val="ListBullet"/>
        <w:spacing w:after="50"/>
        <w:rPr>
          <w:rFonts w:hint="eastAsia"/>
        </w:rPr>
      </w:pPr>
      <w:r>
        <w:t>Replacing graph relations, Models, prose, provenance, evidence, or irregular long-tail meaning with bits merely to maximize compression.</w:t>
      </w:r>
    </w:p>
    <w:p w14:paraId="693C36B9" w14:textId="77777777" w:rsidR="00784701" w:rsidRDefault="00ED1A28">
      <w:pPr>
        <w:pStyle w:val="Heading2"/>
        <w:spacing w:before="160" w:after="100"/>
      </w:pPr>
      <w:r>
        <w:t>1.3 Core Thesis</w:t>
      </w:r>
    </w:p>
    <w:tbl>
      <w:tblPr>
        <w:tblW w:w="0" w:type="auto"/>
        <w:jc w:val="center"/>
        <w:tblLook w:val="04A0" w:firstRow="1" w:lastRow="0" w:firstColumn="1" w:lastColumn="0" w:noHBand="0" w:noVBand="1"/>
      </w:tblPr>
      <w:tblGrid>
        <w:gridCol w:w="9936"/>
      </w:tblGrid>
      <w:tr w:rsidR="00784701" w14:paraId="312C7B8D" w14:textId="77777777">
        <w:trPr>
          <w:cantSplit/>
          <w:jc w:val="center"/>
        </w:trPr>
        <w:tc>
          <w:tcPr>
            <w:tcW w:w="9936" w:type="dxa"/>
            <w:tcBorders>
              <w:top w:val="single" w:sz="8" w:space="0" w:color="0F6B78"/>
              <w:left w:val="single" w:sz="8" w:space="0" w:color="0F6B78"/>
              <w:bottom w:val="single" w:sz="8" w:space="0" w:color="0F6B78"/>
              <w:right w:val="single" w:sz="8" w:space="0" w:color="0F6B78"/>
            </w:tcBorders>
            <w:shd w:val="clear" w:color="auto" w:fill="EAF5F6"/>
            <w:tcMar>
              <w:top w:w="120" w:type="dxa"/>
              <w:left w:w="160" w:type="dxa"/>
              <w:bottom w:w="120" w:type="dxa"/>
              <w:right w:w="160" w:type="dxa"/>
            </w:tcMar>
          </w:tcPr>
          <w:p w14:paraId="460C3BD6" w14:textId="77777777" w:rsidR="00784701" w:rsidRDefault="00ED1A28">
            <w:pPr>
              <w:spacing w:after="60"/>
              <w:rPr>
                <w:rFonts w:hint="eastAsia"/>
              </w:rPr>
            </w:pPr>
            <w:r>
              <w:rPr>
                <w:b/>
                <w:color w:val="0F6B78"/>
              </w:rPr>
              <w:t>Core Thesis</w:t>
            </w:r>
          </w:p>
          <w:p w14:paraId="5E605868" w14:textId="77777777" w:rsidR="00784701" w:rsidRDefault="00ED1A28">
            <w:pPr>
              <w:spacing w:after="0"/>
              <w:rPr>
                <w:rFonts w:hint="eastAsia"/>
              </w:rPr>
            </w:pPr>
            <w:r>
              <w:rPr>
                <w:sz w:val="20"/>
              </w:rPr>
              <w:t>Semantic resolution should increase by appending meaning, not by moving meaning. The architecture can therefore grow in descriptive depth while preserving old data, old Bitlinks, old readers, and old semantic addresses.</w:t>
            </w:r>
          </w:p>
        </w:tc>
      </w:tr>
    </w:tbl>
    <w:p w14:paraId="128CAE09" w14:textId="77777777" w:rsidR="00784701" w:rsidRDefault="00784701">
      <w:pPr>
        <w:spacing w:after="20"/>
        <w:rPr>
          <w:rFonts w:hint="eastAsia"/>
        </w:rPr>
      </w:pPr>
    </w:p>
    <w:p w14:paraId="39FD52A1" w14:textId="77777777" w:rsidR="00784701" w:rsidRDefault="00ED1A28">
      <w:pPr>
        <w:pStyle w:val="Heading1"/>
        <w:spacing w:before="240" w:after="100"/>
      </w:pPr>
      <w:r>
        <w:t>2. Foundational Concepts</w:t>
      </w:r>
    </w:p>
    <w:p w14:paraId="4657CFA4" w14:textId="77777777" w:rsidR="00784701" w:rsidRDefault="00ED1A28">
      <w:pPr>
        <w:pStyle w:val="Heading2"/>
        <w:spacing w:before="160" w:after="100"/>
      </w:pPr>
      <w:r>
        <w:t>2.1 Semantic Kernel</w:t>
      </w:r>
    </w:p>
    <w:p w14:paraId="31C5A8A9" w14:textId="77777777" w:rsidR="00784701" w:rsidRDefault="00ED1A28">
      <w:pPr>
        <w:pStyle w:val="BodyText"/>
        <w:spacing w:after="100" w:line="259" w:lineRule="auto"/>
        <w:rPr>
          <w:rFonts w:hint="eastAsia"/>
        </w:rPr>
      </w:pPr>
      <w:r>
        <w:t>A Semantic Kernel is a versioned fixed-width semantic contract that assigns stable meaning, type, grouping, and validity rules to bit addresses or bit ranges. A Kernel is not merely a binary blob: the packed word is the compact state surface, while the Registry contract supplies the semantics required to interpret it.</w:t>
      </w:r>
    </w:p>
    <w:p w14:paraId="06E42C52" w14:textId="77777777" w:rsidR="00784701" w:rsidRDefault="00ED1A28">
      <w:pPr>
        <w:pStyle w:val="Heading2"/>
        <w:spacing w:before="160" w:after="100"/>
      </w:pPr>
      <w:r>
        <w:t>2.2 Kernel Family</w:t>
      </w:r>
    </w:p>
    <w:p w14:paraId="7A84FFDB" w14:textId="77777777" w:rsidR="00784701" w:rsidRDefault="00ED1A28">
      <w:pPr>
        <w:pStyle w:val="BodyText"/>
        <w:spacing w:after="100" w:line="259" w:lineRule="auto"/>
        <w:rPr>
          <w:rFonts w:hint="eastAsia"/>
        </w:rPr>
      </w:pPr>
      <w:r>
        <w:t>A Kernel Family is a lineage of compatible semantic resolutions that share a stable prefix. The family may include one or more resolution levels, for example BODY-128, BODY-256, and a specialized descendant such as MUSCLE-512. A family name identifies semantic lineage; a resolution identifies how deeply the word can be interpreted.</w:t>
      </w:r>
    </w:p>
    <w:p w14:paraId="5B586BFE" w14:textId="77777777" w:rsidR="00784701" w:rsidRDefault="00ED1A28">
      <w:pPr>
        <w:pStyle w:val="Heading2"/>
        <w:spacing w:before="160" w:after="100"/>
      </w:pPr>
      <w:r>
        <w:t>2.3 Semantic Prefix</w:t>
      </w:r>
    </w:p>
    <w:p w14:paraId="6A33DDA4" w14:textId="77777777" w:rsidR="00784701" w:rsidRDefault="00ED1A28">
      <w:pPr>
        <w:pStyle w:val="BodyText"/>
        <w:spacing w:after="100" w:line="259" w:lineRule="auto"/>
        <w:rPr>
          <w:rFonts w:hint="eastAsia"/>
        </w:rPr>
      </w:pPr>
      <w:r>
        <w:t>A Semantic Prefix is the ordered leading segment of a larger word whose bit addresses and meanings are identical to a previously published lower-resolution Kernel. If BODY-256 is a conforming extension of BODY-128, then BODY-256:B000–B127 are exactly BODY-128:B000–B127.</w:t>
      </w:r>
    </w:p>
    <w:p w14:paraId="62CACBC5" w14:textId="77777777" w:rsidR="00784701" w:rsidRDefault="00ED1A28">
      <w:pPr>
        <w:pStyle w:val="Heading2"/>
        <w:spacing w:before="160" w:after="100"/>
      </w:pPr>
      <w:r>
        <w:t>2.4 Extension Segment</w:t>
      </w:r>
    </w:p>
    <w:p w14:paraId="18F833B0" w14:textId="77777777" w:rsidR="00784701" w:rsidRDefault="00ED1A28">
      <w:pPr>
        <w:pStyle w:val="BodyText"/>
        <w:spacing w:after="100" w:line="259" w:lineRule="auto"/>
        <w:rPr>
          <w:rFonts w:hint="eastAsia"/>
        </w:rPr>
      </w:pPr>
      <w:r>
        <w:t>An Extension Segment is the newly appended bit range introduced by a higher-resolution Kernel. It begins after the final address of the inherited prefix and may define new bits, groups, scalars, Rules, Operators, Models, and Bitlinks. It must not rewrite the semantic contract of inherited addresses.</w:t>
      </w:r>
    </w:p>
    <w:p w14:paraId="04E3A8BA" w14:textId="77777777" w:rsidR="00784701" w:rsidRDefault="00ED1A28">
      <w:pPr>
        <w:pStyle w:val="Heading2"/>
        <w:spacing w:before="160" w:after="100"/>
      </w:pPr>
      <w:r>
        <w:t>2.5 Resolution Level</w:t>
      </w:r>
    </w:p>
    <w:p w14:paraId="2CCCAD7B" w14:textId="77777777" w:rsidR="00784701" w:rsidRDefault="00ED1A28">
      <w:pPr>
        <w:pStyle w:val="BodyText"/>
        <w:spacing w:after="100" w:line="259" w:lineRule="auto"/>
        <w:rPr>
          <w:rFonts w:hint="eastAsia"/>
        </w:rPr>
      </w:pPr>
      <w:r>
        <w:t>A Resolution Level is a supported word length and semantic depth within a Kernel Family. Resolution is task-relative. A lower-resolution word may be fully sufficient for an operational record even when richer scientific or specialist extensions exist.</w:t>
      </w:r>
    </w:p>
    <w:p w14:paraId="43280D38" w14:textId="77777777" w:rsidR="00784701" w:rsidRDefault="00ED1A28">
      <w:pPr>
        <w:pStyle w:val="Heading2"/>
        <w:spacing w:before="160" w:after="100"/>
      </w:pPr>
      <w:r>
        <w:t>2.6 Prefix Projection</w:t>
      </w:r>
    </w:p>
    <w:p w14:paraId="728FE665" w14:textId="77777777" w:rsidR="00784701" w:rsidRDefault="00ED1A28">
      <w:pPr>
        <w:pStyle w:val="BodyText"/>
        <w:spacing w:after="100" w:line="259" w:lineRule="auto"/>
        <w:rPr>
          <w:rFonts w:hint="eastAsia"/>
        </w:rPr>
      </w:pPr>
      <w:r>
        <w:t>Prefix Projection is the operation of reading or exporting only the first N bits of a larger compatible word, where N corresponds to a published lower-resolution Kernel. Prefix Projection does not translate the inherited meaning; it simply exposes the exact earlier contract. Information in the omitted extension is outside the projection.</w:t>
      </w:r>
    </w:p>
    <w:p w14:paraId="1586B4B8" w14:textId="77777777" w:rsidR="00784701" w:rsidRDefault="00ED1A28">
      <w:pPr>
        <w:pStyle w:val="Heading2"/>
        <w:spacing w:before="160" w:after="100"/>
      </w:pPr>
      <w:r>
        <w:t>2.7 Semantic Address and Bitlink</w:t>
      </w:r>
    </w:p>
    <w:p w14:paraId="6BCFAC44" w14:textId="77777777" w:rsidR="00784701" w:rsidRDefault="00ED1A28">
      <w:pPr>
        <w:pStyle w:val="BodyText"/>
        <w:spacing w:after="100" w:line="259" w:lineRule="auto"/>
        <w:rPr>
          <w:rFonts w:hint="eastAsia"/>
        </w:rPr>
      </w:pPr>
      <w:r>
        <w:t>A Semantic Address is a stable Kernel/version/bit or bitfield identity. A Bitlink is a declared connection from a semantic address, group, state, Operator event, Rule result, or transition to another semantic, operational, interpretive, or perceptual consumer. Prefix invariance is especially valuable because it allows Bitlinks created against inherited addresses to remain valid as the source word gains resolution.</w:t>
      </w:r>
    </w:p>
    <w:p w14:paraId="19109A1A" w14:textId="77777777" w:rsidR="00784701" w:rsidRDefault="00ED1A28">
      <w:pPr>
        <w:pStyle w:val="Heading1"/>
        <w:spacing w:before="240" w:after="100"/>
      </w:pPr>
      <w:r>
        <w:t>3. Semantic Prefix Invariance: Normative Laws</w:t>
      </w:r>
    </w:p>
    <w:p w14:paraId="2CF4926A" w14:textId="77777777" w:rsidR="00784701" w:rsidRDefault="00ED1A28">
      <w:pPr>
        <w:pStyle w:val="Heading2"/>
        <w:spacing w:before="160" w:after="100"/>
      </w:pPr>
      <w:r>
        <w:t>3.1 Prefix Invariance Law</w:t>
      </w:r>
    </w:p>
    <w:p w14:paraId="3DA1C479" w14:textId="77777777" w:rsidR="00784701" w:rsidRDefault="00ED1A28">
      <w:pPr>
        <w:pStyle w:val="BodyText"/>
        <w:spacing w:after="100" w:line="259" w:lineRule="auto"/>
        <w:rPr>
          <w:rFonts w:hint="eastAsia"/>
        </w:rPr>
      </w:pPr>
      <w:r>
        <w:t>For a conforming extension K-M of a published Kernel K-N where M &gt; N, every address B000 through B(N−1) MUST retain the same bit position, type, group membership, unit, encoding, null semantics, and declared meaning unless the extension is explicitly a new incompatible version or fork.</w:t>
      </w:r>
    </w:p>
    <w:p w14:paraId="01FB393E" w14:textId="77777777" w:rsidR="00784701" w:rsidRDefault="00ED1A28">
      <w:pPr>
        <w:pStyle w:val="Heading2"/>
        <w:spacing w:before="160" w:after="100"/>
      </w:pPr>
      <w:r>
        <w:t>3.2 Append-Only Expansion Law</w:t>
      </w:r>
    </w:p>
    <w:p w14:paraId="1DCFA67D" w14:textId="77777777" w:rsidR="00784701" w:rsidRDefault="00ED1A28">
      <w:pPr>
        <w:pStyle w:val="BodyText"/>
        <w:spacing w:after="100" w:line="259" w:lineRule="auto"/>
        <w:rPr>
          <w:rFonts w:hint="eastAsia"/>
        </w:rPr>
      </w:pPr>
      <w:r>
        <w:t>New semantic capacity MUST be introduced at addresses greater than or equal to N. A conforming K-256 extension of K-128 therefore introduces new semantics only at B128–B255.</w:t>
      </w:r>
    </w:p>
    <w:p w14:paraId="4232CE46" w14:textId="77777777" w:rsidR="00784701" w:rsidRDefault="00ED1A28">
      <w:pPr>
        <w:pStyle w:val="Heading2"/>
        <w:spacing w:before="160" w:after="100"/>
      </w:pPr>
      <w:r>
        <w:t>3.3 Ordered Concatenation Law</w:t>
      </w:r>
    </w:p>
    <w:p w14:paraId="32201B23" w14:textId="77777777" w:rsidR="00784701" w:rsidRDefault="00ED1A28">
      <w:pPr>
        <w:pStyle w:val="BodyText"/>
        <w:spacing w:after="100" w:line="259" w:lineRule="auto"/>
        <w:rPr>
          <w:rFonts w:hint="eastAsia"/>
        </w:rPr>
      </w:pPr>
      <w:r>
        <w:t>A higher-resolution word MUST be representable as the exact lower-resolution prefix followed by one or more declared extension segments in canonical order.</w:t>
      </w:r>
    </w:p>
    <w:p w14:paraId="14BDE10A" w14:textId="77777777" w:rsidR="00784701" w:rsidRDefault="00ED1A28">
      <w:pPr>
        <w:pStyle w:val="Heading2"/>
        <w:spacing w:before="160" w:after="100"/>
      </w:pPr>
      <w:r>
        <w:t>3.4 No-Migration Law</w:t>
      </w:r>
    </w:p>
    <w:p w14:paraId="536EEF82" w14:textId="77777777" w:rsidR="00784701" w:rsidRDefault="00ED1A28">
      <w:pPr>
        <w:pStyle w:val="BodyText"/>
        <w:spacing w:after="100" w:line="259" w:lineRule="auto"/>
        <w:rPr>
          <w:rFonts w:hint="eastAsia"/>
        </w:rPr>
      </w:pPr>
      <w:r>
        <w:t>A compatible increase in resolution MUST NOT require remapping, renumbering, or semantic translation of the inherited prefix. Existing values may be copied byte-for-byte into the prefix of the larger word.</w:t>
      </w:r>
    </w:p>
    <w:p w14:paraId="61E734E0" w14:textId="77777777" w:rsidR="00784701" w:rsidRDefault="00ED1A28">
      <w:pPr>
        <w:pStyle w:val="Heading2"/>
        <w:spacing w:before="160" w:after="100"/>
      </w:pPr>
      <w:r>
        <w:t>3.5 Resolution Independence Law</w:t>
      </w:r>
    </w:p>
    <w:p w14:paraId="7DE46FBB" w14:textId="77777777" w:rsidR="00784701" w:rsidRDefault="00ED1A28">
      <w:pPr>
        <w:pStyle w:val="BodyText"/>
        <w:spacing w:after="100" w:line="259" w:lineRule="auto"/>
        <w:rPr>
          <w:rFonts w:hint="eastAsia"/>
        </w:rPr>
      </w:pPr>
      <w:r>
        <w:t>A consumer MAY operate using the lowest published prefix it understands and MUST NOT be required to interpret later extension segments unless its task depends on them.</w:t>
      </w:r>
    </w:p>
    <w:p w14:paraId="3F9F4A86" w14:textId="77777777" w:rsidR="00784701" w:rsidRDefault="00ED1A28">
      <w:pPr>
        <w:pStyle w:val="Heading2"/>
        <w:spacing w:before="160" w:after="100"/>
      </w:pPr>
      <w:r>
        <w:t>3.6 Extension Optionality Law</w:t>
      </w:r>
    </w:p>
    <w:p w14:paraId="5CFADE9B" w14:textId="77777777" w:rsidR="00784701" w:rsidRDefault="00ED1A28">
      <w:pPr>
        <w:pStyle w:val="BodyText"/>
        <w:spacing w:after="100" w:line="259" w:lineRule="auto"/>
        <w:rPr>
          <w:rFonts w:hint="eastAsia"/>
        </w:rPr>
      </w:pPr>
      <w:r>
        <w:t>The existence of a higher-resolution Kernel MUST NOT invalidate lower-resolution records. A BODY-128 record remains valid after BODY-256 is published.</w:t>
      </w:r>
    </w:p>
    <w:p w14:paraId="1F3AB7AD" w14:textId="77777777" w:rsidR="00784701" w:rsidRDefault="00ED1A28">
      <w:pPr>
        <w:pStyle w:val="Heading2"/>
        <w:spacing w:before="160" w:after="100"/>
      </w:pPr>
      <w:r>
        <w:t>3.7 Prefix Projection Law</w:t>
      </w:r>
    </w:p>
    <w:p w14:paraId="2AA539BF" w14:textId="77777777" w:rsidR="00784701" w:rsidRDefault="00ED1A28">
      <w:pPr>
        <w:pStyle w:val="BodyText"/>
        <w:spacing w:after="100" w:line="259" w:lineRule="auto"/>
        <w:rPr>
          <w:rFonts w:hint="eastAsia"/>
        </w:rPr>
      </w:pPr>
      <w:r>
        <w:t>A larger compatible word MAY be projected to any published lower-resolution prefix by reading only that prefix. The projection preserves all meaning contained in the prefix but intentionally omits semantics encoded exclusively in the tail.</w:t>
      </w:r>
    </w:p>
    <w:p w14:paraId="1FA51C52" w14:textId="77777777" w:rsidR="00784701" w:rsidRDefault="00ED1A28">
      <w:pPr>
        <w:pStyle w:val="Heading2"/>
        <w:spacing w:before="160" w:after="100"/>
      </w:pPr>
      <w:r>
        <w:t>3.8 Bitlink Persistence Law</w:t>
      </w:r>
    </w:p>
    <w:p w14:paraId="1C3C37A7" w14:textId="77777777" w:rsidR="00784701" w:rsidRDefault="00ED1A28">
      <w:pPr>
        <w:pStyle w:val="BodyText"/>
        <w:spacing w:after="100" w:line="259" w:lineRule="auto"/>
        <w:rPr>
          <w:rFonts w:hint="eastAsia"/>
        </w:rPr>
      </w:pPr>
      <w:r>
        <w:t>A Bitlink that targets an inherited semantic address MUST remain resolvable in conforming higher-resolution words, subject to the same version, Rules, permissions, and state conditions.</w:t>
      </w:r>
    </w:p>
    <w:p w14:paraId="4D2FCE8B" w14:textId="77777777" w:rsidR="00784701" w:rsidRDefault="00ED1A28">
      <w:pPr>
        <w:pStyle w:val="Heading2"/>
        <w:spacing w:before="160" w:after="100"/>
      </w:pPr>
      <w:r>
        <w:t>3.9 Semantic Change Boundary Law</w:t>
      </w:r>
    </w:p>
    <w:p w14:paraId="3E139246" w14:textId="77777777" w:rsidR="00784701" w:rsidRDefault="00ED1A28">
      <w:pPr>
        <w:pStyle w:val="BodyText"/>
        <w:spacing w:after="100" w:line="259" w:lineRule="auto"/>
        <w:rPr>
          <w:rFonts w:hint="eastAsia"/>
        </w:rPr>
      </w:pPr>
      <w:r>
        <w:t>If a proposed extension requires changing the meaning, encoding, group behavior, or unit of an inherited address, the result MUST be treated as a new incompatible Kernel version, derivative fork, or explicit translation rather than a conforming prefix extension.</w:t>
      </w:r>
    </w:p>
    <w:p w14:paraId="0FDF50DD" w14:textId="77777777" w:rsidR="00784701" w:rsidRDefault="00ED1A28">
      <w:pPr>
        <w:pStyle w:val="Heading2"/>
        <w:spacing w:before="160" w:after="100"/>
      </w:pPr>
      <w:r>
        <w:t>3.10 Minimum Sufficient Resolution Principle</w:t>
      </w:r>
    </w:p>
    <w:p w14:paraId="052DE211" w14:textId="77777777" w:rsidR="00784701" w:rsidRDefault="00ED1A28">
      <w:pPr>
        <w:pStyle w:val="BodyText"/>
        <w:spacing w:after="100" w:line="259" w:lineRule="auto"/>
        <w:rPr>
          <w:rFonts w:hint="eastAsia"/>
        </w:rPr>
      </w:pPr>
      <w:r>
        <w:t>An operation SHOULD instantiate, transmit, and persist the lowest semantic resolution sufficient to perform, explain, validate, or reproduce the operation. Higher-resolution Kernels MAY be traversed as Guidance without being copied into the operational record.</w:t>
      </w:r>
    </w:p>
    <w:tbl>
      <w:tblPr>
        <w:tblW w:w="0" w:type="auto"/>
        <w:jc w:val="center"/>
        <w:tblLook w:val="04A0" w:firstRow="1" w:lastRow="0" w:firstColumn="1" w:lastColumn="0" w:noHBand="0" w:noVBand="1"/>
      </w:tblPr>
      <w:tblGrid>
        <w:gridCol w:w="9936"/>
      </w:tblGrid>
      <w:tr w:rsidR="00784701" w14:paraId="0D5D3D39" w14:textId="77777777">
        <w:trPr>
          <w:cantSplit/>
          <w:jc w:val="center"/>
        </w:trPr>
        <w:tc>
          <w:tcPr>
            <w:tcW w:w="9936" w:type="dxa"/>
            <w:tcBorders>
              <w:top w:val="single" w:sz="8" w:space="0" w:color="A56A00"/>
              <w:left w:val="single" w:sz="8" w:space="0" w:color="A56A00"/>
              <w:bottom w:val="single" w:sz="8" w:space="0" w:color="A56A00"/>
              <w:right w:val="single" w:sz="8" w:space="0" w:color="A56A00"/>
            </w:tcBorders>
            <w:shd w:val="clear" w:color="auto" w:fill="FFF7E6"/>
            <w:tcMar>
              <w:top w:w="120" w:type="dxa"/>
              <w:left w:w="160" w:type="dxa"/>
              <w:bottom w:w="120" w:type="dxa"/>
              <w:right w:w="160" w:type="dxa"/>
            </w:tcMar>
          </w:tcPr>
          <w:p w14:paraId="4C4646FE" w14:textId="77777777" w:rsidR="00784701" w:rsidRDefault="00ED1A28">
            <w:pPr>
              <w:spacing w:after="60"/>
              <w:rPr>
                <w:rFonts w:hint="eastAsia"/>
              </w:rPr>
            </w:pPr>
            <w:r>
              <w:rPr>
                <w:b/>
                <w:color w:val="A56A00"/>
              </w:rPr>
              <w:t>Important Distinction: Extension vs. Migration</w:t>
            </w:r>
          </w:p>
          <w:p w14:paraId="3F1E6D8B" w14:textId="77777777" w:rsidR="00784701" w:rsidRDefault="00ED1A28">
            <w:pPr>
              <w:spacing w:after="0"/>
              <w:rPr>
                <w:rFonts w:hint="eastAsia"/>
              </w:rPr>
            </w:pPr>
            <w:r>
              <w:rPr>
                <w:sz w:val="20"/>
              </w:rPr>
              <w:t>Extension preserves the inherited bytes and appends new semantic capacity. Migration changes representation and therefore requires translation. Semantic Prefix Invariance is specifically about the former.</w:t>
            </w:r>
          </w:p>
        </w:tc>
      </w:tr>
    </w:tbl>
    <w:p w14:paraId="4D02715F" w14:textId="77777777" w:rsidR="00784701" w:rsidRDefault="00784701">
      <w:pPr>
        <w:spacing w:after="20"/>
        <w:rPr>
          <w:rFonts w:hint="eastAsia"/>
        </w:rPr>
      </w:pPr>
    </w:p>
    <w:p w14:paraId="71C43628" w14:textId="77777777" w:rsidR="00784701" w:rsidRDefault="00ED1A28">
      <w:pPr>
        <w:pStyle w:val="Heading1"/>
        <w:spacing w:before="240" w:after="100"/>
      </w:pPr>
      <w:r>
        <w:t>4. Canonical Construction of Resolution Families</w:t>
      </w:r>
    </w:p>
    <w:p w14:paraId="0F5E84E9" w14:textId="77777777" w:rsidR="00784701" w:rsidRDefault="00ED1A28">
      <w:pPr>
        <w:pStyle w:val="Heading2"/>
        <w:spacing w:before="160" w:after="100"/>
      </w:pPr>
      <w:r>
        <w:t>4.1 Reference Concatenation Model</w:t>
      </w:r>
    </w:p>
    <w:tbl>
      <w:tblPr>
        <w:tblW w:w="0" w:type="auto"/>
        <w:jc w:val="center"/>
        <w:tblLook w:val="04A0" w:firstRow="1" w:lastRow="0" w:firstColumn="1" w:lastColumn="0" w:noHBand="0" w:noVBand="1"/>
      </w:tblPr>
      <w:tblGrid>
        <w:gridCol w:w="9936"/>
      </w:tblGrid>
      <w:tr w:rsidR="00784701" w14:paraId="61E7F4AE" w14:textId="77777777">
        <w:trPr>
          <w:cantSplit/>
          <w:jc w:val="center"/>
        </w:trPr>
        <w:tc>
          <w:tcPr>
            <w:tcW w:w="9936" w:type="dxa"/>
            <w:shd w:val="clear" w:color="auto" w:fill="F7F9FB"/>
            <w:tcMar>
              <w:top w:w="100" w:type="dxa"/>
              <w:left w:w="140" w:type="dxa"/>
              <w:bottom w:w="100" w:type="dxa"/>
              <w:right w:w="140" w:type="dxa"/>
            </w:tcMar>
          </w:tcPr>
          <w:p w14:paraId="381D932C" w14:textId="77777777" w:rsidR="00784701" w:rsidRDefault="00ED1A28">
            <w:pPr>
              <w:rPr>
                <w:rFonts w:hint="eastAsia"/>
              </w:rPr>
            </w:pPr>
            <w:r>
              <w:rPr>
                <w:b/>
                <w:color w:val="0F6B78"/>
                <w:sz w:val="19"/>
              </w:rPr>
              <w:t>Canonical layout</w:t>
            </w:r>
          </w:p>
          <w:p w14:paraId="61A3BF1F" w14:textId="77777777" w:rsidR="00784701" w:rsidRDefault="00ED1A28">
            <w:pPr>
              <w:spacing w:after="0"/>
              <w:rPr>
                <w:rFonts w:hint="eastAsia"/>
              </w:rPr>
            </w:pPr>
            <w:r>
              <w:rPr>
                <w:rFonts w:ascii="Consolas" w:hAnsi="Consolas"/>
                <w:sz w:val="18"/>
              </w:rPr>
              <w:t>K-128</w:t>
            </w:r>
            <w:r>
              <w:br/>
            </w:r>
            <w:r>
              <w:rPr>
                <w:rFonts w:ascii="Consolas" w:hAnsi="Consolas"/>
                <w:sz w:val="18"/>
              </w:rPr>
              <w:t>[B000 ................................................ B127]</w:t>
            </w:r>
            <w:r>
              <w:br/>
            </w:r>
            <w:r>
              <w:br/>
            </w:r>
            <w:r>
              <w:rPr>
                <w:rFonts w:ascii="Consolas" w:hAnsi="Consolas"/>
                <w:sz w:val="18"/>
              </w:rPr>
              <w:t>K-256</w:t>
            </w:r>
            <w:r>
              <w:br/>
            </w:r>
            <w:r>
              <w:rPr>
                <w:rFonts w:ascii="Consolas" w:hAnsi="Consolas"/>
                <w:sz w:val="18"/>
              </w:rPr>
              <w:t>[B000 ................ B127][B128 ................ B255]</w:t>
            </w:r>
            <w:r>
              <w:br/>
            </w:r>
            <w:r>
              <w:rPr>
                <w:rFonts w:ascii="Consolas" w:hAnsi="Consolas"/>
                <w:sz w:val="18"/>
              </w:rPr>
              <w:t xml:space="preserve">        K-128 prefix            Extension 1</w:t>
            </w:r>
            <w:r>
              <w:br/>
            </w:r>
            <w:r>
              <w:br/>
            </w:r>
            <w:r>
              <w:rPr>
                <w:rFonts w:ascii="Consolas" w:hAnsi="Consolas"/>
                <w:sz w:val="18"/>
              </w:rPr>
              <w:t>K-512</w:t>
            </w:r>
            <w:r>
              <w:br/>
            </w:r>
            <w:r>
              <w:rPr>
                <w:rFonts w:ascii="Consolas" w:hAnsi="Consolas"/>
                <w:sz w:val="18"/>
              </w:rPr>
              <w:t>[B000 .... B127][B128 .... B255][B256 ................ B511]</w:t>
            </w:r>
            <w:r>
              <w:br/>
            </w:r>
            <w:r>
              <w:rPr>
                <w:rFonts w:ascii="Consolas" w:hAnsi="Consolas"/>
                <w:sz w:val="18"/>
              </w:rPr>
              <w:t xml:space="preserve">   K-128         Ext 1                 Extension 2</w:t>
            </w:r>
          </w:p>
        </w:tc>
      </w:tr>
    </w:tbl>
    <w:p w14:paraId="1AA2B10C" w14:textId="77777777" w:rsidR="00784701" w:rsidRDefault="00784701">
      <w:pPr>
        <w:spacing w:after="20"/>
        <w:rPr>
          <w:rFonts w:hint="eastAsia"/>
        </w:rPr>
      </w:pPr>
    </w:p>
    <w:p w14:paraId="6E6EDA2B" w14:textId="77777777" w:rsidR="00784701" w:rsidRDefault="00ED1A28">
      <w:pPr>
        <w:pStyle w:val="BodyText"/>
        <w:spacing w:after="100" w:line="259" w:lineRule="auto"/>
        <w:rPr>
          <w:rFonts w:hint="eastAsia"/>
        </w:rPr>
      </w:pPr>
      <w:r>
        <w:t>The first 128 bits of K-256 are not a translation of K-128; they are K-128. Likewise, the first 256 bits of a conforming K-512 are K-256. This permits readers, Bitlinks, and storage systems to address the inherited prefix directly.</w:t>
      </w:r>
    </w:p>
    <w:p w14:paraId="2DB4A865" w14:textId="77777777" w:rsidR="00784701" w:rsidRDefault="00ED1A28">
      <w:pPr>
        <w:pStyle w:val="Heading2"/>
        <w:spacing w:before="160" w:after="100"/>
      </w:pPr>
      <w:r>
        <w:t>4.2 Formal Notation</w:t>
      </w:r>
    </w:p>
    <w:tbl>
      <w:tblPr>
        <w:tblW w:w="0" w:type="auto"/>
        <w:jc w:val="center"/>
        <w:tblLook w:val="04A0" w:firstRow="1" w:lastRow="0" w:firstColumn="1" w:lastColumn="0" w:noHBand="0" w:noVBand="1"/>
      </w:tblPr>
      <w:tblGrid>
        <w:gridCol w:w="9936"/>
      </w:tblGrid>
      <w:tr w:rsidR="00784701" w14:paraId="0EC96318" w14:textId="77777777">
        <w:trPr>
          <w:cantSplit/>
          <w:jc w:val="center"/>
        </w:trPr>
        <w:tc>
          <w:tcPr>
            <w:tcW w:w="9936" w:type="dxa"/>
            <w:shd w:val="clear" w:color="auto" w:fill="F7F9FB"/>
            <w:tcMar>
              <w:top w:w="100" w:type="dxa"/>
              <w:left w:w="140" w:type="dxa"/>
              <w:bottom w:w="100" w:type="dxa"/>
              <w:right w:w="140" w:type="dxa"/>
            </w:tcMar>
          </w:tcPr>
          <w:p w14:paraId="06ACFF70" w14:textId="77777777" w:rsidR="00784701" w:rsidRDefault="00ED1A28">
            <w:pPr>
              <w:rPr>
                <w:rFonts w:hint="eastAsia"/>
              </w:rPr>
            </w:pPr>
            <w:r>
              <w:rPr>
                <w:b/>
                <w:color w:val="0F6B78"/>
                <w:sz w:val="19"/>
              </w:rPr>
              <w:t>Prefix projection</w:t>
            </w:r>
          </w:p>
          <w:p w14:paraId="35D02FE0" w14:textId="77777777" w:rsidR="00784701" w:rsidRDefault="00ED1A28">
            <w:pPr>
              <w:spacing w:after="0"/>
              <w:rPr>
                <w:rFonts w:hint="eastAsia"/>
              </w:rPr>
            </w:pPr>
            <w:r>
              <w:rPr>
                <w:rFonts w:ascii="Consolas" w:hAnsi="Consolas"/>
                <w:sz w:val="18"/>
              </w:rPr>
              <w:t>Let P_N(W_M) = W_M[0:N], where M ≥ N.</w:t>
            </w:r>
            <w:r>
              <w:br/>
            </w:r>
            <w:r>
              <w:br/>
            </w:r>
            <w:r>
              <w:rPr>
                <w:rFonts w:ascii="Consolas" w:hAnsi="Consolas"/>
                <w:sz w:val="18"/>
              </w:rPr>
              <w:t>For conforming extension K_M of K_N:</w:t>
            </w:r>
            <w:r>
              <w:br/>
            </w:r>
            <w:r>
              <w:rPr>
                <w:rFonts w:ascii="Consolas" w:hAnsi="Consolas"/>
                <w:sz w:val="18"/>
              </w:rPr>
              <w:t>P_N(W_M) = W_N</w:t>
            </w:r>
            <w:r>
              <w:br/>
            </w:r>
            <w:r>
              <w:br/>
            </w:r>
            <w:r>
              <w:rPr>
                <w:rFonts w:ascii="Consolas" w:hAnsi="Consolas"/>
                <w:sz w:val="18"/>
              </w:rPr>
              <w:t>and the semantic contract of B_i is invariant for every i &lt; N.</w:t>
            </w:r>
          </w:p>
        </w:tc>
      </w:tr>
    </w:tbl>
    <w:p w14:paraId="5EEB4477" w14:textId="77777777" w:rsidR="00784701" w:rsidRDefault="00784701">
      <w:pPr>
        <w:spacing w:after="20"/>
        <w:rPr>
          <w:rFonts w:hint="eastAsia"/>
        </w:rPr>
      </w:pPr>
    </w:p>
    <w:p w14:paraId="02AE84A4" w14:textId="77777777" w:rsidR="00784701" w:rsidRDefault="00ED1A28">
      <w:pPr>
        <w:pStyle w:val="BodyText"/>
        <w:spacing w:after="100" w:line="259" w:lineRule="auto"/>
        <w:rPr>
          <w:rFonts w:hint="eastAsia"/>
        </w:rPr>
      </w:pPr>
      <w:r>
        <w:t>The equality above is semantic and bitwise for a conforming extension: the projected prefix is the same encoded state under the same published contract.</w:t>
      </w:r>
    </w:p>
    <w:p w14:paraId="7C234145" w14:textId="77777777" w:rsidR="00784701" w:rsidRDefault="00ED1A28">
      <w:pPr>
        <w:pStyle w:val="Heading2"/>
        <w:spacing w:before="160" w:after="100"/>
      </w:pPr>
      <w:r>
        <w:t>4.3 Segment Registry</w:t>
      </w:r>
    </w:p>
    <w:p w14:paraId="6F8BEF06" w14:textId="77777777" w:rsidR="00784701" w:rsidRDefault="00ED1A28">
      <w:pPr>
        <w:pStyle w:val="BodyText"/>
        <w:spacing w:after="100" w:line="259" w:lineRule="auto"/>
        <w:rPr>
          <w:rFonts w:hint="eastAsia"/>
        </w:rPr>
      </w:pPr>
      <w:r>
        <w:t>Each extension SHOULD be registered as a first-class segment so implementations can distinguish inherited semantics from newly introduced semantics without inspecting application code.</w:t>
      </w:r>
    </w:p>
    <w:tbl>
      <w:tblPr>
        <w:tblStyle w:val="TableGrid"/>
        <w:tblW w:w="0" w:type="auto"/>
        <w:jc w:val="center"/>
        <w:tblLayout w:type="fixed"/>
        <w:tblLook w:val="04A0" w:firstRow="1" w:lastRow="0" w:firstColumn="1" w:lastColumn="0" w:noHBand="0" w:noVBand="1"/>
      </w:tblPr>
      <w:tblGrid>
        <w:gridCol w:w="2592"/>
        <w:gridCol w:w="7776"/>
      </w:tblGrid>
      <w:tr w:rsidR="00784701" w14:paraId="4333D70F" w14:textId="77777777">
        <w:trPr>
          <w:tblHeader/>
          <w:jc w:val="center"/>
        </w:trPr>
        <w:tc>
          <w:tcPr>
            <w:tcW w:w="2592" w:type="dxa"/>
            <w:shd w:val="clear" w:color="auto" w:fill="17365D"/>
            <w:tcMar>
              <w:top w:w="90" w:type="dxa"/>
              <w:left w:w="100" w:type="dxa"/>
              <w:bottom w:w="90" w:type="dxa"/>
              <w:right w:w="100" w:type="dxa"/>
            </w:tcMar>
            <w:vAlign w:val="center"/>
          </w:tcPr>
          <w:p w14:paraId="665DACCB" w14:textId="77777777" w:rsidR="00784701" w:rsidRDefault="00ED1A28">
            <w:pPr>
              <w:jc w:val="center"/>
              <w:rPr>
                <w:rFonts w:hint="eastAsia"/>
              </w:rPr>
            </w:pPr>
            <w:r>
              <w:rPr>
                <w:b/>
                <w:color w:val="FFFFFF"/>
                <w:sz w:val="19"/>
              </w:rPr>
              <w:t>Segment Field</w:t>
            </w:r>
          </w:p>
        </w:tc>
        <w:tc>
          <w:tcPr>
            <w:tcW w:w="7776" w:type="dxa"/>
            <w:shd w:val="clear" w:color="auto" w:fill="17365D"/>
            <w:tcMar>
              <w:top w:w="90" w:type="dxa"/>
              <w:left w:w="100" w:type="dxa"/>
              <w:bottom w:w="90" w:type="dxa"/>
              <w:right w:w="100" w:type="dxa"/>
            </w:tcMar>
            <w:vAlign w:val="center"/>
          </w:tcPr>
          <w:p w14:paraId="32BACC14" w14:textId="77777777" w:rsidR="00784701" w:rsidRDefault="00ED1A28">
            <w:pPr>
              <w:jc w:val="center"/>
              <w:rPr>
                <w:rFonts w:hint="eastAsia"/>
              </w:rPr>
            </w:pPr>
            <w:r>
              <w:rPr>
                <w:b/>
                <w:color w:val="FFFFFF"/>
                <w:sz w:val="19"/>
              </w:rPr>
              <w:t>Purpose</w:t>
            </w:r>
          </w:p>
        </w:tc>
      </w:tr>
      <w:tr w:rsidR="00784701" w14:paraId="5C657BD1" w14:textId="77777777">
        <w:trPr>
          <w:jc w:val="center"/>
        </w:trPr>
        <w:tc>
          <w:tcPr>
            <w:tcW w:w="2592" w:type="dxa"/>
            <w:tcMar>
              <w:top w:w="90" w:type="dxa"/>
              <w:left w:w="100" w:type="dxa"/>
              <w:bottom w:w="90" w:type="dxa"/>
              <w:right w:w="100" w:type="dxa"/>
            </w:tcMar>
            <w:vAlign w:val="center"/>
          </w:tcPr>
          <w:p w14:paraId="36CE3257" w14:textId="77777777" w:rsidR="00784701" w:rsidRDefault="00ED1A28">
            <w:pPr>
              <w:jc w:val="center"/>
              <w:rPr>
                <w:rFonts w:hint="eastAsia"/>
              </w:rPr>
            </w:pPr>
            <w:r>
              <w:rPr>
                <w:sz w:val="18"/>
              </w:rPr>
              <w:t>Family ID</w:t>
            </w:r>
          </w:p>
        </w:tc>
        <w:tc>
          <w:tcPr>
            <w:tcW w:w="7776" w:type="dxa"/>
            <w:tcMar>
              <w:top w:w="90" w:type="dxa"/>
              <w:left w:w="100" w:type="dxa"/>
              <w:bottom w:w="90" w:type="dxa"/>
              <w:right w:w="100" w:type="dxa"/>
            </w:tcMar>
            <w:vAlign w:val="center"/>
          </w:tcPr>
          <w:p w14:paraId="1F6E0FEB" w14:textId="77777777" w:rsidR="00784701" w:rsidRDefault="00ED1A28">
            <w:pPr>
              <w:rPr>
                <w:rFonts w:hint="eastAsia"/>
              </w:rPr>
            </w:pPr>
            <w:r>
              <w:rPr>
                <w:sz w:val="18"/>
              </w:rPr>
              <w:t>Stable Kernel family identity.</w:t>
            </w:r>
          </w:p>
        </w:tc>
      </w:tr>
      <w:tr w:rsidR="00784701" w14:paraId="0291E9F3" w14:textId="77777777">
        <w:trPr>
          <w:jc w:val="center"/>
        </w:trPr>
        <w:tc>
          <w:tcPr>
            <w:tcW w:w="2592" w:type="dxa"/>
            <w:shd w:val="clear" w:color="auto" w:fill="F8FAFC"/>
            <w:tcMar>
              <w:top w:w="90" w:type="dxa"/>
              <w:left w:w="100" w:type="dxa"/>
              <w:bottom w:w="90" w:type="dxa"/>
              <w:right w:w="100" w:type="dxa"/>
            </w:tcMar>
            <w:vAlign w:val="center"/>
          </w:tcPr>
          <w:p w14:paraId="3C4BEBC6" w14:textId="77777777" w:rsidR="00784701" w:rsidRDefault="00ED1A28">
            <w:pPr>
              <w:jc w:val="center"/>
              <w:rPr>
                <w:rFonts w:hint="eastAsia"/>
              </w:rPr>
            </w:pPr>
            <w:r>
              <w:rPr>
                <w:sz w:val="18"/>
              </w:rPr>
              <w:t>Resolution</w:t>
            </w:r>
          </w:p>
        </w:tc>
        <w:tc>
          <w:tcPr>
            <w:tcW w:w="7776" w:type="dxa"/>
            <w:shd w:val="clear" w:color="auto" w:fill="F8FAFC"/>
            <w:tcMar>
              <w:top w:w="90" w:type="dxa"/>
              <w:left w:w="100" w:type="dxa"/>
              <w:bottom w:w="90" w:type="dxa"/>
              <w:right w:w="100" w:type="dxa"/>
            </w:tcMar>
            <w:vAlign w:val="center"/>
          </w:tcPr>
          <w:p w14:paraId="47A0E585" w14:textId="77777777" w:rsidR="00784701" w:rsidRDefault="00ED1A28">
            <w:pPr>
              <w:rPr>
                <w:rFonts w:hint="eastAsia"/>
              </w:rPr>
            </w:pPr>
            <w:r>
              <w:rPr>
                <w:sz w:val="18"/>
              </w:rPr>
              <w:t>Total word length after the segment is appended.</w:t>
            </w:r>
          </w:p>
        </w:tc>
      </w:tr>
      <w:tr w:rsidR="00784701" w14:paraId="0C22D73A" w14:textId="77777777">
        <w:trPr>
          <w:jc w:val="center"/>
        </w:trPr>
        <w:tc>
          <w:tcPr>
            <w:tcW w:w="2592" w:type="dxa"/>
            <w:tcMar>
              <w:top w:w="90" w:type="dxa"/>
              <w:left w:w="100" w:type="dxa"/>
              <w:bottom w:w="90" w:type="dxa"/>
              <w:right w:w="100" w:type="dxa"/>
            </w:tcMar>
            <w:vAlign w:val="center"/>
          </w:tcPr>
          <w:p w14:paraId="32C8BF75" w14:textId="77777777" w:rsidR="00784701" w:rsidRDefault="00ED1A28">
            <w:pPr>
              <w:jc w:val="center"/>
              <w:rPr>
                <w:rFonts w:hint="eastAsia"/>
              </w:rPr>
            </w:pPr>
            <w:r>
              <w:rPr>
                <w:sz w:val="18"/>
              </w:rPr>
              <w:t>Segment Range</w:t>
            </w:r>
          </w:p>
        </w:tc>
        <w:tc>
          <w:tcPr>
            <w:tcW w:w="7776" w:type="dxa"/>
            <w:tcMar>
              <w:top w:w="90" w:type="dxa"/>
              <w:left w:w="100" w:type="dxa"/>
              <w:bottom w:w="90" w:type="dxa"/>
              <w:right w:w="100" w:type="dxa"/>
            </w:tcMar>
            <w:vAlign w:val="center"/>
          </w:tcPr>
          <w:p w14:paraId="5A65BD7A" w14:textId="77777777" w:rsidR="00784701" w:rsidRDefault="00ED1A28">
            <w:pPr>
              <w:rPr>
                <w:rFonts w:hint="eastAsia"/>
              </w:rPr>
            </w:pPr>
            <w:r>
              <w:rPr>
                <w:sz w:val="18"/>
              </w:rPr>
              <w:t>Canonical bit range owned by the segment.</w:t>
            </w:r>
          </w:p>
        </w:tc>
      </w:tr>
      <w:tr w:rsidR="00784701" w14:paraId="335CAC0C" w14:textId="77777777">
        <w:trPr>
          <w:jc w:val="center"/>
        </w:trPr>
        <w:tc>
          <w:tcPr>
            <w:tcW w:w="2592" w:type="dxa"/>
            <w:shd w:val="clear" w:color="auto" w:fill="F8FAFC"/>
            <w:tcMar>
              <w:top w:w="90" w:type="dxa"/>
              <w:left w:w="100" w:type="dxa"/>
              <w:bottom w:w="90" w:type="dxa"/>
              <w:right w:w="100" w:type="dxa"/>
            </w:tcMar>
            <w:vAlign w:val="center"/>
          </w:tcPr>
          <w:p w14:paraId="2FA780BF" w14:textId="77777777" w:rsidR="00784701" w:rsidRDefault="00ED1A28">
            <w:pPr>
              <w:jc w:val="center"/>
              <w:rPr>
                <w:rFonts w:hint="eastAsia"/>
              </w:rPr>
            </w:pPr>
            <w:r>
              <w:rPr>
                <w:sz w:val="18"/>
              </w:rPr>
              <w:t>Parent Resolution</w:t>
            </w:r>
          </w:p>
        </w:tc>
        <w:tc>
          <w:tcPr>
            <w:tcW w:w="7776" w:type="dxa"/>
            <w:shd w:val="clear" w:color="auto" w:fill="F8FAFC"/>
            <w:tcMar>
              <w:top w:w="90" w:type="dxa"/>
              <w:left w:w="100" w:type="dxa"/>
              <w:bottom w:w="90" w:type="dxa"/>
              <w:right w:w="100" w:type="dxa"/>
            </w:tcMar>
            <w:vAlign w:val="center"/>
          </w:tcPr>
          <w:p w14:paraId="4802ED76" w14:textId="77777777" w:rsidR="00784701" w:rsidRDefault="00ED1A28">
            <w:pPr>
              <w:rPr>
                <w:rFonts w:hint="eastAsia"/>
              </w:rPr>
            </w:pPr>
            <w:r>
              <w:rPr>
                <w:sz w:val="18"/>
              </w:rPr>
              <w:t>Immediately inherited lower-resolution contract.</w:t>
            </w:r>
          </w:p>
        </w:tc>
      </w:tr>
      <w:tr w:rsidR="00784701" w14:paraId="40A4081E" w14:textId="77777777">
        <w:trPr>
          <w:jc w:val="center"/>
        </w:trPr>
        <w:tc>
          <w:tcPr>
            <w:tcW w:w="2592" w:type="dxa"/>
            <w:tcMar>
              <w:top w:w="90" w:type="dxa"/>
              <w:left w:w="100" w:type="dxa"/>
              <w:bottom w:w="90" w:type="dxa"/>
              <w:right w:w="100" w:type="dxa"/>
            </w:tcMar>
            <w:vAlign w:val="center"/>
          </w:tcPr>
          <w:p w14:paraId="05411C95" w14:textId="77777777" w:rsidR="00784701" w:rsidRDefault="00ED1A28">
            <w:pPr>
              <w:jc w:val="center"/>
              <w:rPr>
                <w:rFonts w:hint="eastAsia"/>
              </w:rPr>
            </w:pPr>
            <w:r>
              <w:rPr>
                <w:sz w:val="18"/>
              </w:rPr>
              <w:t>Segment Name</w:t>
            </w:r>
          </w:p>
        </w:tc>
        <w:tc>
          <w:tcPr>
            <w:tcW w:w="7776" w:type="dxa"/>
            <w:tcMar>
              <w:top w:w="90" w:type="dxa"/>
              <w:left w:w="100" w:type="dxa"/>
              <w:bottom w:w="90" w:type="dxa"/>
              <w:right w:w="100" w:type="dxa"/>
            </w:tcMar>
            <w:vAlign w:val="center"/>
          </w:tcPr>
          <w:p w14:paraId="2DF239E6" w14:textId="77777777" w:rsidR="00784701" w:rsidRDefault="00ED1A28">
            <w:pPr>
              <w:rPr>
                <w:rFonts w:hint="eastAsia"/>
              </w:rPr>
            </w:pPr>
            <w:r>
              <w:rPr>
                <w:sz w:val="18"/>
              </w:rPr>
              <w:t>Human-readable semantic scope.</w:t>
            </w:r>
          </w:p>
        </w:tc>
      </w:tr>
      <w:tr w:rsidR="00784701" w14:paraId="0B7A783D" w14:textId="77777777">
        <w:trPr>
          <w:jc w:val="center"/>
        </w:trPr>
        <w:tc>
          <w:tcPr>
            <w:tcW w:w="2592" w:type="dxa"/>
            <w:shd w:val="clear" w:color="auto" w:fill="F8FAFC"/>
            <w:tcMar>
              <w:top w:w="90" w:type="dxa"/>
              <w:left w:w="100" w:type="dxa"/>
              <w:bottom w:w="90" w:type="dxa"/>
              <w:right w:w="100" w:type="dxa"/>
            </w:tcMar>
            <w:vAlign w:val="center"/>
          </w:tcPr>
          <w:p w14:paraId="6FD83F63" w14:textId="77777777" w:rsidR="00784701" w:rsidRDefault="00ED1A28">
            <w:pPr>
              <w:jc w:val="center"/>
              <w:rPr>
                <w:rFonts w:hint="eastAsia"/>
              </w:rPr>
            </w:pPr>
            <w:r>
              <w:rPr>
                <w:sz w:val="18"/>
              </w:rPr>
              <w:t>Specification</w:t>
            </w:r>
          </w:p>
        </w:tc>
        <w:tc>
          <w:tcPr>
            <w:tcW w:w="7776" w:type="dxa"/>
            <w:shd w:val="clear" w:color="auto" w:fill="F8FAFC"/>
            <w:tcMar>
              <w:top w:w="90" w:type="dxa"/>
              <w:left w:w="100" w:type="dxa"/>
              <w:bottom w:w="90" w:type="dxa"/>
              <w:right w:w="100" w:type="dxa"/>
            </w:tcMar>
            <w:vAlign w:val="center"/>
          </w:tcPr>
          <w:p w14:paraId="5604A6A9" w14:textId="77777777" w:rsidR="00784701" w:rsidRDefault="00ED1A28">
            <w:pPr>
              <w:rPr>
                <w:rFonts w:hint="eastAsia"/>
              </w:rPr>
            </w:pPr>
            <w:r>
              <w:rPr>
                <w:sz w:val="18"/>
              </w:rPr>
              <w:t>Normative contract for the new range.</w:t>
            </w:r>
          </w:p>
        </w:tc>
      </w:tr>
      <w:tr w:rsidR="00784701" w14:paraId="1E5FFBBD" w14:textId="77777777">
        <w:trPr>
          <w:jc w:val="center"/>
        </w:trPr>
        <w:tc>
          <w:tcPr>
            <w:tcW w:w="2592" w:type="dxa"/>
            <w:tcMar>
              <w:top w:w="90" w:type="dxa"/>
              <w:left w:w="100" w:type="dxa"/>
              <w:bottom w:w="90" w:type="dxa"/>
              <w:right w:w="100" w:type="dxa"/>
            </w:tcMar>
            <w:vAlign w:val="center"/>
          </w:tcPr>
          <w:p w14:paraId="746383A4" w14:textId="77777777" w:rsidR="00784701" w:rsidRDefault="00ED1A28">
            <w:pPr>
              <w:rPr>
                <w:rFonts w:hint="eastAsia"/>
              </w:rPr>
            </w:pPr>
            <w:r>
              <w:rPr>
                <w:sz w:val="18"/>
              </w:rPr>
              <w:t>Compatibility Class</w:t>
            </w:r>
          </w:p>
        </w:tc>
        <w:tc>
          <w:tcPr>
            <w:tcW w:w="7776" w:type="dxa"/>
            <w:tcMar>
              <w:top w:w="90" w:type="dxa"/>
              <w:left w:w="100" w:type="dxa"/>
              <w:bottom w:w="90" w:type="dxa"/>
              <w:right w:w="100" w:type="dxa"/>
            </w:tcMar>
            <w:vAlign w:val="center"/>
          </w:tcPr>
          <w:p w14:paraId="28BE0F5C" w14:textId="77777777" w:rsidR="00784701" w:rsidRDefault="00ED1A28">
            <w:pPr>
              <w:rPr>
                <w:rFonts w:hint="eastAsia"/>
              </w:rPr>
            </w:pPr>
            <w:r>
              <w:rPr>
                <w:sz w:val="18"/>
              </w:rPr>
              <w:t>Prefix-compatible, forked, translated, or incompatible.</w:t>
            </w:r>
          </w:p>
        </w:tc>
      </w:tr>
      <w:tr w:rsidR="00784701" w14:paraId="6D241B21" w14:textId="77777777">
        <w:trPr>
          <w:jc w:val="center"/>
        </w:trPr>
        <w:tc>
          <w:tcPr>
            <w:tcW w:w="2592" w:type="dxa"/>
            <w:shd w:val="clear" w:color="auto" w:fill="F8FAFC"/>
            <w:tcMar>
              <w:top w:w="90" w:type="dxa"/>
              <w:left w:w="100" w:type="dxa"/>
              <w:bottom w:w="90" w:type="dxa"/>
              <w:right w:w="100" w:type="dxa"/>
            </w:tcMar>
            <w:vAlign w:val="center"/>
          </w:tcPr>
          <w:p w14:paraId="634947CB" w14:textId="77777777" w:rsidR="00784701" w:rsidRDefault="00ED1A28">
            <w:pPr>
              <w:jc w:val="center"/>
              <w:rPr>
                <w:rFonts w:hint="eastAsia"/>
              </w:rPr>
            </w:pPr>
            <w:r>
              <w:rPr>
                <w:sz w:val="18"/>
              </w:rPr>
              <w:t>Introduced Version</w:t>
            </w:r>
          </w:p>
        </w:tc>
        <w:tc>
          <w:tcPr>
            <w:tcW w:w="7776" w:type="dxa"/>
            <w:shd w:val="clear" w:color="auto" w:fill="F8FAFC"/>
            <w:tcMar>
              <w:top w:w="90" w:type="dxa"/>
              <w:left w:w="100" w:type="dxa"/>
              <w:bottom w:w="90" w:type="dxa"/>
              <w:right w:w="100" w:type="dxa"/>
            </w:tcMar>
            <w:vAlign w:val="center"/>
          </w:tcPr>
          <w:p w14:paraId="0D541130" w14:textId="77777777" w:rsidR="00784701" w:rsidRDefault="00ED1A28">
            <w:pPr>
              <w:rPr>
                <w:rFonts w:hint="eastAsia"/>
              </w:rPr>
            </w:pPr>
            <w:r>
              <w:rPr>
                <w:sz w:val="18"/>
              </w:rPr>
              <w:t>Kernel family version that first defined the segment.</w:t>
            </w:r>
          </w:p>
        </w:tc>
      </w:tr>
      <w:tr w:rsidR="00784701" w14:paraId="776BCDFA" w14:textId="77777777">
        <w:trPr>
          <w:jc w:val="center"/>
        </w:trPr>
        <w:tc>
          <w:tcPr>
            <w:tcW w:w="2592" w:type="dxa"/>
            <w:tcMar>
              <w:top w:w="90" w:type="dxa"/>
              <w:left w:w="100" w:type="dxa"/>
              <w:bottom w:w="90" w:type="dxa"/>
              <w:right w:w="100" w:type="dxa"/>
            </w:tcMar>
            <w:vAlign w:val="center"/>
          </w:tcPr>
          <w:p w14:paraId="1D319FC6" w14:textId="77777777" w:rsidR="00784701" w:rsidRDefault="00ED1A28">
            <w:pPr>
              <w:rPr>
                <w:rFonts w:hint="eastAsia"/>
              </w:rPr>
            </w:pPr>
            <w:r>
              <w:rPr>
                <w:sz w:val="18"/>
              </w:rPr>
              <w:t>Required Dependencies</w:t>
            </w:r>
          </w:p>
        </w:tc>
        <w:tc>
          <w:tcPr>
            <w:tcW w:w="7776" w:type="dxa"/>
            <w:tcMar>
              <w:top w:w="90" w:type="dxa"/>
              <w:left w:w="100" w:type="dxa"/>
              <w:bottom w:w="90" w:type="dxa"/>
              <w:right w:w="100" w:type="dxa"/>
            </w:tcMar>
            <w:vAlign w:val="center"/>
          </w:tcPr>
          <w:p w14:paraId="13CB403B" w14:textId="77777777" w:rsidR="00784701" w:rsidRDefault="00ED1A28">
            <w:pPr>
              <w:rPr>
                <w:rFonts w:hint="eastAsia"/>
              </w:rPr>
            </w:pPr>
            <w:r>
              <w:rPr>
                <w:sz w:val="18"/>
              </w:rPr>
              <w:t>Rules, Models, relations, or companion Kernels required for interpretation.</w:t>
            </w:r>
          </w:p>
        </w:tc>
      </w:tr>
      <w:tr w:rsidR="00784701" w14:paraId="1314F26A" w14:textId="77777777">
        <w:trPr>
          <w:jc w:val="center"/>
        </w:trPr>
        <w:tc>
          <w:tcPr>
            <w:tcW w:w="2592" w:type="dxa"/>
            <w:shd w:val="clear" w:color="auto" w:fill="F8FAFC"/>
            <w:tcMar>
              <w:top w:w="90" w:type="dxa"/>
              <w:left w:w="100" w:type="dxa"/>
              <w:bottom w:w="90" w:type="dxa"/>
              <w:right w:w="100" w:type="dxa"/>
            </w:tcMar>
            <w:vAlign w:val="center"/>
          </w:tcPr>
          <w:p w14:paraId="7DC9F903" w14:textId="77777777" w:rsidR="00784701" w:rsidRDefault="00ED1A28">
            <w:pPr>
              <w:jc w:val="center"/>
              <w:rPr>
                <w:rFonts w:hint="eastAsia"/>
              </w:rPr>
            </w:pPr>
            <w:r>
              <w:rPr>
                <w:sz w:val="18"/>
              </w:rPr>
              <w:t>Bitlink Set</w:t>
            </w:r>
          </w:p>
        </w:tc>
        <w:tc>
          <w:tcPr>
            <w:tcW w:w="7776" w:type="dxa"/>
            <w:shd w:val="clear" w:color="auto" w:fill="F8FAFC"/>
            <w:tcMar>
              <w:top w:w="90" w:type="dxa"/>
              <w:left w:w="100" w:type="dxa"/>
              <w:bottom w:w="90" w:type="dxa"/>
              <w:right w:w="100" w:type="dxa"/>
            </w:tcMar>
            <w:vAlign w:val="center"/>
          </w:tcPr>
          <w:p w14:paraId="4862D868" w14:textId="77777777" w:rsidR="00784701" w:rsidRDefault="00ED1A28">
            <w:pPr>
              <w:rPr>
                <w:rFonts w:hint="eastAsia"/>
              </w:rPr>
            </w:pPr>
            <w:r>
              <w:rPr>
                <w:sz w:val="18"/>
              </w:rPr>
              <w:t>Bindings introduced specifically at this resolution.</w:t>
            </w:r>
          </w:p>
        </w:tc>
      </w:tr>
    </w:tbl>
    <w:p w14:paraId="25A47DD0" w14:textId="77777777" w:rsidR="00784701" w:rsidRDefault="00784701">
      <w:pPr>
        <w:spacing w:after="40"/>
        <w:rPr>
          <w:rFonts w:hint="eastAsia"/>
        </w:rPr>
      </w:pPr>
    </w:p>
    <w:p w14:paraId="327B5BF8" w14:textId="77777777" w:rsidR="00784701" w:rsidRDefault="00ED1A28">
      <w:pPr>
        <w:pStyle w:val="Heading2"/>
        <w:spacing w:before="160" w:after="100"/>
      </w:pPr>
      <w:r>
        <w:t>4.4 Identity and Specialization</w:t>
      </w:r>
    </w:p>
    <w:p w14:paraId="418416E7" w14:textId="77777777" w:rsidR="00784701" w:rsidRDefault="00ED1A28">
      <w:pPr>
        <w:pStyle w:val="BodyText"/>
        <w:spacing w:after="100" w:line="259" w:lineRule="auto"/>
        <w:rPr>
          <w:rFonts w:hint="eastAsia"/>
        </w:rPr>
      </w:pPr>
      <w:r>
        <w:t>A specialized Kernel may inherit a general prefix and then specialize at a higher resolution. For example, MUSCLE-512 may use BODY-256 as its first 256 bits and append 256 bits of muscle-specific microanatomical semantics. In that case MUSCLE-512 remains BODY-addressable at lower resolution while exposing specialist information to readers that understand the full word.</w:t>
      </w:r>
    </w:p>
    <w:tbl>
      <w:tblPr>
        <w:tblW w:w="0" w:type="auto"/>
        <w:jc w:val="center"/>
        <w:tblLook w:val="04A0" w:firstRow="1" w:lastRow="0" w:firstColumn="1" w:lastColumn="0" w:noHBand="0" w:noVBand="1"/>
      </w:tblPr>
      <w:tblGrid>
        <w:gridCol w:w="9936"/>
      </w:tblGrid>
      <w:tr w:rsidR="00784701" w14:paraId="4A55ED04" w14:textId="77777777">
        <w:trPr>
          <w:cantSplit/>
          <w:jc w:val="center"/>
        </w:trPr>
        <w:tc>
          <w:tcPr>
            <w:tcW w:w="9936" w:type="dxa"/>
            <w:shd w:val="clear" w:color="auto" w:fill="F7F9FB"/>
            <w:tcMar>
              <w:top w:w="100" w:type="dxa"/>
              <w:left w:w="140" w:type="dxa"/>
              <w:bottom w:w="100" w:type="dxa"/>
              <w:right w:w="140" w:type="dxa"/>
            </w:tcMar>
          </w:tcPr>
          <w:p w14:paraId="036F85A5" w14:textId="77777777" w:rsidR="00784701" w:rsidRDefault="00ED1A28">
            <w:pPr>
              <w:rPr>
                <w:rFonts w:hint="eastAsia"/>
              </w:rPr>
            </w:pPr>
            <w:r>
              <w:rPr>
                <w:b/>
                <w:color w:val="0F6B78"/>
                <w:sz w:val="19"/>
              </w:rPr>
              <w:t>Specialized descendant</w:t>
            </w:r>
          </w:p>
          <w:p w14:paraId="6866C9BB" w14:textId="77777777" w:rsidR="00784701" w:rsidRDefault="00ED1A28">
            <w:pPr>
              <w:spacing w:after="0"/>
              <w:rPr>
                <w:rFonts w:hint="eastAsia"/>
              </w:rPr>
            </w:pPr>
            <w:r>
              <w:rPr>
                <w:rFonts w:ascii="Consolas" w:hAnsi="Consolas"/>
                <w:sz w:val="18"/>
              </w:rPr>
              <w:t>MUSCLE-512</w:t>
            </w:r>
            <w:r>
              <w:br/>
            </w:r>
            <w:r>
              <w:rPr>
                <w:rFonts w:ascii="Consolas" w:hAnsi="Consolas"/>
                <w:sz w:val="18"/>
              </w:rPr>
              <w:t>[B000–B127]   BODY-128: canonical body-part identity</w:t>
            </w:r>
            <w:r>
              <w:br/>
            </w:r>
            <w:r>
              <w:rPr>
                <w:rFonts w:ascii="Consolas" w:hAnsi="Consolas"/>
                <w:sz w:val="18"/>
              </w:rPr>
              <w:t>[B128–B255]   BODY-256 extension: generic tissue/cellular function</w:t>
            </w:r>
            <w:r>
              <w:br/>
            </w:r>
            <w:r>
              <w:rPr>
                <w:rFonts w:ascii="Consolas" w:hAnsi="Consolas"/>
                <w:sz w:val="18"/>
              </w:rPr>
              <w:t>[B256–B511]   MUSCLE extension: specialist muscle microanatomy/state</w:t>
            </w:r>
          </w:p>
        </w:tc>
      </w:tr>
    </w:tbl>
    <w:p w14:paraId="5D728360" w14:textId="77777777" w:rsidR="00784701" w:rsidRDefault="00784701">
      <w:pPr>
        <w:spacing w:after="20"/>
        <w:rPr>
          <w:rFonts w:hint="eastAsia"/>
        </w:rPr>
      </w:pPr>
    </w:p>
    <w:p w14:paraId="0D26DA50" w14:textId="77777777" w:rsidR="00784701" w:rsidRDefault="00ED1A28">
      <w:pPr>
        <w:pStyle w:val="Heading1"/>
        <w:spacing w:before="240" w:after="100"/>
      </w:pPr>
      <w:r>
        <w:t>5. Resolution Selection and the Minimum Sufficient Resolution Principle</w:t>
      </w:r>
    </w:p>
    <w:p w14:paraId="2691D9C6" w14:textId="77777777" w:rsidR="00784701" w:rsidRDefault="00ED1A28">
      <w:pPr>
        <w:pStyle w:val="Heading2"/>
        <w:spacing w:before="160" w:after="100"/>
      </w:pPr>
      <w:r>
        <w:t>5.1 Knowledge Resolution vs. Record Resolution</w:t>
      </w:r>
    </w:p>
    <w:p w14:paraId="445C48F0" w14:textId="77777777" w:rsidR="00784701" w:rsidRDefault="00ED1A28">
      <w:pPr>
        <w:pStyle w:val="BodyText"/>
        <w:spacing w:after="100" w:line="259" w:lineRule="auto"/>
        <w:rPr>
          <w:rFonts w:hint="eastAsia"/>
        </w:rPr>
      </w:pPr>
      <w:r>
        <w:t>Semantic Prefix Invariance distinguishes the depth that CERBERUS can understand from the depth a specific record must carry. Knowledge Resolution describes the maximum semantic detail available through registered Kernels, Models, Rules, and relations. Record Resolution describes the amount of that detail instantiated for a particular event or object.</w:t>
      </w:r>
    </w:p>
    <w:tbl>
      <w:tblPr>
        <w:tblStyle w:val="TableGrid"/>
        <w:tblW w:w="0" w:type="auto"/>
        <w:jc w:val="center"/>
        <w:tblLayout w:type="fixed"/>
        <w:tblLook w:val="04A0" w:firstRow="1" w:lastRow="0" w:firstColumn="1" w:lastColumn="0" w:noHBand="0" w:noVBand="1"/>
      </w:tblPr>
      <w:tblGrid>
        <w:gridCol w:w="2160"/>
        <w:gridCol w:w="3240"/>
        <w:gridCol w:w="4968"/>
      </w:tblGrid>
      <w:tr w:rsidR="00784701" w14:paraId="21D772B6" w14:textId="77777777">
        <w:trPr>
          <w:tblHeader/>
          <w:jc w:val="center"/>
        </w:trPr>
        <w:tc>
          <w:tcPr>
            <w:tcW w:w="2160" w:type="dxa"/>
            <w:shd w:val="clear" w:color="auto" w:fill="17365D"/>
            <w:tcMar>
              <w:top w:w="90" w:type="dxa"/>
              <w:left w:w="100" w:type="dxa"/>
              <w:bottom w:w="90" w:type="dxa"/>
              <w:right w:w="100" w:type="dxa"/>
            </w:tcMar>
            <w:vAlign w:val="center"/>
          </w:tcPr>
          <w:p w14:paraId="2366E805" w14:textId="77777777" w:rsidR="00784701" w:rsidRDefault="00ED1A28">
            <w:pPr>
              <w:jc w:val="center"/>
              <w:rPr>
                <w:rFonts w:hint="eastAsia"/>
              </w:rPr>
            </w:pPr>
            <w:r>
              <w:rPr>
                <w:b/>
                <w:color w:val="FFFFFF"/>
                <w:sz w:val="19"/>
              </w:rPr>
              <w:t>Concept</w:t>
            </w:r>
          </w:p>
        </w:tc>
        <w:tc>
          <w:tcPr>
            <w:tcW w:w="3240" w:type="dxa"/>
            <w:shd w:val="clear" w:color="auto" w:fill="17365D"/>
            <w:tcMar>
              <w:top w:w="90" w:type="dxa"/>
              <w:left w:w="100" w:type="dxa"/>
              <w:bottom w:w="90" w:type="dxa"/>
              <w:right w:w="100" w:type="dxa"/>
            </w:tcMar>
            <w:vAlign w:val="center"/>
          </w:tcPr>
          <w:p w14:paraId="3DDFD092" w14:textId="77777777" w:rsidR="00784701" w:rsidRDefault="00ED1A28">
            <w:pPr>
              <w:jc w:val="center"/>
              <w:rPr>
                <w:rFonts w:hint="eastAsia"/>
              </w:rPr>
            </w:pPr>
            <w:r>
              <w:rPr>
                <w:b/>
                <w:color w:val="FFFFFF"/>
                <w:sz w:val="19"/>
              </w:rPr>
              <w:t>Question</w:t>
            </w:r>
          </w:p>
        </w:tc>
        <w:tc>
          <w:tcPr>
            <w:tcW w:w="4968" w:type="dxa"/>
            <w:shd w:val="clear" w:color="auto" w:fill="17365D"/>
            <w:tcMar>
              <w:top w:w="90" w:type="dxa"/>
              <w:left w:w="100" w:type="dxa"/>
              <w:bottom w:w="90" w:type="dxa"/>
              <w:right w:w="100" w:type="dxa"/>
            </w:tcMar>
            <w:vAlign w:val="center"/>
          </w:tcPr>
          <w:p w14:paraId="4E515930" w14:textId="77777777" w:rsidR="00784701" w:rsidRDefault="00ED1A28">
            <w:pPr>
              <w:jc w:val="center"/>
              <w:rPr>
                <w:rFonts w:hint="eastAsia"/>
              </w:rPr>
            </w:pPr>
            <w:r>
              <w:rPr>
                <w:b/>
                <w:color w:val="FFFFFF"/>
                <w:sz w:val="19"/>
              </w:rPr>
              <w:t>Example</w:t>
            </w:r>
          </w:p>
        </w:tc>
      </w:tr>
      <w:tr w:rsidR="00784701" w14:paraId="1BD56E70" w14:textId="77777777">
        <w:trPr>
          <w:jc w:val="center"/>
        </w:trPr>
        <w:tc>
          <w:tcPr>
            <w:tcW w:w="2160" w:type="dxa"/>
            <w:tcMar>
              <w:top w:w="90" w:type="dxa"/>
              <w:left w:w="100" w:type="dxa"/>
              <w:bottom w:w="90" w:type="dxa"/>
              <w:right w:w="100" w:type="dxa"/>
            </w:tcMar>
            <w:vAlign w:val="center"/>
          </w:tcPr>
          <w:p w14:paraId="615875A6" w14:textId="77777777" w:rsidR="00784701" w:rsidRDefault="00ED1A28">
            <w:pPr>
              <w:rPr>
                <w:rFonts w:hint="eastAsia"/>
              </w:rPr>
            </w:pPr>
            <w:r>
              <w:rPr>
                <w:sz w:val="18"/>
              </w:rPr>
              <w:t>Knowledge Resolution</w:t>
            </w:r>
          </w:p>
        </w:tc>
        <w:tc>
          <w:tcPr>
            <w:tcW w:w="3240" w:type="dxa"/>
            <w:tcMar>
              <w:top w:w="90" w:type="dxa"/>
              <w:left w:w="100" w:type="dxa"/>
              <w:bottom w:w="90" w:type="dxa"/>
              <w:right w:w="100" w:type="dxa"/>
            </w:tcMar>
            <w:vAlign w:val="center"/>
          </w:tcPr>
          <w:p w14:paraId="19A650BA" w14:textId="77777777" w:rsidR="00784701" w:rsidRDefault="00ED1A28">
            <w:pPr>
              <w:rPr>
                <w:rFonts w:hint="eastAsia"/>
              </w:rPr>
            </w:pPr>
            <w:r>
              <w:rPr>
                <w:sz w:val="18"/>
              </w:rPr>
              <w:t>How deeply can the system reason about this domain?</w:t>
            </w:r>
          </w:p>
        </w:tc>
        <w:tc>
          <w:tcPr>
            <w:tcW w:w="4968" w:type="dxa"/>
            <w:tcMar>
              <w:top w:w="90" w:type="dxa"/>
              <w:left w:w="100" w:type="dxa"/>
              <w:bottom w:w="90" w:type="dxa"/>
              <w:right w:w="100" w:type="dxa"/>
            </w:tcMar>
            <w:vAlign w:val="center"/>
          </w:tcPr>
          <w:p w14:paraId="1C73A6DF" w14:textId="77777777" w:rsidR="00784701" w:rsidRDefault="00ED1A28">
            <w:pPr>
              <w:rPr>
                <w:rFonts w:hint="eastAsia"/>
              </w:rPr>
            </w:pPr>
            <w:r>
              <w:rPr>
                <w:sz w:val="18"/>
              </w:rPr>
              <w:t>A training system may understand musculoskeletal anatomy, cellular adaptation, perfusion, and high-precision timing.</w:t>
            </w:r>
          </w:p>
        </w:tc>
      </w:tr>
      <w:tr w:rsidR="00784701" w14:paraId="6AAE0B57" w14:textId="77777777">
        <w:trPr>
          <w:jc w:val="center"/>
        </w:trPr>
        <w:tc>
          <w:tcPr>
            <w:tcW w:w="2160" w:type="dxa"/>
            <w:shd w:val="clear" w:color="auto" w:fill="F8FAFC"/>
            <w:tcMar>
              <w:top w:w="90" w:type="dxa"/>
              <w:left w:w="100" w:type="dxa"/>
              <w:bottom w:w="90" w:type="dxa"/>
              <w:right w:w="100" w:type="dxa"/>
            </w:tcMar>
            <w:vAlign w:val="center"/>
          </w:tcPr>
          <w:p w14:paraId="65FA85B8" w14:textId="77777777" w:rsidR="00784701" w:rsidRDefault="00ED1A28">
            <w:pPr>
              <w:jc w:val="center"/>
              <w:rPr>
                <w:rFonts w:hint="eastAsia"/>
              </w:rPr>
            </w:pPr>
            <w:r>
              <w:rPr>
                <w:sz w:val="18"/>
              </w:rPr>
              <w:t>Record Resolution</w:t>
            </w:r>
          </w:p>
        </w:tc>
        <w:tc>
          <w:tcPr>
            <w:tcW w:w="3240" w:type="dxa"/>
            <w:shd w:val="clear" w:color="auto" w:fill="F8FAFC"/>
            <w:tcMar>
              <w:top w:w="90" w:type="dxa"/>
              <w:left w:w="100" w:type="dxa"/>
              <w:bottom w:w="90" w:type="dxa"/>
              <w:right w:w="100" w:type="dxa"/>
            </w:tcMar>
            <w:vAlign w:val="center"/>
          </w:tcPr>
          <w:p w14:paraId="56E8C52D" w14:textId="77777777" w:rsidR="00784701" w:rsidRDefault="00ED1A28">
            <w:pPr>
              <w:rPr>
                <w:rFonts w:hint="eastAsia"/>
              </w:rPr>
            </w:pPr>
            <w:r>
              <w:rPr>
                <w:sz w:val="18"/>
              </w:rPr>
              <w:t>How much of that depth must this record encode?</w:t>
            </w:r>
          </w:p>
        </w:tc>
        <w:tc>
          <w:tcPr>
            <w:tcW w:w="4968" w:type="dxa"/>
            <w:shd w:val="clear" w:color="auto" w:fill="F8FAFC"/>
            <w:tcMar>
              <w:top w:w="90" w:type="dxa"/>
              <w:left w:w="100" w:type="dxa"/>
              <w:bottom w:w="90" w:type="dxa"/>
              <w:right w:w="100" w:type="dxa"/>
            </w:tcMar>
            <w:vAlign w:val="center"/>
          </w:tcPr>
          <w:p w14:paraId="3AE12750" w14:textId="77777777" w:rsidR="00784701" w:rsidRDefault="00ED1A28">
            <w:pPr>
              <w:rPr>
                <w:rFonts w:hint="eastAsia"/>
              </w:rPr>
            </w:pPr>
            <w:r>
              <w:rPr>
                <w:sz w:val="18"/>
              </w:rPr>
              <w:t>A workout record may need only FIT-128 and TIME-128, plus an Exercise NodeKey.</w:t>
            </w:r>
          </w:p>
        </w:tc>
      </w:tr>
    </w:tbl>
    <w:p w14:paraId="31F5FC4C" w14:textId="77777777" w:rsidR="00784701" w:rsidRDefault="00784701">
      <w:pPr>
        <w:spacing w:after="40"/>
        <w:rPr>
          <w:rFonts w:hint="eastAsia"/>
        </w:rPr>
      </w:pPr>
    </w:p>
    <w:p w14:paraId="44DCB478" w14:textId="77777777" w:rsidR="00784701" w:rsidRDefault="00ED1A28">
      <w:pPr>
        <w:pStyle w:val="Heading2"/>
        <w:spacing w:before="160" w:after="100"/>
      </w:pPr>
      <w:r>
        <w:t>5.2 Operational, Scientific, Specialist, and Research Resolution</w:t>
      </w:r>
    </w:p>
    <w:tbl>
      <w:tblPr>
        <w:tblStyle w:val="TableGrid"/>
        <w:tblW w:w="0" w:type="auto"/>
        <w:jc w:val="center"/>
        <w:tblLayout w:type="fixed"/>
        <w:tblLook w:val="04A0" w:firstRow="1" w:lastRow="0" w:firstColumn="1" w:lastColumn="0" w:noHBand="0" w:noVBand="1"/>
      </w:tblPr>
      <w:tblGrid>
        <w:gridCol w:w="1944"/>
        <w:gridCol w:w="3672"/>
        <w:gridCol w:w="4752"/>
      </w:tblGrid>
      <w:tr w:rsidR="00784701" w14:paraId="1D967B45" w14:textId="77777777">
        <w:trPr>
          <w:tblHeader/>
          <w:jc w:val="center"/>
        </w:trPr>
        <w:tc>
          <w:tcPr>
            <w:tcW w:w="1944" w:type="dxa"/>
            <w:shd w:val="clear" w:color="auto" w:fill="17365D"/>
            <w:tcMar>
              <w:top w:w="90" w:type="dxa"/>
              <w:left w:w="100" w:type="dxa"/>
              <w:bottom w:w="90" w:type="dxa"/>
              <w:right w:w="100" w:type="dxa"/>
            </w:tcMar>
            <w:vAlign w:val="center"/>
          </w:tcPr>
          <w:p w14:paraId="620436A9" w14:textId="77777777" w:rsidR="00784701" w:rsidRDefault="00ED1A28">
            <w:pPr>
              <w:jc w:val="center"/>
              <w:rPr>
                <w:rFonts w:hint="eastAsia"/>
              </w:rPr>
            </w:pPr>
            <w:r>
              <w:rPr>
                <w:b/>
                <w:color w:val="FFFFFF"/>
                <w:sz w:val="19"/>
              </w:rPr>
              <w:t>Resolution Class</w:t>
            </w:r>
          </w:p>
        </w:tc>
        <w:tc>
          <w:tcPr>
            <w:tcW w:w="3672" w:type="dxa"/>
            <w:shd w:val="clear" w:color="auto" w:fill="17365D"/>
            <w:tcMar>
              <w:top w:w="90" w:type="dxa"/>
              <w:left w:w="100" w:type="dxa"/>
              <w:bottom w:w="90" w:type="dxa"/>
              <w:right w:w="100" w:type="dxa"/>
            </w:tcMar>
            <w:vAlign w:val="center"/>
          </w:tcPr>
          <w:p w14:paraId="56B1CDC8" w14:textId="77777777" w:rsidR="00784701" w:rsidRDefault="00ED1A28">
            <w:pPr>
              <w:jc w:val="center"/>
              <w:rPr>
                <w:rFonts w:hint="eastAsia"/>
              </w:rPr>
            </w:pPr>
            <w:r>
              <w:rPr>
                <w:b/>
                <w:color w:val="FFFFFF"/>
                <w:sz w:val="19"/>
              </w:rPr>
              <w:t>Typical Purpose</w:t>
            </w:r>
          </w:p>
        </w:tc>
        <w:tc>
          <w:tcPr>
            <w:tcW w:w="4752" w:type="dxa"/>
            <w:shd w:val="clear" w:color="auto" w:fill="17365D"/>
            <w:tcMar>
              <w:top w:w="90" w:type="dxa"/>
              <w:left w:w="100" w:type="dxa"/>
              <w:bottom w:w="90" w:type="dxa"/>
              <w:right w:w="100" w:type="dxa"/>
            </w:tcMar>
            <w:vAlign w:val="center"/>
          </w:tcPr>
          <w:p w14:paraId="7E304A11" w14:textId="77777777" w:rsidR="00784701" w:rsidRDefault="00ED1A28">
            <w:pPr>
              <w:jc w:val="center"/>
              <w:rPr>
                <w:rFonts w:hint="eastAsia"/>
              </w:rPr>
            </w:pPr>
            <w:r>
              <w:rPr>
                <w:b/>
                <w:color w:val="FFFFFF"/>
                <w:sz w:val="19"/>
              </w:rPr>
              <w:t>Design Character</w:t>
            </w:r>
          </w:p>
        </w:tc>
      </w:tr>
      <w:tr w:rsidR="00784701" w14:paraId="5A8A76A2" w14:textId="77777777">
        <w:trPr>
          <w:jc w:val="center"/>
        </w:trPr>
        <w:tc>
          <w:tcPr>
            <w:tcW w:w="1944" w:type="dxa"/>
            <w:tcMar>
              <w:top w:w="90" w:type="dxa"/>
              <w:left w:w="100" w:type="dxa"/>
              <w:bottom w:w="90" w:type="dxa"/>
              <w:right w:w="100" w:type="dxa"/>
            </w:tcMar>
            <w:vAlign w:val="center"/>
          </w:tcPr>
          <w:p w14:paraId="3103BABE" w14:textId="77777777" w:rsidR="00784701" w:rsidRDefault="00ED1A28">
            <w:pPr>
              <w:jc w:val="center"/>
              <w:rPr>
                <w:rFonts w:hint="eastAsia"/>
              </w:rPr>
            </w:pPr>
            <w:r>
              <w:rPr>
                <w:sz w:val="18"/>
              </w:rPr>
              <w:t>Operational</w:t>
            </w:r>
          </w:p>
        </w:tc>
        <w:tc>
          <w:tcPr>
            <w:tcW w:w="3672" w:type="dxa"/>
            <w:tcMar>
              <w:top w:w="90" w:type="dxa"/>
              <w:left w:w="100" w:type="dxa"/>
              <w:bottom w:w="90" w:type="dxa"/>
              <w:right w:w="100" w:type="dxa"/>
            </w:tcMar>
            <w:vAlign w:val="center"/>
          </w:tcPr>
          <w:p w14:paraId="771FD918" w14:textId="77777777" w:rsidR="00784701" w:rsidRDefault="00ED1A28">
            <w:pPr>
              <w:rPr>
                <w:rFonts w:hint="eastAsia"/>
              </w:rPr>
            </w:pPr>
            <w:r>
              <w:rPr>
                <w:sz w:val="18"/>
              </w:rPr>
              <w:t>Routine records and actions</w:t>
            </w:r>
          </w:p>
        </w:tc>
        <w:tc>
          <w:tcPr>
            <w:tcW w:w="4752" w:type="dxa"/>
            <w:tcMar>
              <w:top w:w="90" w:type="dxa"/>
              <w:left w:w="100" w:type="dxa"/>
              <w:bottom w:w="90" w:type="dxa"/>
              <w:right w:w="100" w:type="dxa"/>
            </w:tcMar>
            <w:vAlign w:val="center"/>
          </w:tcPr>
          <w:p w14:paraId="1BD87844" w14:textId="77777777" w:rsidR="00784701" w:rsidRDefault="00ED1A28">
            <w:pPr>
              <w:rPr>
                <w:rFonts w:hint="eastAsia"/>
              </w:rPr>
            </w:pPr>
            <w:r>
              <w:rPr>
                <w:sz w:val="18"/>
              </w:rPr>
              <w:t>Compact; sufficient for common use; optimized for repeated storage and retrieval.</w:t>
            </w:r>
          </w:p>
        </w:tc>
      </w:tr>
      <w:tr w:rsidR="00784701" w14:paraId="459BF0F2" w14:textId="77777777">
        <w:trPr>
          <w:jc w:val="center"/>
        </w:trPr>
        <w:tc>
          <w:tcPr>
            <w:tcW w:w="1944" w:type="dxa"/>
            <w:shd w:val="clear" w:color="auto" w:fill="F8FAFC"/>
            <w:tcMar>
              <w:top w:w="90" w:type="dxa"/>
              <w:left w:w="100" w:type="dxa"/>
              <w:bottom w:w="90" w:type="dxa"/>
              <w:right w:w="100" w:type="dxa"/>
            </w:tcMar>
            <w:vAlign w:val="center"/>
          </w:tcPr>
          <w:p w14:paraId="0CF60BF5" w14:textId="77777777" w:rsidR="00784701" w:rsidRDefault="00ED1A28">
            <w:pPr>
              <w:jc w:val="center"/>
              <w:rPr>
                <w:rFonts w:hint="eastAsia"/>
              </w:rPr>
            </w:pPr>
            <w:r>
              <w:rPr>
                <w:sz w:val="18"/>
              </w:rPr>
              <w:t>Scientific</w:t>
            </w:r>
          </w:p>
        </w:tc>
        <w:tc>
          <w:tcPr>
            <w:tcW w:w="3672" w:type="dxa"/>
            <w:shd w:val="clear" w:color="auto" w:fill="F8FAFC"/>
            <w:tcMar>
              <w:top w:w="90" w:type="dxa"/>
              <w:left w:w="100" w:type="dxa"/>
              <w:bottom w:w="90" w:type="dxa"/>
              <w:right w:w="100" w:type="dxa"/>
            </w:tcMar>
            <w:vAlign w:val="center"/>
          </w:tcPr>
          <w:p w14:paraId="56356715" w14:textId="77777777" w:rsidR="00784701" w:rsidRDefault="00ED1A28">
            <w:pPr>
              <w:rPr>
                <w:rFonts w:hint="eastAsia"/>
              </w:rPr>
            </w:pPr>
            <w:r>
              <w:rPr>
                <w:sz w:val="18"/>
              </w:rPr>
              <w:t>Higher measurement precision or additional controlled variables</w:t>
            </w:r>
          </w:p>
        </w:tc>
        <w:tc>
          <w:tcPr>
            <w:tcW w:w="4752" w:type="dxa"/>
            <w:shd w:val="clear" w:color="auto" w:fill="F8FAFC"/>
            <w:tcMar>
              <w:top w:w="90" w:type="dxa"/>
              <w:left w:w="100" w:type="dxa"/>
              <w:bottom w:w="90" w:type="dxa"/>
              <w:right w:w="100" w:type="dxa"/>
            </w:tcMar>
            <w:vAlign w:val="center"/>
          </w:tcPr>
          <w:p w14:paraId="59C0697E" w14:textId="77777777" w:rsidR="00784701" w:rsidRDefault="00ED1A28">
            <w:pPr>
              <w:rPr>
                <w:rFonts w:hint="eastAsia"/>
              </w:rPr>
            </w:pPr>
            <w:r>
              <w:rPr>
                <w:sz w:val="18"/>
              </w:rPr>
              <w:t>Adds detail needed for experiments, instrumentation, or reproducibility.</w:t>
            </w:r>
          </w:p>
        </w:tc>
      </w:tr>
      <w:tr w:rsidR="00784701" w14:paraId="6B0D4050" w14:textId="77777777">
        <w:trPr>
          <w:jc w:val="center"/>
        </w:trPr>
        <w:tc>
          <w:tcPr>
            <w:tcW w:w="1944" w:type="dxa"/>
            <w:tcMar>
              <w:top w:w="90" w:type="dxa"/>
              <w:left w:w="100" w:type="dxa"/>
              <w:bottom w:w="90" w:type="dxa"/>
              <w:right w:w="100" w:type="dxa"/>
            </w:tcMar>
            <w:vAlign w:val="center"/>
          </w:tcPr>
          <w:p w14:paraId="0A775C84" w14:textId="77777777" w:rsidR="00784701" w:rsidRDefault="00ED1A28">
            <w:pPr>
              <w:jc w:val="center"/>
              <w:rPr>
                <w:rFonts w:hint="eastAsia"/>
              </w:rPr>
            </w:pPr>
            <w:r>
              <w:rPr>
                <w:sz w:val="18"/>
              </w:rPr>
              <w:t>Specialist</w:t>
            </w:r>
          </w:p>
        </w:tc>
        <w:tc>
          <w:tcPr>
            <w:tcW w:w="3672" w:type="dxa"/>
            <w:tcMar>
              <w:top w:w="90" w:type="dxa"/>
              <w:left w:w="100" w:type="dxa"/>
              <w:bottom w:w="90" w:type="dxa"/>
              <w:right w:w="100" w:type="dxa"/>
            </w:tcMar>
            <w:vAlign w:val="center"/>
          </w:tcPr>
          <w:p w14:paraId="2024FD4F" w14:textId="77777777" w:rsidR="00784701" w:rsidRDefault="00ED1A28">
            <w:pPr>
              <w:rPr>
                <w:rFonts w:hint="eastAsia"/>
              </w:rPr>
            </w:pPr>
            <w:r>
              <w:rPr>
                <w:sz w:val="18"/>
              </w:rPr>
              <w:t>Domain-specific professional or technical detail</w:t>
            </w:r>
          </w:p>
        </w:tc>
        <w:tc>
          <w:tcPr>
            <w:tcW w:w="4752" w:type="dxa"/>
            <w:tcMar>
              <w:top w:w="90" w:type="dxa"/>
              <w:left w:w="100" w:type="dxa"/>
              <w:bottom w:w="90" w:type="dxa"/>
              <w:right w:w="100" w:type="dxa"/>
            </w:tcMar>
            <w:vAlign w:val="center"/>
          </w:tcPr>
          <w:p w14:paraId="461692DF" w14:textId="77777777" w:rsidR="00784701" w:rsidRDefault="00ED1A28">
            <w:pPr>
              <w:rPr>
                <w:rFonts w:hint="eastAsia"/>
              </w:rPr>
            </w:pPr>
            <w:r>
              <w:rPr>
                <w:sz w:val="18"/>
              </w:rPr>
              <w:t>Adds semantics meaningful to a specialist discipline.</w:t>
            </w:r>
          </w:p>
        </w:tc>
      </w:tr>
      <w:tr w:rsidR="00784701" w14:paraId="134B0EF7" w14:textId="77777777">
        <w:trPr>
          <w:jc w:val="center"/>
        </w:trPr>
        <w:tc>
          <w:tcPr>
            <w:tcW w:w="1944" w:type="dxa"/>
            <w:shd w:val="clear" w:color="auto" w:fill="F8FAFC"/>
            <w:tcMar>
              <w:top w:w="90" w:type="dxa"/>
              <w:left w:w="100" w:type="dxa"/>
              <w:bottom w:w="90" w:type="dxa"/>
              <w:right w:w="100" w:type="dxa"/>
            </w:tcMar>
            <w:vAlign w:val="center"/>
          </w:tcPr>
          <w:p w14:paraId="76692BF4" w14:textId="77777777" w:rsidR="00784701" w:rsidRDefault="00ED1A28">
            <w:pPr>
              <w:jc w:val="center"/>
              <w:rPr>
                <w:rFonts w:hint="eastAsia"/>
              </w:rPr>
            </w:pPr>
            <w:r>
              <w:rPr>
                <w:sz w:val="18"/>
              </w:rPr>
              <w:t>Research / Extreme</w:t>
            </w:r>
          </w:p>
        </w:tc>
        <w:tc>
          <w:tcPr>
            <w:tcW w:w="3672" w:type="dxa"/>
            <w:shd w:val="clear" w:color="auto" w:fill="F8FAFC"/>
            <w:tcMar>
              <w:top w:w="90" w:type="dxa"/>
              <w:left w:w="100" w:type="dxa"/>
              <w:bottom w:w="90" w:type="dxa"/>
              <w:right w:w="100" w:type="dxa"/>
            </w:tcMar>
            <w:vAlign w:val="center"/>
          </w:tcPr>
          <w:p w14:paraId="3BC82940" w14:textId="77777777" w:rsidR="00784701" w:rsidRDefault="00ED1A28">
            <w:pPr>
              <w:rPr>
                <w:rFonts w:hint="eastAsia"/>
              </w:rPr>
            </w:pPr>
            <w:r>
              <w:rPr>
                <w:sz w:val="18"/>
              </w:rPr>
              <w:t>Rare, experimental, or emerging high-resolution requirements</w:t>
            </w:r>
          </w:p>
        </w:tc>
        <w:tc>
          <w:tcPr>
            <w:tcW w:w="4752" w:type="dxa"/>
            <w:shd w:val="clear" w:color="auto" w:fill="F8FAFC"/>
            <w:tcMar>
              <w:top w:w="90" w:type="dxa"/>
              <w:left w:w="100" w:type="dxa"/>
              <w:bottom w:w="90" w:type="dxa"/>
              <w:right w:w="100" w:type="dxa"/>
            </w:tcMar>
            <w:vAlign w:val="center"/>
          </w:tcPr>
          <w:p w14:paraId="08E34E9A" w14:textId="77777777" w:rsidR="00784701" w:rsidRDefault="00ED1A28">
            <w:pPr>
              <w:rPr>
                <w:rFonts w:hint="eastAsia"/>
              </w:rPr>
            </w:pPr>
            <w:r>
              <w:rPr>
                <w:sz w:val="18"/>
              </w:rPr>
              <w:t>May extend further when justified; should not burden lower-resolution workflows.</w:t>
            </w:r>
          </w:p>
        </w:tc>
      </w:tr>
    </w:tbl>
    <w:p w14:paraId="4189C2DE" w14:textId="77777777" w:rsidR="00784701" w:rsidRDefault="00784701">
      <w:pPr>
        <w:spacing w:after="40"/>
        <w:rPr>
          <w:rFonts w:hint="eastAsia"/>
        </w:rPr>
      </w:pPr>
    </w:p>
    <w:p w14:paraId="5D058DC5" w14:textId="77777777" w:rsidR="00784701" w:rsidRDefault="00ED1A28">
      <w:pPr>
        <w:pStyle w:val="Heading2"/>
        <w:spacing w:before="160" w:after="100"/>
      </w:pPr>
      <w:r>
        <w:t>5.3 Resolution Is Not a Quality Ranking</w:t>
      </w:r>
    </w:p>
    <w:p w14:paraId="391CB794" w14:textId="77777777" w:rsidR="00784701" w:rsidRDefault="00ED1A28">
      <w:pPr>
        <w:pStyle w:val="BodyText"/>
        <w:spacing w:after="100" w:line="259" w:lineRule="auto"/>
        <w:rPr>
          <w:rFonts w:hint="eastAsia"/>
        </w:rPr>
      </w:pPr>
      <w:r>
        <w:t>Higher resolution is not inherently more correct. A lower-resolution Kernel can be the correct contract for a task whose relevant variables are already represented. Adding unused detail increases storage, validation, and cognitive cost without increasing operational validity.</w:t>
      </w:r>
    </w:p>
    <w:p w14:paraId="1DBB69A8" w14:textId="77777777" w:rsidR="00784701" w:rsidRDefault="00ED1A28">
      <w:pPr>
        <w:pStyle w:val="Heading2"/>
        <w:spacing w:before="160" w:after="100"/>
      </w:pPr>
      <w:r>
        <w:t>5.4 Guidance May Be Deeper Than the Record</w:t>
      </w:r>
    </w:p>
    <w:p w14:paraId="39D1110C" w14:textId="77777777" w:rsidR="00784701" w:rsidRDefault="00ED1A28">
      <w:pPr>
        <w:pStyle w:val="BodyText"/>
        <w:spacing w:after="100" w:line="259" w:lineRule="auto"/>
        <w:rPr>
          <w:rFonts w:hint="eastAsia"/>
        </w:rPr>
      </w:pPr>
      <w:r>
        <w:t>A shallow operational record may be generated or interpreted using deeper Models. For example, a training program may be informed by BODY-256 or MUSCLE-512 knowledge, while a completed workout event remains FIT-128 × TIME-128 because the cellular details are not observations made during that workout. The deeper Kernels remain Guidance, not duplicated event state.</w:t>
      </w:r>
    </w:p>
    <w:p w14:paraId="2487C9FC" w14:textId="77777777" w:rsidR="00784701" w:rsidRDefault="00ED1A28">
      <w:pPr>
        <w:pStyle w:val="Heading1"/>
        <w:spacing w:before="240" w:after="100"/>
      </w:pPr>
      <w:r>
        <w:t>6. Bitlinking Across Increasing Resolution</w:t>
      </w:r>
    </w:p>
    <w:p w14:paraId="085C8D1C" w14:textId="77777777" w:rsidR="00784701" w:rsidRDefault="00ED1A28">
      <w:pPr>
        <w:pStyle w:val="Heading2"/>
        <w:spacing w:before="160" w:after="100"/>
      </w:pPr>
      <w:r>
        <w:t>6.1 Inherited Bitlinks</w:t>
      </w:r>
    </w:p>
    <w:p w14:paraId="619E265D" w14:textId="77777777" w:rsidR="00784701" w:rsidRDefault="00ED1A28">
      <w:pPr>
        <w:pStyle w:val="BodyText"/>
        <w:spacing w:after="100" w:line="259" w:lineRule="auto"/>
        <w:rPr>
          <w:rFonts w:hint="eastAsia"/>
        </w:rPr>
      </w:pPr>
      <w:r>
        <w:t>Because inherited bit addresses do not move, Bitlinks registered against the lower-resolution prefix remain valid in the larger word. A Bitlink to BODY-128:B071 can resolve against BODY-128, BODY-256, or a compatible MUSCLE-512 instance because B071 retains the same semantic contract in all three.</w:t>
      </w:r>
    </w:p>
    <w:tbl>
      <w:tblPr>
        <w:tblW w:w="0" w:type="auto"/>
        <w:jc w:val="center"/>
        <w:tblLook w:val="04A0" w:firstRow="1" w:lastRow="0" w:firstColumn="1" w:lastColumn="0" w:noHBand="0" w:noVBand="1"/>
      </w:tblPr>
      <w:tblGrid>
        <w:gridCol w:w="9936"/>
      </w:tblGrid>
      <w:tr w:rsidR="00784701" w14:paraId="24BBC9BB" w14:textId="77777777">
        <w:trPr>
          <w:cantSplit/>
          <w:jc w:val="center"/>
        </w:trPr>
        <w:tc>
          <w:tcPr>
            <w:tcW w:w="9936" w:type="dxa"/>
            <w:shd w:val="clear" w:color="auto" w:fill="F7F9FB"/>
            <w:tcMar>
              <w:top w:w="100" w:type="dxa"/>
              <w:left w:w="140" w:type="dxa"/>
              <w:bottom w:w="100" w:type="dxa"/>
              <w:right w:w="140" w:type="dxa"/>
            </w:tcMar>
          </w:tcPr>
          <w:p w14:paraId="0B32AAA9" w14:textId="77777777" w:rsidR="00784701" w:rsidRDefault="00ED1A28">
            <w:pPr>
              <w:rPr>
                <w:rFonts w:hint="eastAsia"/>
              </w:rPr>
            </w:pPr>
            <w:r>
              <w:rPr>
                <w:b/>
                <w:color w:val="0F6B78"/>
                <w:sz w:val="19"/>
              </w:rPr>
              <w:t>Inherited address resolution</w:t>
            </w:r>
          </w:p>
          <w:p w14:paraId="31C9C5F3" w14:textId="77777777" w:rsidR="00784701" w:rsidRDefault="00ED1A28">
            <w:pPr>
              <w:spacing w:after="0"/>
              <w:rPr>
                <w:rFonts w:hint="eastAsia"/>
              </w:rPr>
            </w:pPr>
            <w:r>
              <w:rPr>
                <w:rFonts w:ascii="Consolas" w:hAnsi="Consolas"/>
                <w:sz w:val="18"/>
              </w:rPr>
              <w:t>Bitlink source: BODY-128:v1:B071</w:t>
            </w:r>
            <w:r>
              <w:br/>
            </w:r>
            <w:r>
              <w:br/>
            </w:r>
            <w:r>
              <w:rPr>
                <w:rFonts w:ascii="Consolas" w:hAnsi="Consolas"/>
                <w:sz w:val="18"/>
              </w:rPr>
              <w:t>Valid source instances:</w:t>
            </w:r>
            <w:r>
              <w:br/>
            </w:r>
            <w:r>
              <w:rPr>
                <w:rFonts w:ascii="Consolas" w:hAnsi="Consolas"/>
                <w:sz w:val="18"/>
              </w:rPr>
              <w:t>- BODY-128:v1        → reads B071</w:t>
            </w:r>
            <w:r>
              <w:br/>
            </w:r>
            <w:r>
              <w:rPr>
                <w:rFonts w:ascii="Consolas" w:hAnsi="Consolas"/>
                <w:sz w:val="18"/>
              </w:rPr>
              <w:t>- BODY-256:v1        → reads inherited B071</w:t>
            </w:r>
            <w:r>
              <w:br/>
            </w:r>
            <w:r>
              <w:rPr>
                <w:rFonts w:ascii="Consolas" w:hAnsi="Consolas"/>
                <w:sz w:val="18"/>
              </w:rPr>
              <w:t>- MUSCLE-512:v1      → reads inherited B071</w:t>
            </w:r>
          </w:p>
        </w:tc>
      </w:tr>
    </w:tbl>
    <w:p w14:paraId="5336C53A" w14:textId="77777777" w:rsidR="00784701" w:rsidRDefault="00784701">
      <w:pPr>
        <w:spacing w:after="20"/>
        <w:rPr>
          <w:rFonts w:hint="eastAsia"/>
        </w:rPr>
      </w:pPr>
    </w:p>
    <w:p w14:paraId="7739280B" w14:textId="77777777" w:rsidR="00784701" w:rsidRDefault="00ED1A28">
      <w:pPr>
        <w:pStyle w:val="Heading2"/>
        <w:spacing w:before="160" w:after="100"/>
      </w:pPr>
      <w:r>
        <w:t>6.2 Resolution-Specific Bitlinks</w:t>
      </w:r>
    </w:p>
    <w:p w14:paraId="66C2365D" w14:textId="77777777" w:rsidR="00784701" w:rsidRDefault="00ED1A28">
      <w:pPr>
        <w:pStyle w:val="BodyText"/>
        <w:spacing w:after="100" w:line="259" w:lineRule="auto"/>
        <w:rPr>
          <w:rFonts w:hint="eastAsia"/>
        </w:rPr>
      </w:pPr>
      <w:r>
        <w:t>Bitlinks introduced in an extension segment are visible only when the source instance includes that resolution and the runtime understands the extension contract. A BODY-128-only consumer cannot evaluate a Bitlink sourced from BODY-256:B190 because B190 does not exist in BODY-128.</w:t>
      </w:r>
    </w:p>
    <w:p w14:paraId="43AC7E1A" w14:textId="77777777" w:rsidR="00784701" w:rsidRDefault="00ED1A28">
      <w:pPr>
        <w:pStyle w:val="Heading2"/>
        <w:spacing w:before="160" w:after="100"/>
      </w:pPr>
      <w:r>
        <w:t>6.3 Bitlink Resolution Policy</w:t>
      </w:r>
    </w:p>
    <w:tbl>
      <w:tblPr>
        <w:tblStyle w:val="TableGrid"/>
        <w:tblW w:w="0" w:type="auto"/>
        <w:jc w:val="center"/>
        <w:tblLayout w:type="fixed"/>
        <w:tblLook w:val="04A0" w:firstRow="1" w:lastRow="0" w:firstColumn="1" w:lastColumn="0" w:noHBand="0" w:noVBand="1"/>
      </w:tblPr>
      <w:tblGrid>
        <w:gridCol w:w="2304"/>
        <w:gridCol w:w="8064"/>
      </w:tblGrid>
      <w:tr w:rsidR="00784701" w14:paraId="1FCE3E8F" w14:textId="77777777">
        <w:trPr>
          <w:tblHeader/>
          <w:jc w:val="center"/>
        </w:trPr>
        <w:tc>
          <w:tcPr>
            <w:tcW w:w="2304" w:type="dxa"/>
            <w:shd w:val="clear" w:color="auto" w:fill="17365D"/>
            <w:tcMar>
              <w:top w:w="90" w:type="dxa"/>
              <w:left w:w="100" w:type="dxa"/>
              <w:bottom w:w="90" w:type="dxa"/>
              <w:right w:w="100" w:type="dxa"/>
            </w:tcMar>
            <w:vAlign w:val="center"/>
          </w:tcPr>
          <w:p w14:paraId="4B6E9000" w14:textId="77777777" w:rsidR="00784701" w:rsidRDefault="00ED1A28">
            <w:pPr>
              <w:jc w:val="center"/>
              <w:rPr>
                <w:rFonts w:hint="eastAsia"/>
              </w:rPr>
            </w:pPr>
            <w:r>
              <w:rPr>
                <w:b/>
                <w:color w:val="FFFFFF"/>
                <w:sz w:val="19"/>
              </w:rPr>
              <w:t>Policy</w:t>
            </w:r>
          </w:p>
        </w:tc>
        <w:tc>
          <w:tcPr>
            <w:tcW w:w="8064" w:type="dxa"/>
            <w:shd w:val="clear" w:color="auto" w:fill="17365D"/>
            <w:tcMar>
              <w:top w:w="90" w:type="dxa"/>
              <w:left w:w="100" w:type="dxa"/>
              <w:bottom w:w="90" w:type="dxa"/>
              <w:right w:w="100" w:type="dxa"/>
            </w:tcMar>
            <w:vAlign w:val="center"/>
          </w:tcPr>
          <w:p w14:paraId="6B9720B2" w14:textId="77777777" w:rsidR="00784701" w:rsidRDefault="00ED1A28">
            <w:pPr>
              <w:jc w:val="center"/>
              <w:rPr>
                <w:rFonts w:hint="eastAsia"/>
              </w:rPr>
            </w:pPr>
            <w:r>
              <w:rPr>
                <w:b/>
                <w:color w:val="FFFFFF"/>
                <w:sz w:val="19"/>
              </w:rPr>
              <w:t>Behavior</w:t>
            </w:r>
          </w:p>
        </w:tc>
      </w:tr>
      <w:tr w:rsidR="00784701" w14:paraId="6E4C5535" w14:textId="77777777">
        <w:trPr>
          <w:jc w:val="center"/>
        </w:trPr>
        <w:tc>
          <w:tcPr>
            <w:tcW w:w="2304" w:type="dxa"/>
            <w:tcMar>
              <w:top w:w="90" w:type="dxa"/>
              <w:left w:w="100" w:type="dxa"/>
              <w:bottom w:w="90" w:type="dxa"/>
              <w:right w:w="100" w:type="dxa"/>
            </w:tcMar>
            <w:vAlign w:val="center"/>
          </w:tcPr>
          <w:p w14:paraId="4642AB05" w14:textId="77777777" w:rsidR="00784701" w:rsidRDefault="00ED1A28">
            <w:pPr>
              <w:jc w:val="center"/>
              <w:rPr>
                <w:rFonts w:hint="eastAsia"/>
              </w:rPr>
            </w:pPr>
            <w:r>
              <w:rPr>
                <w:sz w:val="18"/>
              </w:rPr>
              <w:t>Prefix-safe</w:t>
            </w:r>
          </w:p>
        </w:tc>
        <w:tc>
          <w:tcPr>
            <w:tcW w:w="8064" w:type="dxa"/>
            <w:tcMar>
              <w:top w:w="90" w:type="dxa"/>
              <w:left w:w="100" w:type="dxa"/>
              <w:bottom w:w="90" w:type="dxa"/>
              <w:right w:w="100" w:type="dxa"/>
            </w:tcMar>
            <w:vAlign w:val="center"/>
          </w:tcPr>
          <w:p w14:paraId="06A7CC11" w14:textId="77777777" w:rsidR="00784701" w:rsidRDefault="00ED1A28">
            <w:pPr>
              <w:rPr>
                <w:rFonts w:hint="eastAsia"/>
              </w:rPr>
            </w:pPr>
            <w:r>
              <w:rPr>
                <w:sz w:val="18"/>
              </w:rPr>
              <w:t>Resolve all Bitlinks whose source addresses fall within the supported prefix.</w:t>
            </w:r>
          </w:p>
        </w:tc>
      </w:tr>
      <w:tr w:rsidR="00784701" w14:paraId="68478C6C" w14:textId="77777777">
        <w:trPr>
          <w:jc w:val="center"/>
        </w:trPr>
        <w:tc>
          <w:tcPr>
            <w:tcW w:w="2304" w:type="dxa"/>
            <w:shd w:val="clear" w:color="auto" w:fill="F8FAFC"/>
            <w:tcMar>
              <w:top w:w="90" w:type="dxa"/>
              <w:left w:w="100" w:type="dxa"/>
              <w:bottom w:w="90" w:type="dxa"/>
              <w:right w:w="100" w:type="dxa"/>
            </w:tcMar>
            <w:vAlign w:val="center"/>
          </w:tcPr>
          <w:p w14:paraId="016DB277" w14:textId="77777777" w:rsidR="00784701" w:rsidRDefault="00ED1A28">
            <w:pPr>
              <w:jc w:val="center"/>
              <w:rPr>
                <w:rFonts w:hint="eastAsia"/>
              </w:rPr>
            </w:pPr>
            <w:r>
              <w:rPr>
                <w:sz w:val="18"/>
              </w:rPr>
              <w:t>Extension-aware</w:t>
            </w:r>
          </w:p>
        </w:tc>
        <w:tc>
          <w:tcPr>
            <w:tcW w:w="8064" w:type="dxa"/>
            <w:shd w:val="clear" w:color="auto" w:fill="F8FAFC"/>
            <w:tcMar>
              <w:top w:w="90" w:type="dxa"/>
              <w:left w:w="100" w:type="dxa"/>
              <w:bottom w:w="90" w:type="dxa"/>
              <w:right w:w="100" w:type="dxa"/>
            </w:tcMar>
            <w:vAlign w:val="center"/>
          </w:tcPr>
          <w:p w14:paraId="68643B65" w14:textId="77777777" w:rsidR="00784701" w:rsidRDefault="00ED1A28">
            <w:pPr>
              <w:rPr>
                <w:rFonts w:hint="eastAsia"/>
              </w:rPr>
            </w:pPr>
            <w:r>
              <w:rPr>
                <w:sz w:val="18"/>
              </w:rPr>
              <w:t>Resolve prefix Bitlinks plus Bitlinks defined in all supported extension segments.</w:t>
            </w:r>
          </w:p>
        </w:tc>
      </w:tr>
      <w:tr w:rsidR="00784701" w14:paraId="3C9F678B" w14:textId="77777777">
        <w:trPr>
          <w:jc w:val="center"/>
        </w:trPr>
        <w:tc>
          <w:tcPr>
            <w:tcW w:w="2304" w:type="dxa"/>
            <w:tcMar>
              <w:top w:w="90" w:type="dxa"/>
              <w:left w:w="100" w:type="dxa"/>
              <w:bottom w:w="90" w:type="dxa"/>
              <w:right w:w="100" w:type="dxa"/>
            </w:tcMar>
            <w:vAlign w:val="center"/>
          </w:tcPr>
          <w:p w14:paraId="1BE304C5" w14:textId="77777777" w:rsidR="00784701" w:rsidRDefault="00ED1A28">
            <w:pPr>
              <w:jc w:val="center"/>
              <w:rPr>
                <w:rFonts w:hint="eastAsia"/>
              </w:rPr>
            </w:pPr>
            <w:r>
              <w:rPr>
                <w:sz w:val="18"/>
              </w:rPr>
              <w:t>Fail-closed</w:t>
            </w:r>
          </w:p>
        </w:tc>
        <w:tc>
          <w:tcPr>
            <w:tcW w:w="8064" w:type="dxa"/>
            <w:tcMar>
              <w:top w:w="90" w:type="dxa"/>
              <w:left w:w="100" w:type="dxa"/>
              <w:bottom w:w="90" w:type="dxa"/>
              <w:right w:w="100" w:type="dxa"/>
            </w:tcMar>
            <w:vAlign w:val="center"/>
          </w:tcPr>
          <w:p w14:paraId="6F3AC4DE" w14:textId="77777777" w:rsidR="00784701" w:rsidRDefault="00ED1A28">
            <w:pPr>
              <w:rPr>
                <w:rFonts w:hint="eastAsia"/>
              </w:rPr>
            </w:pPr>
            <w:r>
              <w:rPr>
                <w:sz w:val="18"/>
              </w:rPr>
              <w:t>If a required Bitlink references an unsupported or unknown segment, reject or defer rather than infer.</w:t>
            </w:r>
          </w:p>
        </w:tc>
      </w:tr>
      <w:tr w:rsidR="00784701" w14:paraId="75868904" w14:textId="77777777">
        <w:trPr>
          <w:jc w:val="center"/>
        </w:trPr>
        <w:tc>
          <w:tcPr>
            <w:tcW w:w="2304" w:type="dxa"/>
            <w:shd w:val="clear" w:color="auto" w:fill="F8FAFC"/>
            <w:tcMar>
              <w:top w:w="90" w:type="dxa"/>
              <w:left w:w="100" w:type="dxa"/>
              <w:bottom w:w="90" w:type="dxa"/>
              <w:right w:w="100" w:type="dxa"/>
            </w:tcMar>
            <w:vAlign w:val="center"/>
          </w:tcPr>
          <w:p w14:paraId="4A5412BE" w14:textId="77777777" w:rsidR="00784701" w:rsidRDefault="00ED1A28">
            <w:pPr>
              <w:rPr>
                <w:rFonts w:hint="eastAsia"/>
              </w:rPr>
            </w:pPr>
            <w:r>
              <w:rPr>
                <w:sz w:val="18"/>
              </w:rPr>
              <w:t>Interpretive pass-through</w:t>
            </w:r>
          </w:p>
        </w:tc>
        <w:tc>
          <w:tcPr>
            <w:tcW w:w="8064" w:type="dxa"/>
            <w:shd w:val="clear" w:color="auto" w:fill="F8FAFC"/>
            <w:tcMar>
              <w:top w:w="90" w:type="dxa"/>
              <w:left w:w="100" w:type="dxa"/>
              <w:bottom w:w="90" w:type="dxa"/>
              <w:right w:w="100" w:type="dxa"/>
            </w:tcMar>
            <w:vAlign w:val="center"/>
          </w:tcPr>
          <w:p w14:paraId="165FD54C" w14:textId="77777777" w:rsidR="00784701" w:rsidRDefault="00ED1A28">
            <w:pPr>
              <w:rPr>
                <w:rFonts w:hint="eastAsia"/>
              </w:rPr>
            </w:pPr>
            <w:r>
              <w:rPr>
                <w:sz w:val="18"/>
              </w:rPr>
              <w:t>A lower-resolution consumer may preserve an opaque higher-resolution tail for transfer without interpreting it, if storage and trust policy allow.</w:t>
            </w:r>
          </w:p>
        </w:tc>
      </w:tr>
    </w:tbl>
    <w:p w14:paraId="45435870" w14:textId="77777777" w:rsidR="00784701" w:rsidRDefault="00784701">
      <w:pPr>
        <w:spacing w:after="40"/>
        <w:rPr>
          <w:rFonts w:hint="eastAsia"/>
        </w:rPr>
      </w:pPr>
    </w:p>
    <w:p w14:paraId="43A48F70" w14:textId="77777777" w:rsidR="00784701" w:rsidRDefault="00ED1A28">
      <w:pPr>
        <w:pStyle w:val="Heading2"/>
        <w:spacing w:before="160" w:after="100"/>
      </w:pPr>
      <w:r>
        <w:t>6.4 Typed Semantic Deltas Across Segments</w:t>
      </w:r>
    </w:p>
    <w:p w14:paraId="1B1F91DC" w14:textId="77777777" w:rsidR="00784701" w:rsidRDefault="00ED1A28">
      <w:pPr>
        <w:pStyle w:val="BodyText"/>
        <w:spacing w:after="100" w:line="259" w:lineRule="auto"/>
        <w:rPr>
          <w:rFonts w:hint="eastAsia"/>
        </w:rPr>
      </w:pPr>
      <w:r>
        <w:t>Delta processing SHOULD be segment-aware. A commit to a 512-bit word may change only inherited prefix bits, only extension bits, or both. The event engine can therefore calculate a changed mask for the complete word and then route typed deltas through the contracts associated with the affected ranges.</w:t>
      </w:r>
    </w:p>
    <w:tbl>
      <w:tblPr>
        <w:tblW w:w="0" w:type="auto"/>
        <w:jc w:val="center"/>
        <w:tblLook w:val="04A0" w:firstRow="1" w:lastRow="0" w:firstColumn="1" w:lastColumn="0" w:noHBand="0" w:noVBand="1"/>
      </w:tblPr>
      <w:tblGrid>
        <w:gridCol w:w="9936"/>
      </w:tblGrid>
      <w:tr w:rsidR="00784701" w14:paraId="7B46454C" w14:textId="77777777">
        <w:trPr>
          <w:cantSplit/>
          <w:jc w:val="center"/>
        </w:trPr>
        <w:tc>
          <w:tcPr>
            <w:tcW w:w="9936" w:type="dxa"/>
            <w:shd w:val="clear" w:color="auto" w:fill="F7F9FB"/>
            <w:tcMar>
              <w:top w:w="100" w:type="dxa"/>
              <w:left w:w="140" w:type="dxa"/>
              <w:bottom w:w="100" w:type="dxa"/>
              <w:right w:w="140" w:type="dxa"/>
            </w:tcMar>
          </w:tcPr>
          <w:p w14:paraId="252B540E" w14:textId="77777777" w:rsidR="00784701" w:rsidRDefault="00ED1A28">
            <w:pPr>
              <w:rPr>
                <w:rFonts w:hint="eastAsia"/>
              </w:rPr>
            </w:pPr>
            <w:r>
              <w:rPr>
                <w:b/>
                <w:color w:val="0F6B78"/>
                <w:sz w:val="19"/>
              </w:rPr>
              <w:t>Resolution-aware delta routing</w:t>
            </w:r>
          </w:p>
          <w:p w14:paraId="0A445A3B" w14:textId="77777777" w:rsidR="00784701" w:rsidRDefault="00ED1A28">
            <w:pPr>
              <w:spacing w:after="0"/>
              <w:rPr>
                <w:rFonts w:hint="eastAsia"/>
              </w:rPr>
            </w:pPr>
            <w:r>
              <w:rPr>
                <w:rFonts w:ascii="Consolas" w:hAnsi="Consolas"/>
                <w:sz w:val="18"/>
              </w:rPr>
              <w:t>changed = before XOR after</w:t>
            </w:r>
            <w:r>
              <w:br/>
            </w:r>
            <w:r>
              <w:br/>
            </w:r>
            <w:r>
              <w:rPr>
                <w:rFonts w:ascii="Consolas" w:hAnsi="Consolas"/>
                <w:sz w:val="18"/>
              </w:rPr>
              <w:t>if changed intersects B000–B127:</w:t>
            </w:r>
            <w:r>
              <w:br/>
            </w:r>
            <w:r>
              <w:rPr>
                <w:rFonts w:ascii="Consolas" w:hAnsi="Consolas"/>
                <w:sz w:val="18"/>
              </w:rPr>
              <w:t xml:space="preserve">    resolve BODY-128 delta contracts</w:t>
            </w:r>
            <w:r>
              <w:br/>
            </w:r>
            <w:r>
              <w:rPr>
                <w:rFonts w:ascii="Consolas" w:hAnsi="Consolas"/>
                <w:sz w:val="18"/>
              </w:rPr>
              <w:t>if changed intersects B128–B255:</w:t>
            </w:r>
            <w:r>
              <w:br/>
            </w:r>
            <w:r>
              <w:rPr>
                <w:rFonts w:ascii="Consolas" w:hAnsi="Consolas"/>
                <w:sz w:val="18"/>
              </w:rPr>
              <w:t xml:space="preserve">    resolve BODY-256 extension contracts</w:t>
            </w:r>
            <w:r>
              <w:br/>
            </w:r>
            <w:r>
              <w:rPr>
                <w:rFonts w:ascii="Consolas" w:hAnsi="Consolas"/>
                <w:sz w:val="18"/>
              </w:rPr>
              <w:t>if changed intersects B256–B511:</w:t>
            </w:r>
            <w:r>
              <w:br/>
            </w:r>
            <w:r>
              <w:rPr>
                <w:rFonts w:ascii="Consolas" w:hAnsi="Consolas"/>
                <w:sz w:val="18"/>
              </w:rPr>
              <w:t xml:space="preserve">    resolve MUSCLE-512 extension contracts</w:t>
            </w:r>
          </w:p>
        </w:tc>
      </w:tr>
    </w:tbl>
    <w:p w14:paraId="51DD79D5" w14:textId="77777777" w:rsidR="00784701" w:rsidRDefault="00784701">
      <w:pPr>
        <w:spacing w:after="20"/>
        <w:rPr>
          <w:rFonts w:hint="eastAsia"/>
        </w:rPr>
      </w:pPr>
    </w:p>
    <w:p w14:paraId="3897B892" w14:textId="77777777" w:rsidR="00784701" w:rsidRDefault="00ED1A28">
      <w:pPr>
        <w:pStyle w:val="Heading2"/>
        <w:spacing w:before="160" w:after="100"/>
      </w:pPr>
      <w:r>
        <w:t>6.5 Bit Groups and Scalars Remain Typed</w:t>
      </w:r>
    </w:p>
    <w:p w14:paraId="2F908ADD" w14:textId="77777777" w:rsidR="00784701" w:rsidRDefault="00ED1A28">
      <w:pPr>
        <w:pStyle w:val="BodyText"/>
        <w:spacing w:after="100" w:line="259" w:lineRule="auto"/>
        <w:rPr>
          <w:rFonts w:hint="eastAsia"/>
        </w:rPr>
      </w:pPr>
      <w:r>
        <w:t>Prefix invariance applies to complete field semantics, not only individual physical bits. If B090–B101 encode a scalar or group in K-128, the same boundaries, unit, basis, signedness, and interpretation MUST remain intact in all conforming extensions. A higher-resolution extension may add a new related scalar but may not repurpose the inherited field.</w:t>
      </w:r>
    </w:p>
    <w:p w14:paraId="572C013F" w14:textId="77777777" w:rsidR="00784701" w:rsidRDefault="00ED1A28">
      <w:pPr>
        <w:pStyle w:val="Heading2"/>
        <w:spacing w:before="160" w:after="100"/>
      </w:pPr>
      <w:r>
        <w:t>6.6 Cross-Kernel Translation vs. Prefix Inheritance</w:t>
      </w:r>
    </w:p>
    <w:p w14:paraId="4E38BA3C" w14:textId="77777777" w:rsidR="00784701" w:rsidRDefault="00ED1A28">
      <w:pPr>
        <w:pStyle w:val="BodyText"/>
        <w:spacing w:after="100" w:line="259" w:lineRule="auto"/>
        <w:rPr>
          <w:rFonts w:hint="eastAsia"/>
        </w:rPr>
      </w:pPr>
      <w:r>
        <w:t>Prefix inheritance is not a translation. It is literal semantic containment. Translation is required when two Kernels represent related meaning at different addresses or encodings. Implementations SHOULD therefore check prefix compatibility before invoking a translation manifest. If the desired target meaning already exists in the inherited prefix, no translation is necessary.</w:t>
      </w:r>
    </w:p>
    <w:p w14:paraId="714D5C4C" w14:textId="77777777" w:rsidR="00784701" w:rsidRDefault="00ED1A28">
      <w:pPr>
        <w:pStyle w:val="Heading2"/>
        <w:spacing w:before="160" w:after="100"/>
      </w:pPr>
      <w:r>
        <w:t>6.7 Bitlink Dependency Graph by Resolution</w:t>
      </w:r>
    </w:p>
    <w:p w14:paraId="3FDABAE8" w14:textId="77777777" w:rsidR="00784701" w:rsidRDefault="00ED1A28">
      <w:pPr>
        <w:pStyle w:val="BodyText"/>
        <w:spacing w:after="100" w:line="259" w:lineRule="auto"/>
        <w:rPr>
          <w:rFonts w:hint="eastAsia"/>
        </w:rPr>
      </w:pPr>
      <w:r>
        <w:t>The dependency index SHOULD include minimum required resolution as part of the Bitlink key. This allows a runtime to resolve only the consumers that are legal for the loaded word and supported by the current reader.</w:t>
      </w:r>
    </w:p>
    <w:tbl>
      <w:tblPr>
        <w:tblW w:w="0" w:type="auto"/>
        <w:jc w:val="center"/>
        <w:tblLook w:val="04A0" w:firstRow="1" w:lastRow="0" w:firstColumn="1" w:lastColumn="0" w:noHBand="0" w:noVBand="1"/>
      </w:tblPr>
      <w:tblGrid>
        <w:gridCol w:w="9936"/>
      </w:tblGrid>
      <w:tr w:rsidR="00784701" w14:paraId="78126216" w14:textId="77777777">
        <w:trPr>
          <w:cantSplit/>
          <w:jc w:val="center"/>
        </w:trPr>
        <w:tc>
          <w:tcPr>
            <w:tcW w:w="9936" w:type="dxa"/>
            <w:shd w:val="clear" w:color="auto" w:fill="F7F9FB"/>
            <w:tcMar>
              <w:top w:w="100" w:type="dxa"/>
              <w:left w:w="140" w:type="dxa"/>
              <w:bottom w:w="100" w:type="dxa"/>
              <w:right w:w="140" w:type="dxa"/>
            </w:tcMar>
          </w:tcPr>
          <w:p w14:paraId="45413451" w14:textId="77777777" w:rsidR="00784701" w:rsidRDefault="00ED1A28">
            <w:pPr>
              <w:rPr>
                <w:rFonts w:hint="eastAsia"/>
              </w:rPr>
            </w:pPr>
            <w:r>
              <w:rPr>
                <w:b/>
                <w:color w:val="0F6B78"/>
                <w:sz w:val="19"/>
              </w:rPr>
              <w:t>Compiled Bitlink rule</w:t>
            </w:r>
          </w:p>
          <w:p w14:paraId="7180DFB0" w14:textId="77777777" w:rsidR="00784701" w:rsidRDefault="00ED1A28">
            <w:pPr>
              <w:spacing w:after="0"/>
              <w:rPr>
                <w:rFonts w:hint="eastAsia"/>
              </w:rPr>
            </w:pPr>
            <w:r>
              <w:rPr>
                <w:rFonts w:ascii="Consolas" w:hAnsi="Consolas"/>
                <w:sz w:val="18"/>
              </w:rPr>
              <w:t>BitlinkKey = FamilyID + Version + SourceAddress + TriggerType</w:t>
            </w:r>
            <w:r>
              <w:br/>
            </w:r>
            <w:r>
              <w:rPr>
                <w:rFonts w:ascii="Consolas" w:hAnsi="Consolas"/>
                <w:sz w:val="18"/>
              </w:rPr>
              <w:t>MinimumResolution = highest bit address required by the source condition</w:t>
            </w:r>
            <w:r>
              <w:br/>
            </w:r>
            <w:r>
              <w:br/>
            </w:r>
            <w:r>
              <w:rPr>
                <w:rFonts w:ascii="Consolas" w:hAnsi="Consolas"/>
                <w:sz w:val="18"/>
              </w:rPr>
              <w:t>resolve only when instance.wordSize ≥ MinimumResolution</w:t>
            </w:r>
          </w:p>
        </w:tc>
      </w:tr>
    </w:tbl>
    <w:p w14:paraId="7449EFA2" w14:textId="77777777" w:rsidR="00784701" w:rsidRDefault="00784701">
      <w:pPr>
        <w:spacing w:after="20"/>
        <w:rPr>
          <w:rFonts w:hint="eastAsia"/>
        </w:rPr>
      </w:pPr>
    </w:p>
    <w:p w14:paraId="537B0D9D" w14:textId="77777777" w:rsidR="00784701" w:rsidRDefault="00ED1A28">
      <w:pPr>
        <w:pStyle w:val="Heading2"/>
        <w:spacing w:before="160" w:after="100"/>
      </w:pPr>
      <w:r>
        <w:t>6.8 Resolution-Aware Causal Chains</w:t>
      </w:r>
    </w:p>
    <w:p w14:paraId="32C6324D" w14:textId="77777777" w:rsidR="00784701" w:rsidRDefault="00ED1A28">
      <w:pPr>
        <w:pStyle w:val="BodyText"/>
        <w:spacing w:after="100" w:line="259" w:lineRule="auto"/>
        <w:rPr>
          <w:rFonts w:hint="eastAsia"/>
        </w:rPr>
      </w:pPr>
      <w:r>
        <w:t>Causal Chain IDs, cycle guards, target Rules, and transactional commit behavior remain unchanged as resolution increases. The chain should record the exact source family, source resolution, changed addresses, and target resolution so debugging can distinguish whether an effect originated in a common prefix or a specialist extension.</w:t>
      </w:r>
    </w:p>
    <w:p w14:paraId="78848DE2" w14:textId="77777777" w:rsidR="00784701" w:rsidRDefault="00ED1A28">
      <w:pPr>
        <w:pStyle w:val="Heading1"/>
        <w:spacing w:before="240" w:after="100"/>
      </w:pPr>
      <w:r>
        <w:t>7. Storage, Transfer, Projection, and Interoperability</w:t>
      </w:r>
    </w:p>
    <w:p w14:paraId="1044161C" w14:textId="77777777" w:rsidR="00784701" w:rsidRDefault="00ED1A28">
      <w:pPr>
        <w:pStyle w:val="Heading2"/>
        <w:spacing w:before="160" w:after="100"/>
      </w:pPr>
      <w:r>
        <w:t>7.1 Zero-Loss Upward Extension</w:t>
      </w:r>
    </w:p>
    <w:p w14:paraId="1F10DF27" w14:textId="77777777" w:rsidR="00784701" w:rsidRDefault="00ED1A28">
      <w:pPr>
        <w:pStyle w:val="BodyText"/>
        <w:spacing w:after="100" w:line="259" w:lineRule="auto"/>
        <w:rPr>
          <w:rFonts w:hint="eastAsia"/>
        </w:rPr>
      </w:pPr>
      <w:r>
        <w:t>A lower-resolution instance can be extended upward with zero loss of inherited semantic information by copying its existing bytes into the beginning of the larger word and initializing the new tail according to the extension contract. No inherited bit must be rewritten merely because more capacity becomes available.</w:t>
      </w:r>
    </w:p>
    <w:tbl>
      <w:tblPr>
        <w:tblW w:w="0" w:type="auto"/>
        <w:jc w:val="center"/>
        <w:tblLook w:val="04A0" w:firstRow="1" w:lastRow="0" w:firstColumn="1" w:lastColumn="0" w:noHBand="0" w:noVBand="1"/>
      </w:tblPr>
      <w:tblGrid>
        <w:gridCol w:w="9936"/>
      </w:tblGrid>
      <w:tr w:rsidR="00784701" w14:paraId="474A91AD" w14:textId="77777777">
        <w:trPr>
          <w:cantSplit/>
          <w:jc w:val="center"/>
        </w:trPr>
        <w:tc>
          <w:tcPr>
            <w:tcW w:w="9936" w:type="dxa"/>
            <w:shd w:val="clear" w:color="auto" w:fill="F7F9FB"/>
            <w:tcMar>
              <w:top w:w="100" w:type="dxa"/>
              <w:left w:w="140" w:type="dxa"/>
              <w:bottom w:w="100" w:type="dxa"/>
              <w:right w:w="140" w:type="dxa"/>
            </w:tcMar>
          </w:tcPr>
          <w:p w14:paraId="654DB0BC" w14:textId="77777777" w:rsidR="00784701" w:rsidRDefault="00ED1A28">
            <w:pPr>
              <w:rPr>
                <w:rFonts w:hint="eastAsia"/>
              </w:rPr>
            </w:pPr>
            <w:r>
              <w:rPr>
                <w:b/>
                <w:color w:val="0F6B78"/>
                <w:sz w:val="19"/>
              </w:rPr>
              <w:t>Upward extension</w:t>
            </w:r>
          </w:p>
          <w:p w14:paraId="708206C4" w14:textId="77777777" w:rsidR="00784701" w:rsidRDefault="00ED1A28">
            <w:pPr>
              <w:spacing w:after="0"/>
              <w:rPr>
                <w:rFonts w:hint="eastAsia"/>
              </w:rPr>
            </w:pPr>
            <w:r>
              <w:rPr>
                <w:rFonts w:ascii="Consolas" w:hAnsi="Consolas"/>
                <w:sz w:val="18"/>
              </w:rPr>
              <w:t>old = BODY-128 bytes 0..15</w:t>
            </w:r>
            <w:r>
              <w:br/>
            </w:r>
            <w:r>
              <w:rPr>
                <w:rFonts w:ascii="Consolas" w:hAnsi="Consolas"/>
                <w:sz w:val="18"/>
              </w:rPr>
              <w:t>new = BODY-256 bytes 0..31</w:t>
            </w:r>
            <w:r>
              <w:br/>
            </w:r>
            <w:r>
              <w:br/>
            </w:r>
            <w:r>
              <w:rPr>
                <w:rFonts w:ascii="Consolas" w:hAnsi="Consolas"/>
                <w:sz w:val="18"/>
              </w:rPr>
              <w:t>new[0..15] = old[0..15]      # exact copy</w:t>
            </w:r>
            <w:r>
              <w:br/>
            </w:r>
            <w:r>
              <w:rPr>
                <w:rFonts w:ascii="Consolas" w:hAnsi="Consolas"/>
                <w:sz w:val="18"/>
              </w:rPr>
              <w:t>new[16..31] = extensionInit   # newly declared semantics</w:t>
            </w:r>
          </w:p>
        </w:tc>
      </w:tr>
    </w:tbl>
    <w:p w14:paraId="12C37916" w14:textId="77777777" w:rsidR="00784701" w:rsidRDefault="00784701">
      <w:pPr>
        <w:spacing w:after="20"/>
        <w:rPr>
          <w:rFonts w:hint="eastAsia"/>
        </w:rPr>
      </w:pPr>
    </w:p>
    <w:p w14:paraId="7008EF4C" w14:textId="77777777" w:rsidR="00784701" w:rsidRDefault="00ED1A28">
      <w:pPr>
        <w:pStyle w:val="Heading2"/>
        <w:spacing w:before="160" w:after="100"/>
      </w:pPr>
      <w:r>
        <w:t>7.2 Direct Transfer Between Conforming Systems</w:t>
      </w:r>
    </w:p>
    <w:p w14:paraId="21D11A31" w14:textId="77777777" w:rsidR="00784701" w:rsidRDefault="00ED1A28">
      <w:pPr>
        <w:pStyle w:val="BodyText"/>
        <w:spacing w:after="100" w:line="259" w:lineRule="auto"/>
        <w:rPr>
          <w:rFonts w:hint="eastAsia"/>
        </w:rPr>
      </w:pPr>
      <w:r>
        <w:t>When two systems implement the same Kernel family, version, serialization, and resolution contract, a packed word can be transferred directly. The receiver resolves the same canonical addresses without field-by-field schema mapping. This is semantic portability by shared contract rather than application-specific migration.</w:t>
      </w:r>
    </w:p>
    <w:p w14:paraId="6DE68CB6" w14:textId="77777777" w:rsidR="00784701" w:rsidRDefault="00ED1A28">
      <w:pPr>
        <w:pStyle w:val="Heading2"/>
        <w:spacing w:before="160" w:after="100"/>
      </w:pPr>
      <w:r>
        <w:t>7.3 Prefix Projection and Intentional Information Omission</w:t>
      </w:r>
    </w:p>
    <w:p w14:paraId="40B103D3" w14:textId="77777777" w:rsidR="00784701" w:rsidRDefault="00ED1A28">
      <w:pPr>
        <w:pStyle w:val="BodyText"/>
        <w:spacing w:after="100" w:line="259" w:lineRule="auto"/>
        <w:rPr>
          <w:rFonts w:hint="eastAsia"/>
        </w:rPr>
      </w:pPr>
      <w:r>
        <w:t>Projecting MUSCLE-512 to BODY-256 preserves the first 256 bits exactly but omits the muscle-specific 256-bit tail. The operation is lossless with respect to the retained prefix and lossy with respect to the discarded extension. Conforming implementations SHOULD describe this precisely rather than calling all downward projection simply lossless or lossy.</w:t>
      </w:r>
    </w:p>
    <w:p w14:paraId="61EC8A18" w14:textId="77777777" w:rsidR="00784701" w:rsidRDefault="00ED1A28">
      <w:pPr>
        <w:pStyle w:val="Heading2"/>
        <w:spacing w:before="160" w:after="100"/>
      </w:pPr>
      <w:r>
        <w:t>7.4 Opaque Tail Preservation</w:t>
      </w:r>
    </w:p>
    <w:p w14:paraId="4A7AAFC2" w14:textId="77777777" w:rsidR="00784701" w:rsidRDefault="00ED1A28">
      <w:pPr>
        <w:pStyle w:val="BodyText"/>
        <w:spacing w:after="100" w:line="259" w:lineRule="auto"/>
        <w:rPr>
          <w:rFonts w:hint="eastAsia"/>
        </w:rPr>
      </w:pPr>
      <w:r>
        <w:t>A system that understands only the prefix MAY preserve a higher-resolution tail as opaque bytes for forwarding, archival, or round-trip storage, provided it does not interpret or mutate those bytes. This can allow an intermediate system to transport richer data without pretending to understand it.</w:t>
      </w:r>
    </w:p>
    <w:p w14:paraId="5FB574AD" w14:textId="77777777" w:rsidR="00784701" w:rsidRDefault="00ED1A28">
      <w:pPr>
        <w:pStyle w:val="Heading2"/>
        <w:spacing w:before="160" w:after="100"/>
      </w:pPr>
      <w:r>
        <w:t>7.5 Storage Transparency</w:t>
      </w:r>
    </w:p>
    <w:p w14:paraId="4F49EA76" w14:textId="77777777" w:rsidR="00784701" w:rsidRDefault="00ED1A28">
      <w:pPr>
        <w:pStyle w:val="BodyText"/>
        <w:spacing w:after="100" w:line="259" w:lineRule="auto"/>
        <w:rPr>
          <w:rFonts w:hint="eastAsia"/>
        </w:rPr>
      </w:pPr>
      <w:r>
        <w:t>The same invariant can be represented transparently in a prototype database using visible bit fields or compactly in a production runtime using packed bytes. Storage format may change as long as the semantic addresses, serialization order, and published prefix remain stable.</w:t>
      </w:r>
    </w:p>
    <w:p w14:paraId="61B493FF" w14:textId="77777777" w:rsidR="00784701" w:rsidRDefault="00ED1A28">
      <w:pPr>
        <w:pStyle w:val="Heading1"/>
        <w:spacing w:before="240" w:after="100"/>
      </w:pPr>
      <w:r>
        <w:t>8. Versioning, Forking, and Evolution</w:t>
      </w:r>
    </w:p>
    <w:p w14:paraId="679E8363" w14:textId="77777777" w:rsidR="00784701" w:rsidRDefault="00ED1A28">
      <w:pPr>
        <w:pStyle w:val="Heading2"/>
        <w:spacing w:before="160" w:after="100"/>
      </w:pPr>
      <w:r>
        <w:t>8.1 Extension Is Not Reinterpretation</w:t>
      </w:r>
    </w:p>
    <w:p w14:paraId="4723606E" w14:textId="77777777" w:rsidR="00784701" w:rsidRDefault="00ED1A28">
      <w:pPr>
        <w:pStyle w:val="BodyText"/>
        <w:spacing w:after="100" w:line="259" w:lineRule="auto"/>
        <w:rPr>
          <w:rFonts w:hint="eastAsia"/>
        </w:rPr>
      </w:pPr>
      <w:r>
        <w:t>A conforming extension deepens semantics by adding new addresses. It does not fix earlier semantic mistakes by changing old addresses. If an inherited field was designed incorrectly, the system must publish a new version or fork and provide explicit translation where possible.</w:t>
      </w:r>
    </w:p>
    <w:p w14:paraId="33373248" w14:textId="77777777" w:rsidR="00784701" w:rsidRDefault="00ED1A28">
      <w:pPr>
        <w:pStyle w:val="Heading2"/>
        <w:spacing w:before="160" w:after="100"/>
      </w:pPr>
      <w:r>
        <w:t>8.2 Compatibility Classes</w:t>
      </w:r>
    </w:p>
    <w:tbl>
      <w:tblPr>
        <w:tblStyle w:val="TableGrid"/>
        <w:tblW w:w="0" w:type="auto"/>
        <w:jc w:val="center"/>
        <w:tblLayout w:type="fixed"/>
        <w:tblLook w:val="04A0" w:firstRow="1" w:lastRow="0" w:firstColumn="1" w:lastColumn="0" w:noHBand="0" w:noVBand="1"/>
      </w:tblPr>
      <w:tblGrid>
        <w:gridCol w:w="2232"/>
        <w:gridCol w:w="4752"/>
        <w:gridCol w:w="3384"/>
      </w:tblGrid>
      <w:tr w:rsidR="00784701" w14:paraId="47A52BB8" w14:textId="77777777">
        <w:trPr>
          <w:tblHeader/>
          <w:jc w:val="center"/>
        </w:trPr>
        <w:tc>
          <w:tcPr>
            <w:tcW w:w="2232" w:type="dxa"/>
            <w:shd w:val="clear" w:color="auto" w:fill="17365D"/>
            <w:tcMar>
              <w:top w:w="90" w:type="dxa"/>
              <w:left w:w="100" w:type="dxa"/>
              <w:bottom w:w="90" w:type="dxa"/>
              <w:right w:w="100" w:type="dxa"/>
            </w:tcMar>
            <w:vAlign w:val="center"/>
          </w:tcPr>
          <w:p w14:paraId="6790B139" w14:textId="77777777" w:rsidR="00784701" w:rsidRDefault="00ED1A28">
            <w:pPr>
              <w:jc w:val="center"/>
              <w:rPr>
                <w:rFonts w:hint="eastAsia"/>
              </w:rPr>
            </w:pPr>
            <w:r>
              <w:rPr>
                <w:b/>
                <w:color w:val="FFFFFF"/>
                <w:sz w:val="18"/>
              </w:rPr>
              <w:t>Class</w:t>
            </w:r>
          </w:p>
        </w:tc>
        <w:tc>
          <w:tcPr>
            <w:tcW w:w="4752" w:type="dxa"/>
            <w:shd w:val="clear" w:color="auto" w:fill="17365D"/>
            <w:tcMar>
              <w:top w:w="90" w:type="dxa"/>
              <w:left w:w="100" w:type="dxa"/>
              <w:bottom w:w="90" w:type="dxa"/>
              <w:right w:w="100" w:type="dxa"/>
            </w:tcMar>
            <w:vAlign w:val="center"/>
          </w:tcPr>
          <w:p w14:paraId="34EBB2F8" w14:textId="77777777" w:rsidR="00784701" w:rsidRDefault="00ED1A28">
            <w:pPr>
              <w:jc w:val="center"/>
              <w:rPr>
                <w:rFonts w:hint="eastAsia"/>
              </w:rPr>
            </w:pPr>
            <w:r>
              <w:rPr>
                <w:b/>
                <w:color w:val="FFFFFF"/>
                <w:sz w:val="18"/>
              </w:rPr>
              <w:t>Definition</w:t>
            </w:r>
          </w:p>
        </w:tc>
        <w:tc>
          <w:tcPr>
            <w:tcW w:w="3384" w:type="dxa"/>
            <w:shd w:val="clear" w:color="auto" w:fill="17365D"/>
            <w:tcMar>
              <w:top w:w="90" w:type="dxa"/>
              <w:left w:w="100" w:type="dxa"/>
              <w:bottom w:w="90" w:type="dxa"/>
              <w:right w:w="100" w:type="dxa"/>
            </w:tcMar>
            <w:vAlign w:val="center"/>
          </w:tcPr>
          <w:p w14:paraId="513DB713" w14:textId="77777777" w:rsidR="00784701" w:rsidRDefault="00ED1A28">
            <w:pPr>
              <w:jc w:val="center"/>
              <w:rPr>
                <w:rFonts w:hint="eastAsia"/>
              </w:rPr>
            </w:pPr>
            <w:r>
              <w:rPr>
                <w:b/>
                <w:color w:val="FFFFFF"/>
                <w:sz w:val="18"/>
              </w:rPr>
              <w:t>Reader Behavior</w:t>
            </w:r>
          </w:p>
        </w:tc>
      </w:tr>
      <w:tr w:rsidR="00784701" w14:paraId="475F61DA" w14:textId="77777777">
        <w:trPr>
          <w:jc w:val="center"/>
        </w:trPr>
        <w:tc>
          <w:tcPr>
            <w:tcW w:w="2232" w:type="dxa"/>
            <w:tcMar>
              <w:top w:w="90" w:type="dxa"/>
              <w:left w:w="100" w:type="dxa"/>
              <w:bottom w:w="90" w:type="dxa"/>
              <w:right w:w="100" w:type="dxa"/>
            </w:tcMar>
            <w:vAlign w:val="center"/>
          </w:tcPr>
          <w:p w14:paraId="268B0730" w14:textId="77777777" w:rsidR="00784701" w:rsidRDefault="00ED1A28">
            <w:pPr>
              <w:rPr>
                <w:rFonts w:hint="eastAsia"/>
              </w:rPr>
            </w:pPr>
            <w:r>
              <w:rPr>
                <w:sz w:val="17"/>
              </w:rPr>
              <w:t>Prefix-Compatible Extension</w:t>
            </w:r>
          </w:p>
        </w:tc>
        <w:tc>
          <w:tcPr>
            <w:tcW w:w="4752" w:type="dxa"/>
            <w:tcMar>
              <w:top w:w="90" w:type="dxa"/>
              <w:left w:w="100" w:type="dxa"/>
              <w:bottom w:w="90" w:type="dxa"/>
              <w:right w:w="100" w:type="dxa"/>
            </w:tcMar>
            <w:vAlign w:val="center"/>
          </w:tcPr>
          <w:p w14:paraId="3E9F9202" w14:textId="77777777" w:rsidR="00784701" w:rsidRDefault="00ED1A28">
            <w:pPr>
              <w:rPr>
                <w:rFonts w:hint="eastAsia"/>
              </w:rPr>
            </w:pPr>
            <w:r>
              <w:rPr>
                <w:sz w:val="17"/>
              </w:rPr>
              <w:t>All inherited addresses remain identical; new addresses are appended.</w:t>
            </w:r>
          </w:p>
        </w:tc>
        <w:tc>
          <w:tcPr>
            <w:tcW w:w="3384" w:type="dxa"/>
            <w:tcMar>
              <w:top w:w="90" w:type="dxa"/>
              <w:left w:w="100" w:type="dxa"/>
              <w:bottom w:w="90" w:type="dxa"/>
              <w:right w:w="100" w:type="dxa"/>
            </w:tcMar>
            <w:vAlign w:val="center"/>
          </w:tcPr>
          <w:p w14:paraId="0AB11AD7" w14:textId="77777777" w:rsidR="00784701" w:rsidRDefault="00ED1A28">
            <w:pPr>
              <w:rPr>
                <w:rFonts w:hint="eastAsia"/>
              </w:rPr>
            </w:pPr>
            <w:r>
              <w:rPr>
                <w:sz w:val="17"/>
              </w:rPr>
              <w:t>Lower-resolution readers consume the prefix directly.</w:t>
            </w:r>
          </w:p>
        </w:tc>
      </w:tr>
      <w:tr w:rsidR="00784701" w14:paraId="32C69C60" w14:textId="77777777">
        <w:trPr>
          <w:jc w:val="center"/>
        </w:trPr>
        <w:tc>
          <w:tcPr>
            <w:tcW w:w="2232" w:type="dxa"/>
            <w:shd w:val="clear" w:color="auto" w:fill="F8FAFC"/>
            <w:tcMar>
              <w:top w:w="90" w:type="dxa"/>
              <w:left w:w="100" w:type="dxa"/>
              <w:bottom w:w="90" w:type="dxa"/>
              <w:right w:w="100" w:type="dxa"/>
            </w:tcMar>
            <w:vAlign w:val="center"/>
          </w:tcPr>
          <w:p w14:paraId="3139C76E" w14:textId="77777777" w:rsidR="00784701" w:rsidRDefault="00ED1A28">
            <w:pPr>
              <w:rPr>
                <w:rFonts w:hint="eastAsia"/>
              </w:rPr>
            </w:pPr>
            <w:r>
              <w:rPr>
                <w:sz w:val="17"/>
              </w:rPr>
              <w:t>Prefix-Compatible Specialization</w:t>
            </w:r>
          </w:p>
        </w:tc>
        <w:tc>
          <w:tcPr>
            <w:tcW w:w="4752" w:type="dxa"/>
            <w:shd w:val="clear" w:color="auto" w:fill="F8FAFC"/>
            <w:tcMar>
              <w:top w:w="90" w:type="dxa"/>
              <w:left w:w="100" w:type="dxa"/>
              <w:bottom w:w="90" w:type="dxa"/>
              <w:right w:w="100" w:type="dxa"/>
            </w:tcMar>
            <w:vAlign w:val="center"/>
          </w:tcPr>
          <w:p w14:paraId="10A49BA2" w14:textId="77777777" w:rsidR="00784701" w:rsidRDefault="00ED1A28">
            <w:pPr>
              <w:rPr>
                <w:rFonts w:hint="eastAsia"/>
              </w:rPr>
            </w:pPr>
            <w:r>
              <w:rPr>
                <w:sz w:val="17"/>
              </w:rPr>
              <w:t>A general prefix is preserved and a specialist extension is appended.</w:t>
            </w:r>
          </w:p>
        </w:tc>
        <w:tc>
          <w:tcPr>
            <w:tcW w:w="3384" w:type="dxa"/>
            <w:shd w:val="clear" w:color="auto" w:fill="F8FAFC"/>
            <w:tcMar>
              <w:top w:w="90" w:type="dxa"/>
              <w:left w:w="100" w:type="dxa"/>
              <w:bottom w:w="90" w:type="dxa"/>
              <w:right w:w="100" w:type="dxa"/>
            </w:tcMar>
            <w:vAlign w:val="center"/>
          </w:tcPr>
          <w:p w14:paraId="15F35312" w14:textId="77777777" w:rsidR="00784701" w:rsidRDefault="00ED1A28">
            <w:pPr>
              <w:rPr>
                <w:rFonts w:hint="eastAsia"/>
              </w:rPr>
            </w:pPr>
            <w:r>
              <w:rPr>
                <w:sz w:val="17"/>
              </w:rPr>
              <w:t>General readers consume shared prefix; specialist readers consume full word.</w:t>
            </w:r>
          </w:p>
        </w:tc>
      </w:tr>
      <w:tr w:rsidR="00784701" w14:paraId="4876819B" w14:textId="77777777">
        <w:trPr>
          <w:jc w:val="center"/>
        </w:trPr>
        <w:tc>
          <w:tcPr>
            <w:tcW w:w="2232" w:type="dxa"/>
            <w:tcMar>
              <w:top w:w="90" w:type="dxa"/>
              <w:left w:w="100" w:type="dxa"/>
              <w:bottom w:w="90" w:type="dxa"/>
              <w:right w:w="100" w:type="dxa"/>
            </w:tcMar>
            <w:vAlign w:val="center"/>
          </w:tcPr>
          <w:p w14:paraId="0869E99E" w14:textId="77777777" w:rsidR="00784701" w:rsidRDefault="00ED1A28">
            <w:pPr>
              <w:rPr>
                <w:rFonts w:hint="eastAsia"/>
              </w:rPr>
            </w:pPr>
            <w:r>
              <w:rPr>
                <w:sz w:val="17"/>
              </w:rPr>
              <w:t>Layout-Changing Version</w:t>
            </w:r>
          </w:p>
        </w:tc>
        <w:tc>
          <w:tcPr>
            <w:tcW w:w="4752" w:type="dxa"/>
            <w:tcMar>
              <w:top w:w="90" w:type="dxa"/>
              <w:left w:w="100" w:type="dxa"/>
              <w:bottom w:w="90" w:type="dxa"/>
              <w:right w:w="100" w:type="dxa"/>
            </w:tcMar>
            <w:vAlign w:val="center"/>
          </w:tcPr>
          <w:p w14:paraId="62340499" w14:textId="77777777" w:rsidR="00784701" w:rsidRDefault="00ED1A28">
            <w:pPr>
              <w:rPr>
                <w:rFonts w:hint="eastAsia"/>
              </w:rPr>
            </w:pPr>
            <w:r>
              <w:rPr>
                <w:sz w:val="17"/>
              </w:rPr>
              <w:t>Existing addresses move, change type, or change meaning.</w:t>
            </w:r>
          </w:p>
        </w:tc>
        <w:tc>
          <w:tcPr>
            <w:tcW w:w="3384" w:type="dxa"/>
            <w:tcMar>
              <w:top w:w="90" w:type="dxa"/>
              <w:left w:w="100" w:type="dxa"/>
              <w:bottom w:w="90" w:type="dxa"/>
              <w:right w:w="100" w:type="dxa"/>
            </w:tcMar>
            <w:vAlign w:val="center"/>
          </w:tcPr>
          <w:p w14:paraId="00A15640" w14:textId="77777777" w:rsidR="00784701" w:rsidRDefault="00ED1A28">
            <w:pPr>
              <w:rPr>
                <w:rFonts w:hint="eastAsia"/>
              </w:rPr>
            </w:pPr>
            <w:r>
              <w:rPr>
                <w:sz w:val="17"/>
              </w:rPr>
              <w:t>Requires explicit translation or migration; not SPI-compatible.</w:t>
            </w:r>
          </w:p>
        </w:tc>
      </w:tr>
      <w:tr w:rsidR="00784701" w14:paraId="50C221C4" w14:textId="77777777">
        <w:trPr>
          <w:jc w:val="center"/>
        </w:trPr>
        <w:tc>
          <w:tcPr>
            <w:tcW w:w="2232" w:type="dxa"/>
            <w:shd w:val="clear" w:color="auto" w:fill="F8FAFC"/>
            <w:tcMar>
              <w:top w:w="90" w:type="dxa"/>
              <w:left w:w="100" w:type="dxa"/>
              <w:bottom w:w="90" w:type="dxa"/>
              <w:right w:w="100" w:type="dxa"/>
            </w:tcMar>
            <w:vAlign w:val="center"/>
          </w:tcPr>
          <w:p w14:paraId="05570588" w14:textId="77777777" w:rsidR="00784701" w:rsidRDefault="00ED1A28">
            <w:pPr>
              <w:jc w:val="center"/>
              <w:rPr>
                <w:rFonts w:hint="eastAsia"/>
              </w:rPr>
            </w:pPr>
            <w:r>
              <w:rPr>
                <w:sz w:val="17"/>
              </w:rPr>
              <w:t>Derivative Fork</w:t>
            </w:r>
          </w:p>
        </w:tc>
        <w:tc>
          <w:tcPr>
            <w:tcW w:w="4752" w:type="dxa"/>
            <w:shd w:val="clear" w:color="auto" w:fill="F8FAFC"/>
            <w:tcMar>
              <w:top w:w="90" w:type="dxa"/>
              <w:left w:w="100" w:type="dxa"/>
              <w:bottom w:w="90" w:type="dxa"/>
              <w:right w:w="100" w:type="dxa"/>
            </w:tcMar>
            <w:vAlign w:val="center"/>
          </w:tcPr>
          <w:p w14:paraId="767BF8C3" w14:textId="77777777" w:rsidR="00784701" w:rsidRDefault="00ED1A28">
            <w:pPr>
              <w:rPr>
                <w:rFonts w:hint="eastAsia"/>
              </w:rPr>
            </w:pPr>
            <w:r>
              <w:rPr>
                <w:sz w:val="17"/>
              </w:rPr>
              <w:t>A new family intentionally diverges from parent semantics.</w:t>
            </w:r>
          </w:p>
        </w:tc>
        <w:tc>
          <w:tcPr>
            <w:tcW w:w="3384" w:type="dxa"/>
            <w:shd w:val="clear" w:color="auto" w:fill="F8FAFC"/>
            <w:tcMar>
              <w:top w:w="90" w:type="dxa"/>
              <w:left w:w="100" w:type="dxa"/>
              <w:bottom w:w="90" w:type="dxa"/>
              <w:right w:w="100" w:type="dxa"/>
            </w:tcMar>
            <w:vAlign w:val="center"/>
          </w:tcPr>
          <w:p w14:paraId="0D034030" w14:textId="77777777" w:rsidR="00784701" w:rsidRDefault="00ED1A28">
            <w:pPr>
              <w:rPr>
                <w:rFonts w:hint="eastAsia"/>
              </w:rPr>
            </w:pPr>
            <w:r>
              <w:rPr>
                <w:sz w:val="17"/>
              </w:rPr>
              <w:t>May preserve some prefix for interoperability, but divergence must be declared.</w:t>
            </w:r>
          </w:p>
        </w:tc>
      </w:tr>
      <w:tr w:rsidR="00784701" w14:paraId="178B423E" w14:textId="77777777">
        <w:trPr>
          <w:jc w:val="center"/>
        </w:trPr>
        <w:tc>
          <w:tcPr>
            <w:tcW w:w="2232" w:type="dxa"/>
            <w:tcMar>
              <w:top w:w="90" w:type="dxa"/>
              <w:left w:w="100" w:type="dxa"/>
              <w:bottom w:w="90" w:type="dxa"/>
              <w:right w:w="100" w:type="dxa"/>
            </w:tcMar>
            <w:vAlign w:val="center"/>
          </w:tcPr>
          <w:p w14:paraId="42963C1D" w14:textId="77777777" w:rsidR="00784701" w:rsidRDefault="00ED1A28">
            <w:pPr>
              <w:rPr>
                <w:rFonts w:hint="eastAsia"/>
              </w:rPr>
            </w:pPr>
            <w:r>
              <w:rPr>
                <w:sz w:val="17"/>
              </w:rPr>
              <w:t>Incompatible Kernel</w:t>
            </w:r>
          </w:p>
        </w:tc>
        <w:tc>
          <w:tcPr>
            <w:tcW w:w="4752" w:type="dxa"/>
            <w:tcMar>
              <w:top w:w="90" w:type="dxa"/>
              <w:left w:w="100" w:type="dxa"/>
              <w:bottom w:w="90" w:type="dxa"/>
              <w:right w:w="100" w:type="dxa"/>
            </w:tcMar>
            <w:vAlign w:val="center"/>
          </w:tcPr>
          <w:p w14:paraId="188CEB32" w14:textId="77777777" w:rsidR="00784701" w:rsidRDefault="00ED1A28">
            <w:pPr>
              <w:rPr>
                <w:rFonts w:hint="eastAsia"/>
              </w:rPr>
            </w:pPr>
            <w:r>
              <w:rPr>
                <w:sz w:val="17"/>
              </w:rPr>
              <w:t>No safe semantic containment exists.</w:t>
            </w:r>
          </w:p>
        </w:tc>
        <w:tc>
          <w:tcPr>
            <w:tcW w:w="3384" w:type="dxa"/>
            <w:tcMar>
              <w:top w:w="90" w:type="dxa"/>
              <w:left w:w="100" w:type="dxa"/>
              <w:bottom w:w="90" w:type="dxa"/>
              <w:right w:w="100" w:type="dxa"/>
            </w:tcMar>
            <w:vAlign w:val="center"/>
          </w:tcPr>
          <w:p w14:paraId="71279BA7" w14:textId="77777777" w:rsidR="00784701" w:rsidRDefault="00ED1A28">
            <w:pPr>
              <w:rPr>
                <w:rFonts w:hint="eastAsia"/>
              </w:rPr>
            </w:pPr>
            <w:r>
              <w:rPr>
                <w:sz w:val="17"/>
              </w:rPr>
              <w:t>Treat as a separate language; use translations only where explicitly defined.</w:t>
            </w:r>
          </w:p>
        </w:tc>
      </w:tr>
    </w:tbl>
    <w:p w14:paraId="5478FFA4" w14:textId="77777777" w:rsidR="00784701" w:rsidRDefault="00784701">
      <w:pPr>
        <w:spacing w:after="40"/>
        <w:rPr>
          <w:rFonts w:hint="eastAsia"/>
        </w:rPr>
      </w:pPr>
    </w:p>
    <w:p w14:paraId="40F41C7B" w14:textId="77777777" w:rsidR="00784701" w:rsidRDefault="00ED1A28">
      <w:pPr>
        <w:pStyle w:val="Heading2"/>
        <w:spacing w:before="160" w:after="100"/>
      </w:pPr>
      <w:r>
        <w:t>8.3 Reserved Bits vs. New Extension Segments</w:t>
      </w:r>
    </w:p>
    <w:p w14:paraId="6FF575B8" w14:textId="77777777" w:rsidR="00784701" w:rsidRDefault="00ED1A28">
      <w:pPr>
        <w:pStyle w:val="BodyText"/>
        <w:spacing w:after="100" w:line="259" w:lineRule="auto"/>
        <w:rPr>
          <w:rFonts w:hint="eastAsia"/>
        </w:rPr>
      </w:pPr>
      <w:r>
        <w:t>Reserved bits inside an existing published prefix remain part of that prefix contract and MUST follow its reservation policy. New resolution SHOULD normally be created by appending an extension segment rather than silently claiming reserved prefix coordinates. If reserved bits are intentionally activated under the parent contract, their activation must follow the parent specification and does not change the prefix width.</w:t>
      </w:r>
    </w:p>
    <w:p w14:paraId="36B20849" w14:textId="77777777" w:rsidR="00784701" w:rsidRDefault="00ED1A28">
      <w:pPr>
        <w:pStyle w:val="Heading2"/>
        <w:spacing w:before="160" w:after="100"/>
      </w:pPr>
      <w:r>
        <w:t>8.4 Family Naming</w:t>
      </w:r>
    </w:p>
    <w:p w14:paraId="66F49655" w14:textId="77777777" w:rsidR="00784701" w:rsidRDefault="00ED1A28">
      <w:pPr>
        <w:pStyle w:val="BodyText"/>
        <w:spacing w:after="100" w:line="259" w:lineRule="auto"/>
        <w:rPr>
          <w:rFonts w:hint="eastAsia"/>
        </w:rPr>
      </w:pPr>
      <w:r>
        <w:t>Names SHOULD make inheritance legible. BODY-256 clearly communicates a higher-resolution BODY word. MUSCLE-512 may communicate a specialist descendant whose first 256 bits are BODY-compatible. A Registry MUST store the explicit parent relationship; naming alone is not sufficient evidence of compatibility.</w:t>
      </w:r>
    </w:p>
    <w:p w14:paraId="50383576" w14:textId="77777777" w:rsidR="00784701" w:rsidRDefault="00ED1A28">
      <w:pPr>
        <w:pStyle w:val="Heading1"/>
        <w:spacing w:before="240" w:after="100"/>
      </w:pPr>
      <w:r>
        <w:t>9. Runtime Capability and Resolution Negotiation</w:t>
      </w:r>
    </w:p>
    <w:p w14:paraId="1767D001" w14:textId="77777777" w:rsidR="00784701" w:rsidRDefault="00ED1A28">
      <w:pPr>
        <w:pStyle w:val="Heading2"/>
        <w:spacing w:before="160" w:after="100"/>
      </w:pPr>
      <w:r>
        <w:t>9.1 Reader Capability Declaration</w:t>
      </w:r>
    </w:p>
    <w:p w14:paraId="04A36B91" w14:textId="77777777" w:rsidR="00784701" w:rsidRDefault="00ED1A28">
      <w:pPr>
        <w:pStyle w:val="BodyText"/>
        <w:spacing w:after="100" w:line="259" w:lineRule="auto"/>
        <w:rPr>
          <w:rFonts w:hint="eastAsia"/>
        </w:rPr>
      </w:pPr>
      <w:r>
        <w:t>A runtime SHOULD declare the Kernel family versions and maximum resolutions it can interpret. Capability is not simply word-length support; the runtime must also possess the appropriate semantic contracts, Rules, Models, and serialization definition.</w:t>
      </w:r>
    </w:p>
    <w:tbl>
      <w:tblPr>
        <w:tblStyle w:val="TableGrid"/>
        <w:tblW w:w="0" w:type="auto"/>
        <w:jc w:val="center"/>
        <w:tblLayout w:type="fixed"/>
        <w:tblLook w:val="04A0" w:firstRow="1" w:lastRow="0" w:firstColumn="1" w:lastColumn="0" w:noHBand="0" w:noVBand="1"/>
      </w:tblPr>
      <w:tblGrid>
        <w:gridCol w:w="3240"/>
        <w:gridCol w:w="7128"/>
      </w:tblGrid>
      <w:tr w:rsidR="00784701" w14:paraId="341E7977" w14:textId="77777777">
        <w:trPr>
          <w:tblHeader/>
          <w:jc w:val="center"/>
        </w:trPr>
        <w:tc>
          <w:tcPr>
            <w:tcW w:w="3240" w:type="dxa"/>
            <w:shd w:val="clear" w:color="auto" w:fill="17365D"/>
            <w:tcMar>
              <w:top w:w="90" w:type="dxa"/>
              <w:left w:w="100" w:type="dxa"/>
              <w:bottom w:w="90" w:type="dxa"/>
              <w:right w:w="100" w:type="dxa"/>
            </w:tcMar>
            <w:vAlign w:val="center"/>
          </w:tcPr>
          <w:p w14:paraId="0C624BCE" w14:textId="77777777" w:rsidR="00784701" w:rsidRDefault="00ED1A28">
            <w:pPr>
              <w:jc w:val="center"/>
              <w:rPr>
                <w:rFonts w:hint="eastAsia"/>
              </w:rPr>
            </w:pPr>
            <w:r>
              <w:rPr>
                <w:b/>
                <w:color w:val="FFFFFF"/>
                <w:sz w:val="19"/>
              </w:rPr>
              <w:t>Capability Field</w:t>
            </w:r>
          </w:p>
        </w:tc>
        <w:tc>
          <w:tcPr>
            <w:tcW w:w="7128" w:type="dxa"/>
            <w:shd w:val="clear" w:color="auto" w:fill="17365D"/>
            <w:tcMar>
              <w:top w:w="90" w:type="dxa"/>
              <w:left w:w="100" w:type="dxa"/>
              <w:bottom w:w="90" w:type="dxa"/>
              <w:right w:w="100" w:type="dxa"/>
            </w:tcMar>
            <w:vAlign w:val="center"/>
          </w:tcPr>
          <w:p w14:paraId="3202E52B" w14:textId="77777777" w:rsidR="00784701" w:rsidRDefault="00ED1A28">
            <w:pPr>
              <w:jc w:val="center"/>
              <w:rPr>
                <w:rFonts w:hint="eastAsia"/>
              </w:rPr>
            </w:pPr>
            <w:r>
              <w:rPr>
                <w:b/>
                <w:color w:val="FFFFFF"/>
                <w:sz w:val="19"/>
              </w:rPr>
              <w:t>Example</w:t>
            </w:r>
          </w:p>
        </w:tc>
      </w:tr>
      <w:tr w:rsidR="00784701" w14:paraId="455751CB" w14:textId="77777777">
        <w:trPr>
          <w:jc w:val="center"/>
        </w:trPr>
        <w:tc>
          <w:tcPr>
            <w:tcW w:w="3240" w:type="dxa"/>
            <w:tcMar>
              <w:top w:w="90" w:type="dxa"/>
              <w:left w:w="100" w:type="dxa"/>
              <w:bottom w:w="90" w:type="dxa"/>
              <w:right w:w="100" w:type="dxa"/>
            </w:tcMar>
            <w:vAlign w:val="center"/>
          </w:tcPr>
          <w:p w14:paraId="102691B7" w14:textId="77777777" w:rsidR="00784701" w:rsidRDefault="00ED1A28">
            <w:pPr>
              <w:jc w:val="center"/>
              <w:rPr>
                <w:rFonts w:hint="eastAsia"/>
              </w:rPr>
            </w:pPr>
            <w:r>
              <w:rPr>
                <w:sz w:val="18"/>
              </w:rPr>
              <w:t>Family</w:t>
            </w:r>
          </w:p>
        </w:tc>
        <w:tc>
          <w:tcPr>
            <w:tcW w:w="7128" w:type="dxa"/>
            <w:tcMar>
              <w:top w:w="90" w:type="dxa"/>
              <w:left w:w="100" w:type="dxa"/>
              <w:bottom w:w="90" w:type="dxa"/>
              <w:right w:w="100" w:type="dxa"/>
            </w:tcMar>
            <w:vAlign w:val="center"/>
          </w:tcPr>
          <w:p w14:paraId="32B0D7E6" w14:textId="77777777" w:rsidR="00784701" w:rsidRDefault="00ED1A28">
            <w:pPr>
              <w:jc w:val="center"/>
              <w:rPr>
                <w:rFonts w:hint="eastAsia"/>
              </w:rPr>
            </w:pPr>
            <w:r>
              <w:rPr>
                <w:sz w:val="18"/>
              </w:rPr>
              <w:t>BODY</w:t>
            </w:r>
          </w:p>
        </w:tc>
      </w:tr>
      <w:tr w:rsidR="00784701" w14:paraId="7DFD0996" w14:textId="77777777">
        <w:trPr>
          <w:jc w:val="center"/>
        </w:trPr>
        <w:tc>
          <w:tcPr>
            <w:tcW w:w="3240" w:type="dxa"/>
            <w:shd w:val="clear" w:color="auto" w:fill="F8FAFC"/>
            <w:tcMar>
              <w:top w:w="90" w:type="dxa"/>
              <w:left w:w="100" w:type="dxa"/>
              <w:bottom w:w="90" w:type="dxa"/>
              <w:right w:w="100" w:type="dxa"/>
            </w:tcMar>
            <w:vAlign w:val="center"/>
          </w:tcPr>
          <w:p w14:paraId="41E9BE46" w14:textId="77777777" w:rsidR="00784701" w:rsidRDefault="00ED1A28">
            <w:pPr>
              <w:jc w:val="center"/>
              <w:rPr>
                <w:rFonts w:hint="eastAsia"/>
              </w:rPr>
            </w:pPr>
            <w:r>
              <w:rPr>
                <w:sz w:val="18"/>
              </w:rPr>
              <w:t>Version</w:t>
            </w:r>
          </w:p>
        </w:tc>
        <w:tc>
          <w:tcPr>
            <w:tcW w:w="7128" w:type="dxa"/>
            <w:shd w:val="clear" w:color="auto" w:fill="F8FAFC"/>
            <w:tcMar>
              <w:top w:w="90" w:type="dxa"/>
              <w:left w:w="100" w:type="dxa"/>
              <w:bottom w:w="90" w:type="dxa"/>
              <w:right w:w="100" w:type="dxa"/>
            </w:tcMar>
            <w:vAlign w:val="center"/>
          </w:tcPr>
          <w:p w14:paraId="3F3561FD" w14:textId="77777777" w:rsidR="00784701" w:rsidRDefault="00ED1A28">
            <w:pPr>
              <w:jc w:val="center"/>
              <w:rPr>
                <w:rFonts w:hint="eastAsia"/>
              </w:rPr>
            </w:pPr>
            <w:r>
              <w:rPr>
                <w:sz w:val="18"/>
              </w:rPr>
              <w:t>1</w:t>
            </w:r>
          </w:p>
        </w:tc>
      </w:tr>
      <w:tr w:rsidR="00784701" w14:paraId="1821375B" w14:textId="77777777">
        <w:trPr>
          <w:jc w:val="center"/>
        </w:trPr>
        <w:tc>
          <w:tcPr>
            <w:tcW w:w="3240" w:type="dxa"/>
            <w:tcMar>
              <w:top w:w="90" w:type="dxa"/>
              <w:left w:w="100" w:type="dxa"/>
              <w:bottom w:w="90" w:type="dxa"/>
              <w:right w:w="100" w:type="dxa"/>
            </w:tcMar>
            <w:vAlign w:val="center"/>
          </w:tcPr>
          <w:p w14:paraId="6F65C829" w14:textId="77777777" w:rsidR="00784701" w:rsidRDefault="00ED1A28">
            <w:pPr>
              <w:rPr>
                <w:rFonts w:hint="eastAsia"/>
              </w:rPr>
            </w:pPr>
            <w:r>
              <w:rPr>
                <w:sz w:val="18"/>
              </w:rPr>
              <w:t>Maximum Interpretable Resolution</w:t>
            </w:r>
          </w:p>
        </w:tc>
        <w:tc>
          <w:tcPr>
            <w:tcW w:w="7128" w:type="dxa"/>
            <w:tcMar>
              <w:top w:w="90" w:type="dxa"/>
              <w:left w:w="100" w:type="dxa"/>
              <w:bottom w:w="90" w:type="dxa"/>
              <w:right w:w="100" w:type="dxa"/>
            </w:tcMar>
            <w:vAlign w:val="center"/>
          </w:tcPr>
          <w:p w14:paraId="2EBCB2B9" w14:textId="77777777" w:rsidR="00784701" w:rsidRDefault="00ED1A28">
            <w:pPr>
              <w:jc w:val="center"/>
              <w:rPr>
                <w:rFonts w:hint="eastAsia"/>
              </w:rPr>
            </w:pPr>
            <w:r>
              <w:rPr>
                <w:sz w:val="18"/>
              </w:rPr>
              <w:t>256 bits</w:t>
            </w:r>
          </w:p>
        </w:tc>
      </w:tr>
      <w:tr w:rsidR="00784701" w14:paraId="2CC0FD6D" w14:textId="77777777">
        <w:trPr>
          <w:jc w:val="center"/>
        </w:trPr>
        <w:tc>
          <w:tcPr>
            <w:tcW w:w="3240" w:type="dxa"/>
            <w:shd w:val="clear" w:color="auto" w:fill="F8FAFC"/>
            <w:tcMar>
              <w:top w:w="90" w:type="dxa"/>
              <w:left w:w="100" w:type="dxa"/>
              <w:bottom w:w="90" w:type="dxa"/>
              <w:right w:w="100" w:type="dxa"/>
            </w:tcMar>
            <w:vAlign w:val="center"/>
          </w:tcPr>
          <w:p w14:paraId="4D5550DC" w14:textId="77777777" w:rsidR="00784701" w:rsidRDefault="00ED1A28">
            <w:pPr>
              <w:rPr>
                <w:rFonts w:hint="eastAsia"/>
              </w:rPr>
            </w:pPr>
            <w:r>
              <w:rPr>
                <w:sz w:val="18"/>
              </w:rPr>
              <w:t>Opaque Tail Preservation</w:t>
            </w:r>
          </w:p>
        </w:tc>
        <w:tc>
          <w:tcPr>
            <w:tcW w:w="7128" w:type="dxa"/>
            <w:shd w:val="clear" w:color="auto" w:fill="F8FAFC"/>
            <w:tcMar>
              <w:top w:w="90" w:type="dxa"/>
              <w:left w:w="100" w:type="dxa"/>
              <w:bottom w:w="90" w:type="dxa"/>
              <w:right w:w="100" w:type="dxa"/>
            </w:tcMar>
            <w:vAlign w:val="center"/>
          </w:tcPr>
          <w:p w14:paraId="5D0BE79B" w14:textId="77777777" w:rsidR="00784701" w:rsidRDefault="00ED1A28">
            <w:pPr>
              <w:jc w:val="center"/>
              <w:rPr>
                <w:rFonts w:hint="eastAsia"/>
              </w:rPr>
            </w:pPr>
            <w:r>
              <w:rPr>
                <w:sz w:val="18"/>
              </w:rPr>
              <w:t>Supported</w:t>
            </w:r>
          </w:p>
        </w:tc>
      </w:tr>
      <w:tr w:rsidR="00784701" w14:paraId="45BEB2AE" w14:textId="77777777">
        <w:trPr>
          <w:jc w:val="center"/>
        </w:trPr>
        <w:tc>
          <w:tcPr>
            <w:tcW w:w="3240" w:type="dxa"/>
            <w:tcMar>
              <w:top w:w="90" w:type="dxa"/>
              <w:left w:w="100" w:type="dxa"/>
              <w:bottom w:w="90" w:type="dxa"/>
              <w:right w:w="100" w:type="dxa"/>
            </w:tcMar>
            <w:vAlign w:val="center"/>
          </w:tcPr>
          <w:p w14:paraId="02C70975" w14:textId="77777777" w:rsidR="00784701" w:rsidRDefault="00ED1A28">
            <w:pPr>
              <w:jc w:val="center"/>
              <w:rPr>
                <w:rFonts w:hint="eastAsia"/>
              </w:rPr>
            </w:pPr>
            <w:r>
              <w:rPr>
                <w:sz w:val="18"/>
              </w:rPr>
              <w:t>Mutation Authority</w:t>
            </w:r>
          </w:p>
        </w:tc>
        <w:tc>
          <w:tcPr>
            <w:tcW w:w="7128" w:type="dxa"/>
            <w:tcMar>
              <w:top w:w="90" w:type="dxa"/>
              <w:left w:w="100" w:type="dxa"/>
              <w:bottom w:w="90" w:type="dxa"/>
              <w:right w:w="100" w:type="dxa"/>
            </w:tcMar>
            <w:vAlign w:val="center"/>
          </w:tcPr>
          <w:p w14:paraId="28C26C3A" w14:textId="77777777" w:rsidR="00784701" w:rsidRDefault="00ED1A28">
            <w:pPr>
              <w:rPr>
                <w:rFonts w:hint="eastAsia"/>
              </w:rPr>
            </w:pPr>
            <w:r>
              <w:rPr>
                <w:sz w:val="18"/>
              </w:rPr>
              <w:t>BODY-128 prefix only</w:t>
            </w:r>
          </w:p>
        </w:tc>
      </w:tr>
      <w:tr w:rsidR="00784701" w14:paraId="604C8BD6" w14:textId="77777777">
        <w:trPr>
          <w:jc w:val="center"/>
        </w:trPr>
        <w:tc>
          <w:tcPr>
            <w:tcW w:w="3240" w:type="dxa"/>
            <w:shd w:val="clear" w:color="auto" w:fill="F8FAFC"/>
            <w:tcMar>
              <w:top w:w="90" w:type="dxa"/>
              <w:left w:w="100" w:type="dxa"/>
              <w:bottom w:w="90" w:type="dxa"/>
              <w:right w:w="100" w:type="dxa"/>
            </w:tcMar>
            <w:vAlign w:val="center"/>
          </w:tcPr>
          <w:p w14:paraId="3FD9A43D" w14:textId="77777777" w:rsidR="00784701" w:rsidRDefault="00ED1A28">
            <w:pPr>
              <w:jc w:val="center"/>
              <w:rPr>
                <w:rFonts w:hint="eastAsia"/>
              </w:rPr>
            </w:pPr>
            <w:r>
              <w:rPr>
                <w:sz w:val="18"/>
              </w:rPr>
              <w:t>Bitlink Resolution</w:t>
            </w:r>
          </w:p>
        </w:tc>
        <w:tc>
          <w:tcPr>
            <w:tcW w:w="7128" w:type="dxa"/>
            <w:shd w:val="clear" w:color="auto" w:fill="F8FAFC"/>
            <w:tcMar>
              <w:top w:w="90" w:type="dxa"/>
              <w:left w:w="100" w:type="dxa"/>
              <w:bottom w:w="90" w:type="dxa"/>
              <w:right w:w="100" w:type="dxa"/>
            </w:tcMar>
            <w:vAlign w:val="center"/>
          </w:tcPr>
          <w:p w14:paraId="1B7E88A3" w14:textId="77777777" w:rsidR="00784701" w:rsidRDefault="00ED1A28">
            <w:pPr>
              <w:rPr>
                <w:rFonts w:hint="eastAsia"/>
              </w:rPr>
            </w:pPr>
            <w:r>
              <w:rPr>
                <w:sz w:val="18"/>
              </w:rPr>
              <w:t>Prefix and BODY-256 extension</w:t>
            </w:r>
          </w:p>
        </w:tc>
      </w:tr>
    </w:tbl>
    <w:p w14:paraId="739D7A8A" w14:textId="77777777" w:rsidR="00784701" w:rsidRDefault="00784701">
      <w:pPr>
        <w:spacing w:after="40"/>
        <w:rPr>
          <w:rFonts w:hint="eastAsia"/>
        </w:rPr>
      </w:pPr>
    </w:p>
    <w:p w14:paraId="7B72EC40" w14:textId="77777777" w:rsidR="00784701" w:rsidRDefault="00ED1A28">
      <w:pPr>
        <w:pStyle w:val="Heading2"/>
        <w:spacing w:before="160" w:after="100"/>
      </w:pPr>
      <w:r>
        <w:t>9.2 Minimum Common Resolution</w:t>
      </w:r>
    </w:p>
    <w:p w14:paraId="02DE57A7" w14:textId="77777777" w:rsidR="00784701" w:rsidRDefault="00ED1A28">
      <w:pPr>
        <w:pStyle w:val="BodyText"/>
        <w:spacing w:after="100" w:line="259" w:lineRule="auto"/>
        <w:rPr>
          <w:rFonts w:hint="eastAsia"/>
        </w:rPr>
      </w:pPr>
      <w:r>
        <w:t>When producer and consumer support different resolutions of the same compatible family, the minimum common published prefix can be used for interpretation. If the consumer preserves the tail opaquely, the full record may still be transported even though only the shared prefix is semantically active.</w:t>
      </w:r>
    </w:p>
    <w:p w14:paraId="26D553A6" w14:textId="77777777" w:rsidR="00784701" w:rsidRDefault="00ED1A28">
      <w:pPr>
        <w:pStyle w:val="Heading2"/>
        <w:spacing w:before="160" w:after="100"/>
      </w:pPr>
      <w:r>
        <w:t>9.3 Mutation Boundaries</w:t>
      </w:r>
    </w:p>
    <w:p w14:paraId="60F6C0B3" w14:textId="77777777" w:rsidR="00784701" w:rsidRDefault="00ED1A28">
      <w:pPr>
        <w:pStyle w:val="BodyText"/>
        <w:spacing w:after="100" w:line="259" w:lineRule="auto"/>
        <w:rPr>
          <w:rFonts w:hint="eastAsia"/>
        </w:rPr>
      </w:pPr>
      <w:r>
        <w:t>A lower-resolution runtime MUST NOT mutate extension bits it does not understand. It may mutate authorized prefix bits while preserving the tail byte-for-byte, provided the Kernel rules explicitly permit such partial-resolution mutation and no cross-segment invariant would be violated. Where cross-segment invariants exist, the runtime must escalate to a reader capable of validating the complete required resolution.</w:t>
      </w:r>
    </w:p>
    <w:p w14:paraId="754B891D" w14:textId="77777777" w:rsidR="00784701" w:rsidRDefault="00ED1A28">
      <w:pPr>
        <w:pStyle w:val="Heading2"/>
        <w:spacing w:before="160" w:after="100"/>
      </w:pPr>
      <w:r>
        <w:t>9.4 Resolution Requirements on Operators</w:t>
      </w:r>
    </w:p>
    <w:p w14:paraId="6DD80190" w14:textId="77777777" w:rsidR="00784701" w:rsidRDefault="00ED1A28">
      <w:pPr>
        <w:pStyle w:val="BodyText"/>
        <w:spacing w:after="100" w:line="259" w:lineRule="auto"/>
        <w:rPr>
          <w:rFonts w:hint="eastAsia"/>
        </w:rPr>
      </w:pPr>
      <w:r>
        <w:t>Operator contracts SHOULD declare Minimum Read Resolution and Minimum Write Resolution. An Operator that changes only BODY-128 semantics may run against a BODY-256 or MUSCLE-512 instance if it can validate all required invariants. A specialist Operator that reads B300 cannot run against a BODY-256 instance.</w:t>
      </w:r>
    </w:p>
    <w:p w14:paraId="12C0DE09" w14:textId="77777777" w:rsidR="00784701" w:rsidRDefault="00ED1A28">
      <w:pPr>
        <w:pStyle w:val="Heading2"/>
        <w:spacing w:before="160" w:after="100"/>
      </w:pPr>
      <w:r>
        <w:t>9.5 Fail-Closed Behavior</w:t>
      </w:r>
    </w:p>
    <w:p w14:paraId="0C12C854" w14:textId="77777777" w:rsidR="00784701" w:rsidRDefault="00ED1A28">
      <w:pPr>
        <w:pStyle w:val="BodyText"/>
        <w:spacing w:after="100" w:line="259" w:lineRule="auto"/>
        <w:rPr>
          <w:rFonts w:hint="eastAsia"/>
        </w:rPr>
      </w:pPr>
      <w:r>
        <w:t>If the runtime cannot resolve the required parent contract, extension contract, group semantics, or cross-segment Rules, it SHOULD reject the mutation or quarantine it for review rather than guessing. Prefix compatibility makes partial reading safe; it does not grant authority to invent unknown extension semantics.</w:t>
      </w:r>
    </w:p>
    <w:p w14:paraId="479BF5D0" w14:textId="77777777" w:rsidR="00784701" w:rsidRDefault="00ED1A28">
      <w:pPr>
        <w:pStyle w:val="Heading1"/>
        <w:spacing w:before="240" w:after="100"/>
      </w:pPr>
      <w:r>
        <w:t>10. Worked Examples</w:t>
      </w:r>
    </w:p>
    <w:p w14:paraId="4532085A" w14:textId="77777777" w:rsidR="00784701" w:rsidRDefault="00ED1A28">
      <w:pPr>
        <w:pStyle w:val="Heading2"/>
        <w:spacing w:before="160" w:after="100"/>
      </w:pPr>
      <w:r>
        <w:t>10.1 BODY-128 → BODY-256 → MUSCLE-512</w:t>
      </w:r>
    </w:p>
    <w:p w14:paraId="2B772BBB" w14:textId="77777777" w:rsidR="00784701" w:rsidRDefault="00ED1A28">
      <w:pPr>
        <w:pStyle w:val="BodyText"/>
        <w:spacing w:after="100" w:line="259" w:lineRule="auto"/>
        <w:rPr>
          <w:rFonts w:hint="eastAsia"/>
        </w:rPr>
      </w:pPr>
      <w:r>
        <w:t>BODY-128 acts as a compact canonical anatomical identity language. A valid 128-bit combination resolves to a registered body component. BODY-256 preserves those 128 bits and appends a generic tissue/cellular-function extension. MUSCLE-512 preserves the full BODY-256 prefix and appends specialist muscle microanatomy and state.</w:t>
      </w:r>
    </w:p>
    <w:tbl>
      <w:tblPr>
        <w:tblW w:w="0" w:type="auto"/>
        <w:jc w:val="center"/>
        <w:tblLook w:val="04A0" w:firstRow="1" w:lastRow="0" w:firstColumn="1" w:lastColumn="0" w:noHBand="0" w:noVBand="1"/>
      </w:tblPr>
      <w:tblGrid>
        <w:gridCol w:w="9936"/>
      </w:tblGrid>
      <w:tr w:rsidR="00784701" w14:paraId="1374D962" w14:textId="77777777">
        <w:trPr>
          <w:cantSplit/>
          <w:jc w:val="center"/>
        </w:trPr>
        <w:tc>
          <w:tcPr>
            <w:tcW w:w="9936" w:type="dxa"/>
            <w:shd w:val="clear" w:color="auto" w:fill="F7F9FB"/>
            <w:tcMar>
              <w:top w:w="100" w:type="dxa"/>
              <w:left w:w="140" w:type="dxa"/>
              <w:bottom w:w="100" w:type="dxa"/>
              <w:right w:w="140" w:type="dxa"/>
            </w:tcMar>
          </w:tcPr>
          <w:p w14:paraId="15D55FE8" w14:textId="77777777" w:rsidR="00784701" w:rsidRDefault="00ED1A28">
            <w:pPr>
              <w:rPr>
                <w:rFonts w:hint="eastAsia"/>
              </w:rPr>
            </w:pPr>
            <w:r>
              <w:rPr>
                <w:b/>
                <w:color w:val="0F6B78"/>
                <w:sz w:val="19"/>
              </w:rPr>
              <w:t>Progressive anatomical resolution</w:t>
            </w:r>
          </w:p>
          <w:p w14:paraId="35CCF8E2" w14:textId="77777777" w:rsidR="00784701" w:rsidRDefault="00ED1A28">
            <w:pPr>
              <w:spacing w:after="0"/>
              <w:rPr>
                <w:rFonts w:hint="eastAsia"/>
              </w:rPr>
            </w:pPr>
            <w:r>
              <w:rPr>
                <w:rFonts w:ascii="Consolas" w:hAnsi="Consolas"/>
                <w:sz w:val="18"/>
              </w:rPr>
              <w:t>BODY-128 (16 bytes)</w:t>
            </w:r>
            <w:r>
              <w:br/>
            </w:r>
            <w:r>
              <w:rPr>
                <w:rFonts w:ascii="Consolas" w:hAnsi="Consolas"/>
                <w:sz w:val="18"/>
              </w:rPr>
              <w:t>[ body-part identity ]</w:t>
            </w:r>
            <w:r>
              <w:br/>
            </w:r>
            <w:r>
              <w:br/>
            </w:r>
            <w:r>
              <w:rPr>
                <w:rFonts w:ascii="Consolas" w:hAnsi="Consolas"/>
                <w:sz w:val="18"/>
              </w:rPr>
              <w:t>BODY-256 (32 bytes)</w:t>
            </w:r>
            <w:r>
              <w:br/>
            </w:r>
            <w:r>
              <w:rPr>
                <w:rFonts w:ascii="Consolas" w:hAnsi="Consolas"/>
                <w:sz w:val="18"/>
              </w:rPr>
              <w:t>[ body-part identity ][ generic cellular / tissue function ]</w:t>
            </w:r>
            <w:r>
              <w:br/>
            </w:r>
            <w:r>
              <w:br/>
            </w:r>
            <w:r>
              <w:rPr>
                <w:rFonts w:ascii="Consolas" w:hAnsi="Consolas"/>
                <w:sz w:val="18"/>
              </w:rPr>
              <w:t>MUSCLE-512 (64 bytes)</w:t>
            </w:r>
            <w:r>
              <w:br/>
            </w:r>
            <w:r>
              <w:rPr>
                <w:rFonts w:ascii="Consolas" w:hAnsi="Consolas"/>
                <w:sz w:val="18"/>
              </w:rPr>
              <w:t>[ body-part identity ][ generic cellular / tissue function ][ muscle-specific microanatomy/state ]</w:t>
            </w:r>
          </w:p>
        </w:tc>
      </w:tr>
    </w:tbl>
    <w:p w14:paraId="04C451EE" w14:textId="77777777" w:rsidR="00784701" w:rsidRDefault="00784701">
      <w:pPr>
        <w:spacing w:after="20"/>
        <w:rPr>
          <w:rFonts w:hint="eastAsia"/>
        </w:rPr>
      </w:pPr>
    </w:p>
    <w:p w14:paraId="7A87DC51" w14:textId="77777777" w:rsidR="00784701" w:rsidRDefault="00ED1A28">
      <w:pPr>
        <w:pStyle w:val="BodyText"/>
        <w:spacing w:after="100" w:line="259" w:lineRule="auto"/>
        <w:rPr>
          <w:rFonts w:hint="eastAsia"/>
        </w:rPr>
      </w:pPr>
      <w:r>
        <w:t>A workout application may stop at BODY-128 or avoid the BODY family entirely when FIT-128 plus an Exercise NodeKey is sufficient. A physiology or injury analysis can continue to BODY-256 or MUSCLE-512 without changing the historical workout record.</w:t>
      </w:r>
    </w:p>
    <w:p w14:paraId="491C0CDB" w14:textId="77777777" w:rsidR="00784701" w:rsidRDefault="00ED1A28">
      <w:pPr>
        <w:pStyle w:val="Heading2"/>
        <w:spacing w:before="160" w:after="100"/>
      </w:pPr>
      <w:r>
        <w:t>10.2 TIME-128 → TIME-256</w:t>
      </w:r>
    </w:p>
    <w:p w14:paraId="542609F2" w14:textId="77777777" w:rsidR="00784701" w:rsidRDefault="00ED1A28">
      <w:pPr>
        <w:pStyle w:val="BodyText"/>
        <w:spacing w:after="100" w:line="259" w:lineRule="auto"/>
        <w:rPr>
          <w:rFonts w:hint="eastAsia"/>
        </w:rPr>
      </w:pPr>
      <w:r>
        <w:t>TIME-128 can serve ordinary human and operational temporal semantics. TIME-256 may append higher-precision scientific timing, instrumentation detail, or additional temporal state required for research. A calendar reader consumes the TIME-128 prefix; a laboratory reader can consume the full TIME-256 word.</w:t>
      </w:r>
    </w:p>
    <w:tbl>
      <w:tblPr>
        <w:tblW w:w="0" w:type="auto"/>
        <w:jc w:val="center"/>
        <w:tblLook w:val="04A0" w:firstRow="1" w:lastRow="0" w:firstColumn="1" w:lastColumn="0" w:noHBand="0" w:noVBand="1"/>
      </w:tblPr>
      <w:tblGrid>
        <w:gridCol w:w="9936"/>
      </w:tblGrid>
      <w:tr w:rsidR="00784701" w14:paraId="01E7B77E" w14:textId="77777777">
        <w:trPr>
          <w:cantSplit/>
          <w:jc w:val="center"/>
        </w:trPr>
        <w:tc>
          <w:tcPr>
            <w:tcW w:w="9936" w:type="dxa"/>
            <w:tcBorders>
              <w:top w:val="single" w:sz="8" w:space="0" w:color="0F6B78"/>
              <w:left w:val="single" w:sz="8" w:space="0" w:color="0F6B78"/>
              <w:bottom w:val="single" w:sz="8" w:space="0" w:color="0F6B78"/>
              <w:right w:val="single" w:sz="8" w:space="0" w:color="0F6B78"/>
            </w:tcBorders>
            <w:shd w:val="clear" w:color="auto" w:fill="EAF5F6"/>
            <w:tcMar>
              <w:top w:w="120" w:type="dxa"/>
              <w:left w:w="160" w:type="dxa"/>
              <w:bottom w:w="120" w:type="dxa"/>
              <w:right w:w="160" w:type="dxa"/>
            </w:tcMar>
          </w:tcPr>
          <w:p w14:paraId="52586154" w14:textId="77777777" w:rsidR="00784701" w:rsidRDefault="00ED1A28">
            <w:pPr>
              <w:spacing w:after="60"/>
              <w:rPr>
                <w:rFonts w:hint="eastAsia"/>
              </w:rPr>
            </w:pPr>
            <w:r>
              <w:rPr>
                <w:b/>
                <w:color w:val="0F6B78"/>
              </w:rPr>
              <w:t>Resolution Selection Example</w:t>
            </w:r>
          </w:p>
          <w:p w14:paraId="239ABA3F" w14:textId="77777777" w:rsidR="00784701" w:rsidRDefault="00ED1A28">
            <w:pPr>
              <w:spacing w:after="0"/>
              <w:rPr>
                <w:rFonts w:hint="eastAsia"/>
              </w:rPr>
            </w:pPr>
            <w:r>
              <w:rPr>
                <w:sz w:val="20"/>
              </w:rPr>
              <w:t>A workout does not become more useful merely because cellular activity and extreme time precision can be represented elsewhere. The event should use the lowest resolution that captures what was actually observed and operationally relevant.</w:t>
            </w:r>
          </w:p>
        </w:tc>
      </w:tr>
    </w:tbl>
    <w:p w14:paraId="3176FD85" w14:textId="77777777" w:rsidR="00784701" w:rsidRDefault="00784701">
      <w:pPr>
        <w:spacing w:after="20"/>
        <w:rPr>
          <w:rFonts w:hint="eastAsia"/>
        </w:rPr>
      </w:pPr>
    </w:p>
    <w:p w14:paraId="3CE89942" w14:textId="77777777" w:rsidR="00784701" w:rsidRDefault="00ED1A28">
      <w:pPr>
        <w:pStyle w:val="Heading2"/>
        <w:spacing w:before="160" w:after="100"/>
      </w:pPr>
      <w:r>
        <w:t>10.3 Workout Record with Deep Guidance</w:t>
      </w:r>
    </w:p>
    <w:tbl>
      <w:tblPr>
        <w:tblW w:w="0" w:type="auto"/>
        <w:jc w:val="center"/>
        <w:tblLook w:val="04A0" w:firstRow="1" w:lastRow="0" w:firstColumn="1" w:lastColumn="0" w:noHBand="0" w:noVBand="1"/>
      </w:tblPr>
      <w:tblGrid>
        <w:gridCol w:w="9936"/>
      </w:tblGrid>
      <w:tr w:rsidR="00784701" w14:paraId="5770FD22" w14:textId="77777777">
        <w:trPr>
          <w:cantSplit/>
          <w:jc w:val="center"/>
        </w:trPr>
        <w:tc>
          <w:tcPr>
            <w:tcW w:w="9936" w:type="dxa"/>
            <w:shd w:val="clear" w:color="auto" w:fill="F7F9FB"/>
            <w:tcMar>
              <w:top w:w="100" w:type="dxa"/>
              <w:left w:w="140" w:type="dxa"/>
              <w:bottom w:w="100" w:type="dxa"/>
              <w:right w:w="140" w:type="dxa"/>
            </w:tcMar>
          </w:tcPr>
          <w:p w14:paraId="424C3D76" w14:textId="77777777" w:rsidR="00784701" w:rsidRDefault="00ED1A28">
            <w:pPr>
              <w:rPr>
                <w:rFonts w:hint="eastAsia"/>
              </w:rPr>
            </w:pPr>
            <w:r>
              <w:rPr>
                <w:b/>
                <w:color w:val="0F6B78"/>
                <w:sz w:val="19"/>
              </w:rPr>
              <w:t>Shallow record, deep guidance</w:t>
            </w:r>
          </w:p>
          <w:p w14:paraId="01DEB276" w14:textId="77777777" w:rsidR="00784701" w:rsidRDefault="00ED1A28">
            <w:pPr>
              <w:spacing w:after="0"/>
              <w:rPr>
                <w:rFonts w:hint="eastAsia"/>
              </w:rPr>
            </w:pPr>
            <w:r>
              <w:rPr>
                <w:rFonts w:ascii="Consolas" w:hAnsi="Consolas"/>
                <w:sz w:val="18"/>
              </w:rPr>
              <w:t>Operational record:</w:t>
            </w:r>
            <w:r>
              <w:br/>
            </w:r>
            <w:r>
              <w:rPr>
                <w:rFonts w:ascii="Consolas" w:hAnsi="Consolas"/>
                <w:sz w:val="18"/>
              </w:rPr>
              <w:t>TIME-128 + FIT-128 + Exercise NodeKey</w:t>
            </w:r>
            <w:r>
              <w:br/>
            </w:r>
            <w:r>
              <w:br/>
            </w:r>
            <w:r>
              <w:rPr>
                <w:rFonts w:ascii="Consolas" w:hAnsi="Consolas"/>
                <w:sz w:val="18"/>
              </w:rPr>
              <w:t>Guidance graph may traverse:</w:t>
            </w:r>
            <w:r>
              <w:br/>
            </w:r>
            <w:r>
              <w:rPr>
                <w:rFonts w:ascii="Consolas" w:hAnsi="Consolas"/>
                <w:sz w:val="18"/>
              </w:rPr>
              <w:t>Exercise → BODY-128 mappings → BODY-256 → MUSCLE-512 → biomechanics / physiology Models</w:t>
            </w:r>
            <w:r>
              <w:br/>
            </w:r>
            <w:r>
              <w:br/>
            </w:r>
            <w:r>
              <w:rPr>
                <w:rFonts w:ascii="Consolas" w:hAnsi="Consolas"/>
                <w:sz w:val="18"/>
              </w:rPr>
              <w:t>The deeper knowledge informs programming without being copied into every workout event.</w:t>
            </w:r>
          </w:p>
        </w:tc>
      </w:tr>
    </w:tbl>
    <w:p w14:paraId="24ABD7E6" w14:textId="77777777" w:rsidR="00784701" w:rsidRDefault="00784701">
      <w:pPr>
        <w:spacing w:after="20"/>
        <w:rPr>
          <w:rFonts w:hint="eastAsia"/>
        </w:rPr>
      </w:pPr>
    </w:p>
    <w:p w14:paraId="6F86552A" w14:textId="77777777" w:rsidR="00784701" w:rsidRDefault="00ED1A28">
      <w:pPr>
        <w:pStyle w:val="Heading2"/>
        <w:spacing w:before="160" w:after="100"/>
      </w:pPr>
      <w:r>
        <w:t>10.4 Scientific Measurement</w:t>
      </w:r>
    </w:p>
    <w:p w14:paraId="0F7E1875" w14:textId="77777777" w:rsidR="00784701" w:rsidRDefault="00ED1A28">
      <w:pPr>
        <w:pStyle w:val="BodyText"/>
        <w:spacing w:after="100" w:line="259" w:lineRule="auto"/>
        <w:rPr>
          <w:rFonts w:hint="eastAsia"/>
        </w:rPr>
      </w:pPr>
      <w:r>
        <w:t>A scientific instrument or experimental protocol may require TIME-256 because synchronization precision is material to the observation. The same record can still expose its TIME-128 prefix to systems that only require ordinary scheduling, grouping, or historical placement.</w:t>
      </w:r>
    </w:p>
    <w:p w14:paraId="737CFF11" w14:textId="77777777" w:rsidR="00784701" w:rsidRDefault="00ED1A28">
      <w:pPr>
        <w:pStyle w:val="Heading2"/>
        <w:spacing w:before="160" w:after="100"/>
      </w:pPr>
      <w:r>
        <w:t>10.5 Bitlink Inheritance Example</w:t>
      </w:r>
    </w:p>
    <w:tbl>
      <w:tblPr>
        <w:tblW w:w="0" w:type="auto"/>
        <w:jc w:val="center"/>
        <w:tblLook w:val="04A0" w:firstRow="1" w:lastRow="0" w:firstColumn="1" w:lastColumn="0" w:noHBand="0" w:noVBand="1"/>
      </w:tblPr>
      <w:tblGrid>
        <w:gridCol w:w="9936"/>
      </w:tblGrid>
      <w:tr w:rsidR="00784701" w14:paraId="7A397582" w14:textId="77777777">
        <w:trPr>
          <w:cantSplit/>
          <w:jc w:val="center"/>
        </w:trPr>
        <w:tc>
          <w:tcPr>
            <w:tcW w:w="9936" w:type="dxa"/>
            <w:shd w:val="clear" w:color="auto" w:fill="F7F9FB"/>
            <w:tcMar>
              <w:top w:w="100" w:type="dxa"/>
              <w:left w:w="140" w:type="dxa"/>
              <w:bottom w:w="100" w:type="dxa"/>
              <w:right w:w="140" w:type="dxa"/>
            </w:tcMar>
          </w:tcPr>
          <w:p w14:paraId="1D5222B8" w14:textId="77777777" w:rsidR="00784701" w:rsidRDefault="00ED1A28">
            <w:pPr>
              <w:rPr>
                <w:rFonts w:hint="eastAsia"/>
              </w:rPr>
            </w:pPr>
            <w:r>
              <w:rPr>
                <w:b/>
                <w:color w:val="0F6B78"/>
                <w:sz w:val="19"/>
              </w:rPr>
              <w:t>Bitlink survival across extension</w:t>
            </w:r>
          </w:p>
          <w:p w14:paraId="730AA3C3" w14:textId="77777777" w:rsidR="00784701" w:rsidRDefault="00ED1A28">
            <w:pPr>
              <w:spacing w:after="0"/>
              <w:rPr>
                <w:rFonts w:hint="eastAsia"/>
              </w:rPr>
            </w:pPr>
            <w:r>
              <w:rPr>
                <w:rFonts w:ascii="Consolas" w:hAnsi="Consolas"/>
                <w:sz w:val="18"/>
              </w:rPr>
              <w:t>Existing Bitlink:</w:t>
            </w:r>
            <w:r>
              <w:br/>
            </w:r>
            <w:r>
              <w:rPr>
                <w:rFonts w:ascii="Consolas" w:hAnsi="Consolas"/>
                <w:sz w:val="18"/>
              </w:rPr>
              <w:t>Source = BODY-128:B044</w:t>
            </w:r>
            <w:r>
              <w:br/>
            </w:r>
            <w:r>
              <w:rPr>
                <w:rFonts w:ascii="Consolas" w:hAnsi="Consolas"/>
                <w:sz w:val="18"/>
              </w:rPr>
              <w:t>Trigger = Enter</w:t>
            </w:r>
            <w:r>
              <w:br/>
            </w:r>
            <w:r>
              <w:rPr>
                <w:rFonts w:ascii="Consolas" w:hAnsi="Consolas"/>
                <w:sz w:val="18"/>
              </w:rPr>
              <w:t>Target = Skene highlight / UI state / Model input</w:t>
            </w:r>
            <w:r>
              <w:br/>
            </w:r>
            <w:r>
              <w:br/>
            </w:r>
            <w:r>
              <w:rPr>
                <w:rFonts w:ascii="Consolas" w:hAnsi="Consolas"/>
                <w:sz w:val="18"/>
              </w:rPr>
              <w:t>Later source instance = MUSCLE-512</w:t>
            </w:r>
            <w:r>
              <w:br/>
            </w:r>
            <w:r>
              <w:br/>
            </w:r>
            <w:r>
              <w:rPr>
                <w:rFonts w:ascii="Consolas" w:hAnsi="Consolas"/>
                <w:sz w:val="18"/>
              </w:rPr>
              <w:t>Result:</w:t>
            </w:r>
            <w:r>
              <w:br/>
            </w:r>
            <w:r>
              <w:rPr>
                <w:rFonts w:ascii="Consolas" w:hAnsi="Consolas"/>
                <w:sz w:val="18"/>
              </w:rPr>
              <w:t>B044 remains BODY-128:B044, so the original Bitlink remains valid.</w:t>
            </w:r>
            <w:r>
              <w:br/>
            </w:r>
            <w:r>
              <w:rPr>
                <w:rFonts w:ascii="Consolas" w:hAnsi="Consolas"/>
                <w:sz w:val="18"/>
              </w:rPr>
              <w:t>New MUSCLE-specific Bitlinks may additionally subscribe to B256–B511.</w:t>
            </w:r>
          </w:p>
        </w:tc>
      </w:tr>
    </w:tbl>
    <w:p w14:paraId="095DFE3B" w14:textId="77777777" w:rsidR="00784701" w:rsidRDefault="00784701">
      <w:pPr>
        <w:spacing w:after="20"/>
        <w:rPr>
          <w:rFonts w:hint="eastAsia"/>
        </w:rPr>
      </w:pPr>
    </w:p>
    <w:p w14:paraId="75EED69A" w14:textId="77777777" w:rsidR="00784701" w:rsidRDefault="00ED1A28">
      <w:pPr>
        <w:pStyle w:val="Heading2"/>
        <w:spacing w:before="160" w:after="100"/>
      </w:pPr>
      <w:r>
        <w:t>10.6 Portable Transfer Example</w:t>
      </w:r>
    </w:p>
    <w:p w14:paraId="66ABC27C" w14:textId="77777777" w:rsidR="00784701" w:rsidRDefault="00ED1A28">
      <w:pPr>
        <w:pStyle w:val="BodyText"/>
        <w:spacing w:after="100" w:line="259" w:lineRule="auto"/>
        <w:rPr>
          <w:rFonts w:hint="eastAsia"/>
        </w:rPr>
      </w:pPr>
      <w:r>
        <w:t>System A stores a MUSCLE-512 value as 64 canonical bytes. System B implements the same family/version and serialization. The word can be transferred directly. System C understands only BODY-128; it may consume the first 16 bytes and optionally preserve the remaining 48 bytes opaquely for round-trip transfer.</w:t>
      </w:r>
    </w:p>
    <w:p w14:paraId="66510881" w14:textId="77777777" w:rsidR="00784701" w:rsidRDefault="00ED1A28">
      <w:pPr>
        <w:pStyle w:val="Heading1"/>
        <w:spacing w:before="240" w:after="100"/>
      </w:pPr>
      <w:r>
        <w:t>11. Relationship to CERBERUS Matryoshka and LIBERTY</w:t>
      </w:r>
    </w:p>
    <w:p w14:paraId="4DC02790" w14:textId="77777777" w:rsidR="00784701" w:rsidRDefault="00ED1A28">
      <w:pPr>
        <w:pStyle w:val="Heading2"/>
        <w:spacing w:before="160" w:after="100"/>
      </w:pPr>
      <w:r>
        <w:t>11.1 Finite Interpreter, Expandable Semantic Substrate</w:t>
      </w:r>
    </w:p>
    <w:p w14:paraId="5FBA8BF6" w14:textId="77777777" w:rsidR="00784701" w:rsidRDefault="00ED1A28">
      <w:pPr>
        <w:pStyle w:val="BodyText"/>
        <w:spacing w:after="100" w:line="259" w:lineRule="auto"/>
        <w:rPr>
          <w:rFonts w:hint="eastAsia"/>
        </w:rPr>
      </w:pPr>
      <w:r>
        <w:t>Semantic Prefix Invariance supports a small stable runtime while semantic content grows through registered Kernel families, extension segments, Operators, Rules, Models, and Bitlinks. The interpreter does not need a new execution architecture every time a domain gains resolution; it needs the new registered contracts.</w:t>
      </w:r>
    </w:p>
    <w:p w14:paraId="1298559B" w14:textId="77777777" w:rsidR="00784701" w:rsidRDefault="00ED1A28">
      <w:pPr>
        <w:pStyle w:val="Heading2"/>
        <w:spacing w:before="160" w:after="100"/>
      </w:pPr>
      <w:r>
        <w:t>11.2 Matryoshka Resolution</w:t>
      </w:r>
    </w:p>
    <w:p w14:paraId="7918CABC" w14:textId="77777777" w:rsidR="00784701" w:rsidRDefault="00ED1A28">
      <w:pPr>
        <w:pStyle w:val="BodyText"/>
        <w:spacing w:after="100" w:line="259" w:lineRule="auto"/>
        <w:rPr>
          <w:rFonts w:hint="eastAsia"/>
        </w:rPr>
      </w:pPr>
      <w:r>
        <w:t>The prefix structure is Matryoshka-like: a higher-resolution word contains the lower-resolution semantic object as an intact inner layer. The outer layer adds meaning without destroying the inner one. This makes semantic depth navigable and bounded at each use.</w:t>
      </w:r>
    </w:p>
    <w:p w14:paraId="47268DAD" w14:textId="77777777" w:rsidR="00784701" w:rsidRDefault="00ED1A28">
      <w:pPr>
        <w:pStyle w:val="Heading2"/>
        <w:spacing w:before="160" w:after="100"/>
      </w:pPr>
      <w:r>
        <w:t>11.3 LIBERTY Alignment</w:t>
      </w:r>
    </w:p>
    <w:p w14:paraId="2D15F799" w14:textId="77777777" w:rsidR="00784701" w:rsidRDefault="00ED1A28">
      <w:pPr>
        <w:pStyle w:val="BodyText"/>
        <w:spacing w:after="100" w:line="259" w:lineRule="auto"/>
        <w:rPr>
          <w:rFonts w:hint="eastAsia"/>
        </w:rPr>
      </w:pPr>
      <w:r>
        <w:t>The architecture follows the same general pattern as bounded recursive expansion: potential semantic depth may continue to grow, but every deployed word is finite, versioned, and governed. A task selects a bounded resolution rather than traversing all available detail.</w:t>
      </w:r>
    </w:p>
    <w:p w14:paraId="3EC86294" w14:textId="77777777" w:rsidR="00784701" w:rsidRDefault="00ED1A28">
      <w:pPr>
        <w:pStyle w:val="Heading2"/>
        <w:spacing w:before="160" w:after="100"/>
      </w:pPr>
      <w:r>
        <w:t>11.4 Semantic Kernel Bitlinking Alignment</w:t>
      </w:r>
    </w:p>
    <w:p w14:paraId="287A91DF" w14:textId="77777777" w:rsidR="00784701" w:rsidRDefault="00ED1A28">
      <w:pPr>
        <w:pStyle w:val="BodyText"/>
        <w:spacing w:after="100" w:line="259" w:lineRule="auto"/>
        <w:rPr>
          <w:rFonts w:hint="eastAsia"/>
        </w:rPr>
      </w:pPr>
      <w:r>
        <w:t>Semantic Prefix Invariance strengthens Bitlinking by making canonical semantic addresses stable across resolution growth. Bitlinks, Operators, and Rules can therefore target inherited coordinates without being rewritten when an extension is published. Resolution-specific behavior is added by registering new addresses and new bindings rather than modifying the old dependency graph in place.</w:t>
      </w:r>
    </w:p>
    <w:p w14:paraId="013AE425" w14:textId="77777777" w:rsidR="00784701" w:rsidRDefault="00ED1A28">
      <w:pPr>
        <w:pStyle w:val="Heading1"/>
        <w:spacing w:before="240" w:after="100"/>
      </w:pPr>
      <w:r>
        <w:t>12. Registry and Implementation Architecture</w:t>
      </w:r>
    </w:p>
    <w:p w14:paraId="4B4F0189" w14:textId="77777777" w:rsidR="00784701" w:rsidRDefault="00ED1A28">
      <w:pPr>
        <w:pStyle w:val="Heading2"/>
        <w:spacing w:before="160" w:after="100"/>
      </w:pPr>
      <w:r>
        <w:t>12.1 Recommended Registries</w:t>
      </w:r>
    </w:p>
    <w:tbl>
      <w:tblPr>
        <w:tblStyle w:val="TableGrid"/>
        <w:tblW w:w="0" w:type="auto"/>
        <w:jc w:val="center"/>
        <w:tblLayout w:type="fixed"/>
        <w:tblLook w:val="04A0" w:firstRow="1" w:lastRow="0" w:firstColumn="1" w:lastColumn="0" w:noHBand="0" w:noVBand="1"/>
      </w:tblPr>
      <w:tblGrid>
        <w:gridCol w:w="3096"/>
        <w:gridCol w:w="7272"/>
      </w:tblGrid>
      <w:tr w:rsidR="00784701" w14:paraId="35C04F5D" w14:textId="77777777">
        <w:trPr>
          <w:tblHeader/>
          <w:jc w:val="center"/>
        </w:trPr>
        <w:tc>
          <w:tcPr>
            <w:tcW w:w="3096" w:type="dxa"/>
            <w:shd w:val="clear" w:color="auto" w:fill="17365D"/>
            <w:tcMar>
              <w:top w:w="90" w:type="dxa"/>
              <w:left w:w="100" w:type="dxa"/>
              <w:bottom w:w="90" w:type="dxa"/>
              <w:right w:w="100" w:type="dxa"/>
            </w:tcMar>
            <w:vAlign w:val="center"/>
          </w:tcPr>
          <w:p w14:paraId="30FAB10D" w14:textId="77777777" w:rsidR="00784701" w:rsidRDefault="00ED1A28">
            <w:pPr>
              <w:jc w:val="center"/>
              <w:rPr>
                <w:rFonts w:hint="eastAsia"/>
              </w:rPr>
            </w:pPr>
            <w:r>
              <w:rPr>
                <w:b/>
                <w:color w:val="FFFFFF"/>
                <w:sz w:val="18"/>
              </w:rPr>
              <w:t>Registry</w:t>
            </w:r>
          </w:p>
        </w:tc>
        <w:tc>
          <w:tcPr>
            <w:tcW w:w="7272" w:type="dxa"/>
            <w:shd w:val="clear" w:color="auto" w:fill="17365D"/>
            <w:tcMar>
              <w:top w:w="90" w:type="dxa"/>
              <w:left w:w="100" w:type="dxa"/>
              <w:bottom w:w="90" w:type="dxa"/>
              <w:right w:w="100" w:type="dxa"/>
            </w:tcMar>
            <w:vAlign w:val="center"/>
          </w:tcPr>
          <w:p w14:paraId="1C66FB38" w14:textId="77777777" w:rsidR="00784701" w:rsidRDefault="00ED1A28">
            <w:pPr>
              <w:jc w:val="center"/>
              <w:rPr>
                <w:rFonts w:hint="eastAsia"/>
              </w:rPr>
            </w:pPr>
            <w:r>
              <w:rPr>
                <w:b/>
                <w:color w:val="FFFFFF"/>
                <w:sz w:val="18"/>
              </w:rPr>
              <w:t>Responsibility</w:t>
            </w:r>
          </w:p>
        </w:tc>
      </w:tr>
      <w:tr w:rsidR="00784701" w14:paraId="495464D1" w14:textId="77777777">
        <w:trPr>
          <w:jc w:val="center"/>
        </w:trPr>
        <w:tc>
          <w:tcPr>
            <w:tcW w:w="3096" w:type="dxa"/>
            <w:tcMar>
              <w:top w:w="90" w:type="dxa"/>
              <w:left w:w="100" w:type="dxa"/>
              <w:bottom w:w="90" w:type="dxa"/>
              <w:right w:w="100" w:type="dxa"/>
            </w:tcMar>
            <w:vAlign w:val="center"/>
          </w:tcPr>
          <w:p w14:paraId="2DB16938" w14:textId="77777777" w:rsidR="00784701" w:rsidRDefault="00ED1A28">
            <w:pPr>
              <w:rPr>
                <w:rFonts w:hint="eastAsia"/>
              </w:rPr>
            </w:pPr>
            <w:r>
              <w:rPr>
                <w:sz w:val="17"/>
              </w:rPr>
              <w:t>Kernel Family Registry</w:t>
            </w:r>
          </w:p>
        </w:tc>
        <w:tc>
          <w:tcPr>
            <w:tcW w:w="7272" w:type="dxa"/>
            <w:tcMar>
              <w:top w:w="90" w:type="dxa"/>
              <w:left w:w="100" w:type="dxa"/>
              <w:bottom w:w="90" w:type="dxa"/>
              <w:right w:w="100" w:type="dxa"/>
            </w:tcMar>
            <w:vAlign w:val="center"/>
          </w:tcPr>
          <w:p w14:paraId="0A1E594C" w14:textId="77777777" w:rsidR="00784701" w:rsidRDefault="00ED1A28">
            <w:pPr>
              <w:rPr>
                <w:rFonts w:hint="eastAsia"/>
              </w:rPr>
            </w:pPr>
            <w:r>
              <w:rPr>
                <w:sz w:val="17"/>
              </w:rPr>
              <w:t>Stable family identity, lineage, supported resolutions, status.</w:t>
            </w:r>
          </w:p>
        </w:tc>
      </w:tr>
      <w:tr w:rsidR="00784701" w14:paraId="177C245D" w14:textId="77777777">
        <w:trPr>
          <w:jc w:val="center"/>
        </w:trPr>
        <w:tc>
          <w:tcPr>
            <w:tcW w:w="3096" w:type="dxa"/>
            <w:shd w:val="clear" w:color="auto" w:fill="F8FAFC"/>
            <w:tcMar>
              <w:top w:w="90" w:type="dxa"/>
              <w:left w:w="100" w:type="dxa"/>
              <w:bottom w:w="90" w:type="dxa"/>
              <w:right w:w="100" w:type="dxa"/>
            </w:tcMar>
            <w:vAlign w:val="center"/>
          </w:tcPr>
          <w:p w14:paraId="45AC8635" w14:textId="77777777" w:rsidR="00784701" w:rsidRDefault="00ED1A28">
            <w:pPr>
              <w:rPr>
                <w:rFonts w:hint="eastAsia"/>
              </w:rPr>
            </w:pPr>
            <w:r>
              <w:rPr>
                <w:sz w:val="17"/>
              </w:rPr>
              <w:t>Kernel Resolution Registry</w:t>
            </w:r>
          </w:p>
        </w:tc>
        <w:tc>
          <w:tcPr>
            <w:tcW w:w="7272" w:type="dxa"/>
            <w:shd w:val="clear" w:color="auto" w:fill="F8FAFC"/>
            <w:tcMar>
              <w:top w:w="90" w:type="dxa"/>
              <w:left w:w="100" w:type="dxa"/>
              <w:bottom w:w="90" w:type="dxa"/>
              <w:right w:w="100" w:type="dxa"/>
            </w:tcMar>
            <w:vAlign w:val="center"/>
          </w:tcPr>
          <w:p w14:paraId="06A588C2" w14:textId="77777777" w:rsidR="00784701" w:rsidRDefault="00ED1A28">
            <w:pPr>
              <w:rPr>
                <w:rFonts w:hint="eastAsia"/>
              </w:rPr>
            </w:pPr>
            <w:r>
              <w:rPr>
                <w:sz w:val="17"/>
              </w:rPr>
              <w:t>One record per published resolution and version.</w:t>
            </w:r>
          </w:p>
        </w:tc>
      </w:tr>
      <w:tr w:rsidR="00784701" w14:paraId="7974A769" w14:textId="77777777">
        <w:trPr>
          <w:jc w:val="center"/>
        </w:trPr>
        <w:tc>
          <w:tcPr>
            <w:tcW w:w="3096" w:type="dxa"/>
            <w:tcMar>
              <w:top w:w="90" w:type="dxa"/>
              <w:left w:w="100" w:type="dxa"/>
              <w:bottom w:w="90" w:type="dxa"/>
              <w:right w:w="100" w:type="dxa"/>
            </w:tcMar>
            <w:vAlign w:val="center"/>
          </w:tcPr>
          <w:p w14:paraId="108BCBDF" w14:textId="77777777" w:rsidR="00784701" w:rsidRDefault="00ED1A28">
            <w:pPr>
              <w:jc w:val="center"/>
              <w:rPr>
                <w:rFonts w:hint="eastAsia"/>
              </w:rPr>
            </w:pPr>
            <w:r>
              <w:rPr>
                <w:sz w:val="17"/>
              </w:rPr>
              <w:t>Segment Registry</w:t>
            </w:r>
          </w:p>
        </w:tc>
        <w:tc>
          <w:tcPr>
            <w:tcW w:w="7272" w:type="dxa"/>
            <w:tcMar>
              <w:top w:w="90" w:type="dxa"/>
              <w:left w:w="100" w:type="dxa"/>
              <w:bottom w:w="90" w:type="dxa"/>
              <w:right w:w="100" w:type="dxa"/>
            </w:tcMar>
            <w:vAlign w:val="center"/>
          </w:tcPr>
          <w:p w14:paraId="5E18D372" w14:textId="77777777" w:rsidR="00784701" w:rsidRDefault="00ED1A28">
            <w:pPr>
              <w:rPr>
                <w:rFonts w:hint="eastAsia"/>
              </w:rPr>
            </w:pPr>
            <w:r>
              <w:rPr>
                <w:sz w:val="17"/>
              </w:rPr>
              <w:t>Bit ranges, parent resolution, segment scope, compatibility.</w:t>
            </w:r>
          </w:p>
        </w:tc>
      </w:tr>
      <w:tr w:rsidR="00784701" w14:paraId="21B0912D" w14:textId="77777777">
        <w:trPr>
          <w:jc w:val="center"/>
        </w:trPr>
        <w:tc>
          <w:tcPr>
            <w:tcW w:w="3096" w:type="dxa"/>
            <w:shd w:val="clear" w:color="auto" w:fill="F8FAFC"/>
            <w:tcMar>
              <w:top w:w="90" w:type="dxa"/>
              <w:left w:w="100" w:type="dxa"/>
              <w:bottom w:w="90" w:type="dxa"/>
              <w:right w:w="100" w:type="dxa"/>
            </w:tcMar>
            <w:vAlign w:val="center"/>
          </w:tcPr>
          <w:p w14:paraId="0B474FAC" w14:textId="77777777" w:rsidR="00784701" w:rsidRDefault="00ED1A28">
            <w:pPr>
              <w:jc w:val="center"/>
              <w:rPr>
                <w:rFonts w:hint="eastAsia"/>
              </w:rPr>
            </w:pPr>
            <w:r>
              <w:rPr>
                <w:sz w:val="17"/>
              </w:rPr>
              <w:t>Bit Registry</w:t>
            </w:r>
          </w:p>
        </w:tc>
        <w:tc>
          <w:tcPr>
            <w:tcW w:w="7272" w:type="dxa"/>
            <w:shd w:val="clear" w:color="auto" w:fill="F8FAFC"/>
            <w:tcMar>
              <w:top w:w="90" w:type="dxa"/>
              <w:left w:w="100" w:type="dxa"/>
              <w:bottom w:w="90" w:type="dxa"/>
              <w:right w:w="100" w:type="dxa"/>
            </w:tcMar>
            <w:vAlign w:val="center"/>
          </w:tcPr>
          <w:p w14:paraId="49C83BF2" w14:textId="77777777" w:rsidR="00784701" w:rsidRDefault="00ED1A28">
            <w:pPr>
              <w:rPr>
                <w:rFonts w:hint="eastAsia"/>
              </w:rPr>
            </w:pPr>
            <w:r>
              <w:rPr>
                <w:sz w:val="17"/>
              </w:rPr>
              <w:t>Canonical meaning and metadata for each bit/field.</w:t>
            </w:r>
          </w:p>
        </w:tc>
      </w:tr>
      <w:tr w:rsidR="00784701" w14:paraId="3E403F55" w14:textId="77777777">
        <w:trPr>
          <w:jc w:val="center"/>
        </w:trPr>
        <w:tc>
          <w:tcPr>
            <w:tcW w:w="3096" w:type="dxa"/>
            <w:tcMar>
              <w:top w:w="90" w:type="dxa"/>
              <w:left w:w="100" w:type="dxa"/>
              <w:bottom w:w="90" w:type="dxa"/>
              <w:right w:w="100" w:type="dxa"/>
            </w:tcMar>
            <w:vAlign w:val="center"/>
          </w:tcPr>
          <w:p w14:paraId="0DBE3229" w14:textId="77777777" w:rsidR="00784701" w:rsidRDefault="00ED1A28">
            <w:pPr>
              <w:jc w:val="center"/>
              <w:rPr>
                <w:rFonts w:hint="eastAsia"/>
              </w:rPr>
            </w:pPr>
            <w:r>
              <w:rPr>
                <w:sz w:val="17"/>
              </w:rPr>
              <w:t>Bit Group Registry</w:t>
            </w:r>
          </w:p>
        </w:tc>
        <w:tc>
          <w:tcPr>
            <w:tcW w:w="7272" w:type="dxa"/>
            <w:tcMar>
              <w:top w:w="90" w:type="dxa"/>
              <w:left w:w="100" w:type="dxa"/>
              <w:bottom w:w="90" w:type="dxa"/>
              <w:right w:w="100" w:type="dxa"/>
            </w:tcMar>
            <w:vAlign w:val="center"/>
          </w:tcPr>
          <w:p w14:paraId="5496F4F5" w14:textId="77777777" w:rsidR="00784701" w:rsidRDefault="00ED1A28">
            <w:pPr>
              <w:rPr>
                <w:rFonts w:hint="eastAsia"/>
              </w:rPr>
            </w:pPr>
            <w:r>
              <w:rPr>
                <w:sz w:val="17"/>
              </w:rPr>
              <w:t>Group behavior, exclusivity, scalar semantics, invariants.</w:t>
            </w:r>
          </w:p>
        </w:tc>
      </w:tr>
      <w:tr w:rsidR="00784701" w14:paraId="327AE035" w14:textId="77777777">
        <w:trPr>
          <w:jc w:val="center"/>
        </w:trPr>
        <w:tc>
          <w:tcPr>
            <w:tcW w:w="3096" w:type="dxa"/>
            <w:shd w:val="clear" w:color="auto" w:fill="F8FAFC"/>
            <w:tcMar>
              <w:top w:w="90" w:type="dxa"/>
              <w:left w:w="100" w:type="dxa"/>
              <w:bottom w:w="90" w:type="dxa"/>
              <w:right w:w="100" w:type="dxa"/>
            </w:tcMar>
            <w:vAlign w:val="center"/>
          </w:tcPr>
          <w:p w14:paraId="41CA8209" w14:textId="77777777" w:rsidR="00784701" w:rsidRDefault="00ED1A28">
            <w:pPr>
              <w:jc w:val="center"/>
              <w:rPr>
                <w:rFonts w:hint="eastAsia"/>
              </w:rPr>
            </w:pPr>
            <w:r>
              <w:rPr>
                <w:sz w:val="17"/>
              </w:rPr>
              <w:t>Operator Registry</w:t>
            </w:r>
          </w:p>
        </w:tc>
        <w:tc>
          <w:tcPr>
            <w:tcW w:w="7272" w:type="dxa"/>
            <w:shd w:val="clear" w:color="auto" w:fill="F8FAFC"/>
            <w:tcMar>
              <w:top w:w="90" w:type="dxa"/>
              <w:left w:w="100" w:type="dxa"/>
              <w:bottom w:w="90" w:type="dxa"/>
              <w:right w:w="100" w:type="dxa"/>
            </w:tcMar>
            <w:vAlign w:val="center"/>
          </w:tcPr>
          <w:p w14:paraId="10EB6B2A" w14:textId="77777777" w:rsidR="00784701" w:rsidRDefault="00ED1A28">
            <w:pPr>
              <w:rPr>
                <w:rFonts w:hint="eastAsia"/>
              </w:rPr>
            </w:pPr>
            <w:r>
              <w:rPr>
                <w:sz w:val="17"/>
              </w:rPr>
              <w:t>Read/write scope and minimum required resolution.</w:t>
            </w:r>
          </w:p>
        </w:tc>
      </w:tr>
      <w:tr w:rsidR="00784701" w14:paraId="4E98C6F6" w14:textId="77777777">
        <w:trPr>
          <w:jc w:val="center"/>
        </w:trPr>
        <w:tc>
          <w:tcPr>
            <w:tcW w:w="3096" w:type="dxa"/>
            <w:tcMar>
              <w:top w:w="90" w:type="dxa"/>
              <w:left w:w="100" w:type="dxa"/>
              <w:bottom w:w="90" w:type="dxa"/>
              <w:right w:w="100" w:type="dxa"/>
            </w:tcMar>
            <w:vAlign w:val="center"/>
          </w:tcPr>
          <w:p w14:paraId="2EF822B4" w14:textId="77777777" w:rsidR="00784701" w:rsidRDefault="00ED1A28">
            <w:pPr>
              <w:rPr>
                <w:rFonts w:hint="eastAsia"/>
              </w:rPr>
            </w:pPr>
            <w:r>
              <w:rPr>
                <w:sz w:val="17"/>
              </w:rPr>
              <w:t>Rule / Ruleset Registry</w:t>
            </w:r>
          </w:p>
        </w:tc>
        <w:tc>
          <w:tcPr>
            <w:tcW w:w="7272" w:type="dxa"/>
            <w:tcMar>
              <w:top w:w="90" w:type="dxa"/>
              <w:left w:w="100" w:type="dxa"/>
              <w:bottom w:w="90" w:type="dxa"/>
              <w:right w:w="100" w:type="dxa"/>
            </w:tcMar>
            <w:vAlign w:val="center"/>
          </w:tcPr>
          <w:p w14:paraId="005817E1" w14:textId="77777777" w:rsidR="00784701" w:rsidRDefault="00ED1A28">
            <w:pPr>
              <w:rPr>
                <w:rFonts w:hint="eastAsia"/>
              </w:rPr>
            </w:pPr>
            <w:r>
              <w:rPr>
                <w:sz w:val="17"/>
              </w:rPr>
              <w:t>Prefix and cross-segment validity constraints.</w:t>
            </w:r>
          </w:p>
        </w:tc>
      </w:tr>
      <w:tr w:rsidR="00784701" w14:paraId="507C1BDF" w14:textId="77777777">
        <w:trPr>
          <w:jc w:val="center"/>
        </w:trPr>
        <w:tc>
          <w:tcPr>
            <w:tcW w:w="3096" w:type="dxa"/>
            <w:shd w:val="clear" w:color="auto" w:fill="F8FAFC"/>
            <w:tcMar>
              <w:top w:w="90" w:type="dxa"/>
              <w:left w:w="100" w:type="dxa"/>
              <w:bottom w:w="90" w:type="dxa"/>
              <w:right w:w="100" w:type="dxa"/>
            </w:tcMar>
            <w:vAlign w:val="center"/>
          </w:tcPr>
          <w:p w14:paraId="5615BC5C" w14:textId="77777777" w:rsidR="00784701" w:rsidRDefault="00ED1A28">
            <w:pPr>
              <w:jc w:val="center"/>
              <w:rPr>
                <w:rFonts w:hint="eastAsia"/>
              </w:rPr>
            </w:pPr>
            <w:r>
              <w:rPr>
                <w:sz w:val="17"/>
              </w:rPr>
              <w:t>Model Registry</w:t>
            </w:r>
          </w:p>
        </w:tc>
        <w:tc>
          <w:tcPr>
            <w:tcW w:w="7272" w:type="dxa"/>
            <w:shd w:val="clear" w:color="auto" w:fill="F8FAFC"/>
            <w:tcMar>
              <w:top w:w="90" w:type="dxa"/>
              <w:left w:w="100" w:type="dxa"/>
              <w:bottom w:w="90" w:type="dxa"/>
              <w:right w:w="100" w:type="dxa"/>
            </w:tcMar>
            <w:vAlign w:val="center"/>
          </w:tcPr>
          <w:p w14:paraId="1AE7FA5A" w14:textId="77777777" w:rsidR="00784701" w:rsidRDefault="00ED1A28">
            <w:pPr>
              <w:rPr>
                <w:rFonts w:hint="eastAsia"/>
              </w:rPr>
            </w:pPr>
            <w:r>
              <w:rPr>
                <w:sz w:val="17"/>
              </w:rPr>
              <w:t>Interpretive and derived computations.</w:t>
            </w:r>
          </w:p>
        </w:tc>
      </w:tr>
      <w:tr w:rsidR="00784701" w14:paraId="0FCF1C03" w14:textId="77777777">
        <w:trPr>
          <w:jc w:val="center"/>
        </w:trPr>
        <w:tc>
          <w:tcPr>
            <w:tcW w:w="3096" w:type="dxa"/>
            <w:tcMar>
              <w:top w:w="90" w:type="dxa"/>
              <w:left w:w="100" w:type="dxa"/>
              <w:bottom w:w="90" w:type="dxa"/>
              <w:right w:w="100" w:type="dxa"/>
            </w:tcMar>
            <w:vAlign w:val="center"/>
          </w:tcPr>
          <w:p w14:paraId="4446174C" w14:textId="77777777" w:rsidR="00784701" w:rsidRDefault="00ED1A28">
            <w:pPr>
              <w:jc w:val="center"/>
              <w:rPr>
                <w:rFonts w:hint="eastAsia"/>
              </w:rPr>
            </w:pPr>
            <w:r>
              <w:rPr>
                <w:sz w:val="17"/>
              </w:rPr>
              <w:t>Bitlink Registry</w:t>
            </w:r>
          </w:p>
        </w:tc>
        <w:tc>
          <w:tcPr>
            <w:tcW w:w="7272" w:type="dxa"/>
            <w:tcMar>
              <w:top w:w="90" w:type="dxa"/>
              <w:left w:w="100" w:type="dxa"/>
              <w:bottom w:w="90" w:type="dxa"/>
              <w:right w:w="100" w:type="dxa"/>
            </w:tcMar>
            <w:vAlign w:val="center"/>
          </w:tcPr>
          <w:p w14:paraId="4FF89DEB" w14:textId="77777777" w:rsidR="00784701" w:rsidRDefault="00ED1A28">
            <w:pPr>
              <w:rPr>
                <w:rFonts w:hint="eastAsia"/>
              </w:rPr>
            </w:pPr>
            <w:r>
              <w:rPr>
                <w:sz w:val="17"/>
              </w:rPr>
              <w:t>Resolution-aware triggers and downstream consumers.</w:t>
            </w:r>
          </w:p>
        </w:tc>
      </w:tr>
      <w:tr w:rsidR="00784701" w14:paraId="635C7385" w14:textId="77777777">
        <w:trPr>
          <w:jc w:val="center"/>
        </w:trPr>
        <w:tc>
          <w:tcPr>
            <w:tcW w:w="3096" w:type="dxa"/>
            <w:shd w:val="clear" w:color="auto" w:fill="F8FAFC"/>
            <w:tcMar>
              <w:top w:w="90" w:type="dxa"/>
              <w:left w:w="100" w:type="dxa"/>
              <w:bottom w:w="90" w:type="dxa"/>
              <w:right w:w="100" w:type="dxa"/>
            </w:tcMar>
            <w:vAlign w:val="center"/>
          </w:tcPr>
          <w:p w14:paraId="17725830" w14:textId="77777777" w:rsidR="00784701" w:rsidRDefault="00ED1A28">
            <w:pPr>
              <w:rPr>
                <w:rFonts w:hint="eastAsia"/>
              </w:rPr>
            </w:pPr>
            <w:r>
              <w:rPr>
                <w:sz w:val="17"/>
              </w:rPr>
              <w:t>Semantic Modality Instance Registry</w:t>
            </w:r>
          </w:p>
        </w:tc>
        <w:tc>
          <w:tcPr>
            <w:tcW w:w="7272" w:type="dxa"/>
            <w:shd w:val="clear" w:color="auto" w:fill="F8FAFC"/>
            <w:tcMar>
              <w:top w:w="90" w:type="dxa"/>
              <w:left w:w="100" w:type="dxa"/>
              <w:bottom w:w="90" w:type="dxa"/>
              <w:right w:w="100" w:type="dxa"/>
            </w:tcMar>
            <w:vAlign w:val="center"/>
          </w:tcPr>
          <w:p w14:paraId="18ADECA7" w14:textId="77777777" w:rsidR="00784701" w:rsidRDefault="00ED1A28">
            <w:pPr>
              <w:rPr>
                <w:rFonts w:hint="eastAsia"/>
              </w:rPr>
            </w:pPr>
            <w:r>
              <w:rPr>
                <w:sz w:val="17"/>
              </w:rPr>
              <w:t>Parent object, family, version, resolution, current word, provenance.</w:t>
            </w:r>
          </w:p>
        </w:tc>
      </w:tr>
      <w:tr w:rsidR="00784701" w14:paraId="2C587B3A" w14:textId="77777777">
        <w:trPr>
          <w:jc w:val="center"/>
        </w:trPr>
        <w:tc>
          <w:tcPr>
            <w:tcW w:w="3096" w:type="dxa"/>
            <w:tcMar>
              <w:top w:w="90" w:type="dxa"/>
              <w:left w:w="100" w:type="dxa"/>
              <w:bottom w:w="90" w:type="dxa"/>
              <w:right w:w="100" w:type="dxa"/>
            </w:tcMar>
            <w:vAlign w:val="center"/>
          </w:tcPr>
          <w:p w14:paraId="6CC89FA3" w14:textId="77777777" w:rsidR="00784701" w:rsidRDefault="00ED1A28">
            <w:pPr>
              <w:rPr>
                <w:rFonts w:hint="eastAsia"/>
              </w:rPr>
            </w:pPr>
            <w:r>
              <w:rPr>
                <w:sz w:val="17"/>
              </w:rPr>
              <w:t>Reader Capability Registry</w:t>
            </w:r>
          </w:p>
        </w:tc>
        <w:tc>
          <w:tcPr>
            <w:tcW w:w="7272" w:type="dxa"/>
            <w:tcMar>
              <w:top w:w="90" w:type="dxa"/>
              <w:left w:w="100" w:type="dxa"/>
              <w:bottom w:w="90" w:type="dxa"/>
              <w:right w:w="100" w:type="dxa"/>
            </w:tcMar>
            <w:vAlign w:val="center"/>
          </w:tcPr>
          <w:p w14:paraId="67A126C0" w14:textId="77777777" w:rsidR="00784701" w:rsidRDefault="00ED1A28">
            <w:pPr>
              <w:rPr>
                <w:rFonts w:hint="eastAsia"/>
              </w:rPr>
            </w:pPr>
            <w:r>
              <w:rPr>
                <w:sz w:val="17"/>
              </w:rPr>
              <w:t>Supported families, resolutions, mutation authority, opaque-tail policy.</w:t>
            </w:r>
          </w:p>
        </w:tc>
      </w:tr>
    </w:tbl>
    <w:p w14:paraId="597C33FD" w14:textId="77777777" w:rsidR="00784701" w:rsidRDefault="00784701">
      <w:pPr>
        <w:spacing w:after="40"/>
        <w:rPr>
          <w:rFonts w:hint="eastAsia"/>
        </w:rPr>
      </w:pPr>
    </w:p>
    <w:p w14:paraId="0CE35B89" w14:textId="77777777" w:rsidR="00784701" w:rsidRDefault="00ED1A28">
      <w:pPr>
        <w:pStyle w:val="Heading2"/>
        <w:spacing w:before="160" w:after="100"/>
      </w:pPr>
      <w:r>
        <w:t>12.2 Semantic Modality Instance Fields</w:t>
      </w:r>
    </w:p>
    <w:tbl>
      <w:tblPr>
        <w:tblStyle w:val="TableGrid"/>
        <w:tblW w:w="0" w:type="auto"/>
        <w:jc w:val="center"/>
        <w:tblLayout w:type="fixed"/>
        <w:tblLook w:val="04A0" w:firstRow="1" w:lastRow="0" w:firstColumn="1" w:lastColumn="0" w:noHBand="0" w:noVBand="1"/>
      </w:tblPr>
      <w:tblGrid>
        <w:gridCol w:w="2952"/>
        <w:gridCol w:w="7416"/>
      </w:tblGrid>
      <w:tr w:rsidR="00784701" w14:paraId="2809DEC6" w14:textId="77777777">
        <w:trPr>
          <w:tblHeader/>
          <w:jc w:val="center"/>
        </w:trPr>
        <w:tc>
          <w:tcPr>
            <w:tcW w:w="2952" w:type="dxa"/>
            <w:shd w:val="clear" w:color="auto" w:fill="17365D"/>
            <w:tcMar>
              <w:top w:w="90" w:type="dxa"/>
              <w:left w:w="100" w:type="dxa"/>
              <w:bottom w:w="90" w:type="dxa"/>
              <w:right w:w="100" w:type="dxa"/>
            </w:tcMar>
            <w:vAlign w:val="center"/>
          </w:tcPr>
          <w:p w14:paraId="093B5C75" w14:textId="77777777" w:rsidR="00784701" w:rsidRDefault="00ED1A28">
            <w:pPr>
              <w:jc w:val="center"/>
              <w:rPr>
                <w:rFonts w:hint="eastAsia"/>
              </w:rPr>
            </w:pPr>
            <w:r>
              <w:rPr>
                <w:b/>
                <w:color w:val="FFFFFF"/>
                <w:sz w:val="18"/>
              </w:rPr>
              <w:t>Field</w:t>
            </w:r>
          </w:p>
        </w:tc>
        <w:tc>
          <w:tcPr>
            <w:tcW w:w="7416" w:type="dxa"/>
            <w:shd w:val="clear" w:color="auto" w:fill="17365D"/>
            <w:tcMar>
              <w:top w:w="90" w:type="dxa"/>
              <w:left w:w="100" w:type="dxa"/>
              <w:bottom w:w="90" w:type="dxa"/>
              <w:right w:w="100" w:type="dxa"/>
            </w:tcMar>
            <w:vAlign w:val="center"/>
          </w:tcPr>
          <w:p w14:paraId="4556A522" w14:textId="77777777" w:rsidR="00784701" w:rsidRDefault="00ED1A28">
            <w:pPr>
              <w:jc w:val="center"/>
              <w:rPr>
                <w:rFonts w:hint="eastAsia"/>
              </w:rPr>
            </w:pPr>
            <w:r>
              <w:rPr>
                <w:b/>
                <w:color w:val="FFFFFF"/>
                <w:sz w:val="18"/>
              </w:rPr>
              <w:t>Requirement</w:t>
            </w:r>
          </w:p>
        </w:tc>
      </w:tr>
      <w:tr w:rsidR="00784701" w14:paraId="22A97799" w14:textId="77777777">
        <w:trPr>
          <w:jc w:val="center"/>
        </w:trPr>
        <w:tc>
          <w:tcPr>
            <w:tcW w:w="2952" w:type="dxa"/>
            <w:tcMar>
              <w:top w:w="90" w:type="dxa"/>
              <w:left w:w="100" w:type="dxa"/>
              <w:bottom w:w="90" w:type="dxa"/>
              <w:right w:w="100" w:type="dxa"/>
            </w:tcMar>
            <w:vAlign w:val="center"/>
          </w:tcPr>
          <w:p w14:paraId="1DB4081B" w14:textId="77777777" w:rsidR="00784701" w:rsidRDefault="00ED1A28">
            <w:pPr>
              <w:jc w:val="center"/>
              <w:rPr>
                <w:rFonts w:hint="eastAsia"/>
              </w:rPr>
            </w:pPr>
            <w:r>
              <w:rPr>
                <w:sz w:val="17"/>
              </w:rPr>
              <w:t>Parent Object</w:t>
            </w:r>
          </w:p>
        </w:tc>
        <w:tc>
          <w:tcPr>
            <w:tcW w:w="7416" w:type="dxa"/>
            <w:tcMar>
              <w:top w:w="90" w:type="dxa"/>
              <w:left w:w="100" w:type="dxa"/>
              <w:bottom w:w="90" w:type="dxa"/>
              <w:right w:w="100" w:type="dxa"/>
            </w:tcMar>
            <w:vAlign w:val="center"/>
          </w:tcPr>
          <w:p w14:paraId="1EA7B3CD" w14:textId="77777777" w:rsidR="00784701" w:rsidRDefault="00ED1A28">
            <w:pPr>
              <w:rPr>
                <w:rFonts w:hint="eastAsia"/>
              </w:rPr>
            </w:pPr>
            <w:r>
              <w:rPr>
                <w:sz w:val="17"/>
              </w:rPr>
              <w:t>Stable identity to which the Kernel instance applies.</w:t>
            </w:r>
          </w:p>
        </w:tc>
      </w:tr>
      <w:tr w:rsidR="00784701" w14:paraId="540EBEEB" w14:textId="77777777">
        <w:trPr>
          <w:jc w:val="center"/>
        </w:trPr>
        <w:tc>
          <w:tcPr>
            <w:tcW w:w="2952" w:type="dxa"/>
            <w:shd w:val="clear" w:color="auto" w:fill="F8FAFC"/>
            <w:tcMar>
              <w:top w:w="90" w:type="dxa"/>
              <w:left w:w="100" w:type="dxa"/>
              <w:bottom w:w="90" w:type="dxa"/>
              <w:right w:w="100" w:type="dxa"/>
            </w:tcMar>
            <w:vAlign w:val="center"/>
          </w:tcPr>
          <w:p w14:paraId="5A5DDDEE" w14:textId="77777777" w:rsidR="00784701" w:rsidRDefault="00ED1A28">
            <w:pPr>
              <w:jc w:val="center"/>
              <w:rPr>
                <w:rFonts w:hint="eastAsia"/>
              </w:rPr>
            </w:pPr>
            <w:r>
              <w:rPr>
                <w:sz w:val="17"/>
              </w:rPr>
              <w:t>Family / Version</w:t>
            </w:r>
          </w:p>
        </w:tc>
        <w:tc>
          <w:tcPr>
            <w:tcW w:w="7416" w:type="dxa"/>
            <w:shd w:val="clear" w:color="auto" w:fill="F8FAFC"/>
            <w:tcMar>
              <w:top w:w="90" w:type="dxa"/>
              <w:left w:w="100" w:type="dxa"/>
              <w:bottom w:w="90" w:type="dxa"/>
              <w:right w:w="100" w:type="dxa"/>
            </w:tcMar>
            <w:vAlign w:val="center"/>
          </w:tcPr>
          <w:p w14:paraId="5E17D9E3" w14:textId="77777777" w:rsidR="00784701" w:rsidRDefault="00ED1A28">
            <w:pPr>
              <w:rPr>
                <w:rFonts w:hint="eastAsia"/>
              </w:rPr>
            </w:pPr>
            <w:r>
              <w:rPr>
                <w:sz w:val="17"/>
              </w:rPr>
              <w:t>Exact semantic contract lineage.</w:t>
            </w:r>
          </w:p>
        </w:tc>
      </w:tr>
      <w:tr w:rsidR="00784701" w14:paraId="670A3B8D" w14:textId="77777777">
        <w:trPr>
          <w:jc w:val="center"/>
        </w:trPr>
        <w:tc>
          <w:tcPr>
            <w:tcW w:w="2952" w:type="dxa"/>
            <w:tcMar>
              <w:top w:w="90" w:type="dxa"/>
              <w:left w:w="100" w:type="dxa"/>
              <w:bottom w:w="90" w:type="dxa"/>
              <w:right w:w="100" w:type="dxa"/>
            </w:tcMar>
            <w:vAlign w:val="center"/>
          </w:tcPr>
          <w:p w14:paraId="54BF14F6" w14:textId="77777777" w:rsidR="00784701" w:rsidRDefault="00ED1A28">
            <w:pPr>
              <w:jc w:val="center"/>
              <w:rPr>
                <w:rFonts w:hint="eastAsia"/>
              </w:rPr>
            </w:pPr>
            <w:r>
              <w:rPr>
                <w:sz w:val="17"/>
              </w:rPr>
              <w:t>Resolution</w:t>
            </w:r>
          </w:p>
        </w:tc>
        <w:tc>
          <w:tcPr>
            <w:tcW w:w="7416" w:type="dxa"/>
            <w:tcMar>
              <w:top w:w="90" w:type="dxa"/>
              <w:left w:w="100" w:type="dxa"/>
              <w:bottom w:w="90" w:type="dxa"/>
              <w:right w:w="100" w:type="dxa"/>
            </w:tcMar>
            <w:vAlign w:val="center"/>
          </w:tcPr>
          <w:p w14:paraId="4194082B" w14:textId="77777777" w:rsidR="00784701" w:rsidRDefault="00ED1A28">
            <w:pPr>
              <w:rPr>
                <w:rFonts w:hint="eastAsia"/>
              </w:rPr>
            </w:pPr>
            <w:r>
              <w:rPr>
                <w:sz w:val="17"/>
              </w:rPr>
              <w:t>Published word length currently instantiated.</w:t>
            </w:r>
          </w:p>
        </w:tc>
      </w:tr>
      <w:tr w:rsidR="00784701" w14:paraId="280842CE" w14:textId="77777777">
        <w:trPr>
          <w:jc w:val="center"/>
        </w:trPr>
        <w:tc>
          <w:tcPr>
            <w:tcW w:w="2952" w:type="dxa"/>
            <w:shd w:val="clear" w:color="auto" w:fill="F8FAFC"/>
            <w:tcMar>
              <w:top w:w="90" w:type="dxa"/>
              <w:left w:w="100" w:type="dxa"/>
              <w:bottom w:w="90" w:type="dxa"/>
              <w:right w:w="100" w:type="dxa"/>
            </w:tcMar>
            <w:vAlign w:val="center"/>
          </w:tcPr>
          <w:p w14:paraId="0E9B7993" w14:textId="77777777" w:rsidR="00784701" w:rsidRDefault="00ED1A28">
            <w:pPr>
              <w:jc w:val="center"/>
              <w:rPr>
                <w:rFonts w:hint="eastAsia"/>
              </w:rPr>
            </w:pPr>
            <w:r>
              <w:rPr>
                <w:sz w:val="17"/>
              </w:rPr>
              <w:t>Current Word</w:t>
            </w:r>
          </w:p>
        </w:tc>
        <w:tc>
          <w:tcPr>
            <w:tcW w:w="7416" w:type="dxa"/>
            <w:shd w:val="clear" w:color="auto" w:fill="F8FAFC"/>
            <w:tcMar>
              <w:top w:w="90" w:type="dxa"/>
              <w:left w:w="100" w:type="dxa"/>
              <w:bottom w:w="90" w:type="dxa"/>
              <w:right w:w="100" w:type="dxa"/>
            </w:tcMar>
            <w:vAlign w:val="center"/>
          </w:tcPr>
          <w:p w14:paraId="7D93BEB6" w14:textId="77777777" w:rsidR="00784701" w:rsidRDefault="00ED1A28">
            <w:pPr>
              <w:rPr>
                <w:rFonts w:hint="eastAsia"/>
              </w:rPr>
            </w:pPr>
            <w:r>
              <w:rPr>
                <w:sz w:val="17"/>
              </w:rPr>
              <w:t>Packed state at the declared resolution.</w:t>
            </w:r>
          </w:p>
        </w:tc>
      </w:tr>
      <w:tr w:rsidR="00784701" w14:paraId="36B0FF74" w14:textId="77777777">
        <w:trPr>
          <w:jc w:val="center"/>
        </w:trPr>
        <w:tc>
          <w:tcPr>
            <w:tcW w:w="2952" w:type="dxa"/>
            <w:tcMar>
              <w:top w:w="90" w:type="dxa"/>
              <w:left w:w="100" w:type="dxa"/>
              <w:bottom w:w="90" w:type="dxa"/>
              <w:right w:w="100" w:type="dxa"/>
            </w:tcMar>
            <w:vAlign w:val="center"/>
          </w:tcPr>
          <w:p w14:paraId="5FF7A7E2" w14:textId="77777777" w:rsidR="00784701" w:rsidRDefault="00ED1A28">
            <w:pPr>
              <w:jc w:val="center"/>
              <w:rPr>
                <w:rFonts w:hint="eastAsia"/>
              </w:rPr>
            </w:pPr>
            <w:r>
              <w:rPr>
                <w:sz w:val="17"/>
              </w:rPr>
              <w:t>State Class</w:t>
            </w:r>
          </w:p>
        </w:tc>
        <w:tc>
          <w:tcPr>
            <w:tcW w:w="7416" w:type="dxa"/>
            <w:tcMar>
              <w:top w:w="90" w:type="dxa"/>
              <w:left w:w="100" w:type="dxa"/>
              <w:bottom w:w="90" w:type="dxa"/>
              <w:right w:w="100" w:type="dxa"/>
            </w:tcMar>
            <w:vAlign w:val="center"/>
          </w:tcPr>
          <w:p w14:paraId="3AF07B25" w14:textId="77777777" w:rsidR="00784701" w:rsidRDefault="00ED1A28">
            <w:pPr>
              <w:rPr>
                <w:rFonts w:hint="eastAsia"/>
              </w:rPr>
            </w:pPr>
            <w:r>
              <w:rPr>
                <w:sz w:val="17"/>
              </w:rPr>
              <w:t>Observed, simulated, predicted, planned, template, etc.</w:t>
            </w:r>
          </w:p>
        </w:tc>
      </w:tr>
      <w:tr w:rsidR="00784701" w14:paraId="41F3C8A3" w14:textId="77777777">
        <w:trPr>
          <w:jc w:val="center"/>
        </w:trPr>
        <w:tc>
          <w:tcPr>
            <w:tcW w:w="2952" w:type="dxa"/>
            <w:shd w:val="clear" w:color="auto" w:fill="F8FAFC"/>
            <w:tcMar>
              <w:top w:w="90" w:type="dxa"/>
              <w:left w:w="100" w:type="dxa"/>
              <w:bottom w:w="90" w:type="dxa"/>
              <w:right w:w="100" w:type="dxa"/>
            </w:tcMar>
            <w:vAlign w:val="center"/>
          </w:tcPr>
          <w:p w14:paraId="3F44C3C8" w14:textId="77777777" w:rsidR="00784701" w:rsidRDefault="00ED1A28">
            <w:pPr>
              <w:rPr>
                <w:rFonts w:hint="eastAsia"/>
              </w:rPr>
            </w:pPr>
            <w:r>
              <w:rPr>
                <w:sz w:val="17"/>
              </w:rPr>
              <w:t>Parent Prefix State</w:t>
            </w:r>
          </w:p>
        </w:tc>
        <w:tc>
          <w:tcPr>
            <w:tcW w:w="7416" w:type="dxa"/>
            <w:shd w:val="clear" w:color="auto" w:fill="F8FAFC"/>
            <w:tcMar>
              <w:top w:w="90" w:type="dxa"/>
              <w:left w:w="100" w:type="dxa"/>
              <w:bottom w:w="90" w:type="dxa"/>
              <w:right w:w="100" w:type="dxa"/>
            </w:tcMar>
            <w:vAlign w:val="center"/>
          </w:tcPr>
          <w:p w14:paraId="4C17A3CD" w14:textId="77777777" w:rsidR="00784701" w:rsidRDefault="00ED1A28">
            <w:pPr>
              <w:rPr>
                <w:rFonts w:hint="eastAsia"/>
              </w:rPr>
            </w:pPr>
            <w:r>
              <w:rPr>
                <w:sz w:val="17"/>
              </w:rPr>
              <w:t>Optional lineage link when extended from a lower-resolution instance.</w:t>
            </w:r>
          </w:p>
        </w:tc>
      </w:tr>
      <w:tr w:rsidR="00784701" w14:paraId="2477D857" w14:textId="77777777">
        <w:trPr>
          <w:jc w:val="center"/>
        </w:trPr>
        <w:tc>
          <w:tcPr>
            <w:tcW w:w="2952" w:type="dxa"/>
            <w:tcMar>
              <w:top w:w="90" w:type="dxa"/>
              <w:left w:w="100" w:type="dxa"/>
              <w:bottom w:w="90" w:type="dxa"/>
              <w:right w:w="100" w:type="dxa"/>
            </w:tcMar>
            <w:vAlign w:val="center"/>
          </w:tcPr>
          <w:p w14:paraId="4064F4E6" w14:textId="77777777" w:rsidR="00784701" w:rsidRDefault="00ED1A28">
            <w:pPr>
              <w:jc w:val="center"/>
              <w:rPr>
                <w:rFonts w:hint="eastAsia"/>
              </w:rPr>
            </w:pPr>
            <w:r>
              <w:rPr>
                <w:sz w:val="17"/>
              </w:rPr>
              <w:t>Last Operator</w:t>
            </w:r>
          </w:p>
        </w:tc>
        <w:tc>
          <w:tcPr>
            <w:tcW w:w="7416" w:type="dxa"/>
            <w:tcMar>
              <w:top w:w="90" w:type="dxa"/>
              <w:left w:w="100" w:type="dxa"/>
              <w:bottom w:w="90" w:type="dxa"/>
              <w:right w:w="100" w:type="dxa"/>
            </w:tcMar>
            <w:vAlign w:val="center"/>
          </w:tcPr>
          <w:p w14:paraId="7C13F3AB" w14:textId="77777777" w:rsidR="00784701" w:rsidRDefault="00ED1A28">
            <w:pPr>
              <w:rPr>
                <w:rFonts w:hint="eastAsia"/>
              </w:rPr>
            </w:pPr>
            <w:r>
              <w:rPr>
                <w:sz w:val="17"/>
              </w:rPr>
              <w:t>Most recent mutation event.</w:t>
            </w:r>
          </w:p>
        </w:tc>
      </w:tr>
      <w:tr w:rsidR="00784701" w14:paraId="214E5990" w14:textId="77777777">
        <w:trPr>
          <w:jc w:val="center"/>
        </w:trPr>
        <w:tc>
          <w:tcPr>
            <w:tcW w:w="2952" w:type="dxa"/>
            <w:shd w:val="clear" w:color="auto" w:fill="F8FAFC"/>
            <w:tcMar>
              <w:top w:w="90" w:type="dxa"/>
              <w:left w:w="100" w:type="dxa"/>
              <w:bottom w:w="90" w:type="dxa"/>
              <w:right w:w="100" w:type="dxa"/>
            </w:tcMar>
            <w:vAlign w:val="center"/>
          </w:tcPr>
          <w:p w14:paraId="24B346C4" w14:textId="77777777" w:rsidR="00784701" w:rsidRDefault="00ED1A28">
            <w:pPr>
              <w:rPr>
                <w:rFonts w:hint="eastAsia"/>
              </w:rPr>
            </w:pPr>
            <w:r>
              <w:rPr>
                <w:sz w:val="17"/>
              </w:rPr>
              <w:t>Ruleset / Model Set</w:t>
            </w:r>
          </w:p>
        </w:tc>
        <w:tc>
          <w:tcPr>
            <w:tcW w:w="7416" w:type="dxa"/>
            <w:shd w:val="clear" w:color="auto" w:fill="F8FAFC"/>
            <w:tcMar>
              <w:top w:w="90" w:type="dxa"/>
              <w:left w:w="100" w:type="dxa"/>
              <w:bottom w:w="90" w:type="dxa"/>
              <w:right w:w="100" w:type="dxa"/>
            </w:tcMar>
            <w:vAlign w:val="center"/>
          </w:tcPr>
          <w:p w14:paraId="0CAE99C9" w14:textId="77777777" w:rsidR="00784701" w:rsidRDefault="00ED1A28">
            <w:pPr>
              <w:rPr>
                <w:rFonts w:hint="eastAsia"/>
              </w:rPr>
            </w:pPr>
            <w:r>
              <w:rPr>
                <w:sz w:val="17"/>
              </w:rPr>
              <w:t>Applicable validation and interpretation contracts.</w:t>
            </w:r>
          </w:p>
        </w:tc>
      </w:tr>
      <w:tr w:rsidR="00784701" w14:paraId="19CB335E" w14:textId="77777777">
        <w:trPr>
          <w:jc w:val="center"/>
        </w:trPr>
        <w:tc>
          <w:tcPr>
            <w:tcW w:w="2952" w:type="dxa"/>
            <w:tcMar>
              <w:top w:w="90" w:type="dxa"/>
              <w:left w:w="100" w:type="dxa"/>
              <w:bottom w:w="90" w:type="dxa"/>
              <w:right w:w="100" w:type="dxa"/>
            </w:tcMar>
            <w:vAlign w:val="center"/>
          </w:tcPr>
          <w:p w14:paraId="55CE9CDD" w14:textId="77777777" w:rsidR="00784701" w:rsidRDefault="00ED1A28">
            <w:pPr>
              <w:rPr>
                <w:rFonts w:hint="eastAsia"/>
              </w:rPr>
            </w:pPr>
            <w:r>
              <w:rPr>
                <w:sz w:val="17"/>
              </w:rPr>
              <w:t>TIME-128 / TIME-256</w:t>
            </w:r>
          </w:p>
        </w:tc>
        <w:tc>
          <w:tcPr>
            <w:tcW w:w="7416" w:type="dxa"/>
            <w:tcMar>
              <w:top w:w="90" w:type="dxa"/>
              <w:left w:w="100" w:type="dxa"/>
              <w:bottom w:w="90" w:type="dxa"/>
              <w:right w:w="100" w:type="dxa"/>
            </w:tcMar>
            <w:vAlign w:val="center"/>
          </w:tcPr>
          <w:p w14:paraId="7264A2EC" w14:textId="77777777" w:rsidR="00784701" w:rsidRDefault="00ED1A28">
            <w:pPr>
              <w:rPr>
                <w:rFonts w:hint="eastAsia"/>
              </w:rPr>
            </w:pPr>
            <w:r>
              <w:rPr>
                <w:sz w:val="17"/>
              </w:rPr>
              <w:t>Temporal coordinate appropriate to the observation.</w:t>
            </w:r>
          </w:p>
        </w:tc>
      </w:tr>
      <w:tr w:rsidR="00784701" w14:paraId="2C79B6EC" w14:textId="77777777">
        <w:trPr>
          <w:jc w:val="center"/>
        </w:trPr>
        <w:tc>
          <w:tcPr>
            <w:tcW w:w="2952" w:type="dxa"/>
            <w:shd w:val="clear" w:color="auto" w:fill="F8FAFC"/>
            <w:tcMar>
              <w:top w:w="90" w:type="dxa"/>
              <w:left w:w="100" w:type="dxa"/>
              <w:bottom w:w="90" w:type="dxa"/>
              <w:right w:w="100" w:type="dxa"/>
            </w:tcMar>
            <w:vAlign w:val="center"/>
          </w:tcPr>
          <w:p w14:paraId="237E6BC0" w14:textId="77777777" w:rsidR="00784701" w:rsidRDefault="00ED1A28">
            <w:pPr>
              <w:jc w:val="center"/>
              <w:rPr>
                <w:rFonts w:hint="eastAsia"/>
              </w:rPr>
            </w:pPr>
            <w:r>
              <w:rPr>
                <w:sz w:val="17"/>
              </w:rPr>
              <w:t>Provenance</w:t>
            </w:r>
          </w:p>
        </w:tc>
        <w:tc>
          <w:tcPr>
            <w:tcW w:w="7416" w:type="dxa"/>
            <w:shd w:val="clear" w:color="auto" w:fill="F8FAFC"/>
            <w:tcMar>
              <w:top w:w="90" w:type="dxa"/>
              <w:left w:w="100" w:type="dxa"/>
              <w:bottom w:w="90" w:type="dxa"/>
              <w:right w:w="100" w:type="dxa"/>
            </w:tcMar>
            <w:vAlign w:val="center"/>
          </w:tcPr>
          <w:p w14:paraId="43F86CFB" w14:textId="77777777" w:rsidR="00784701" w:rsidRDefault="00ED1A28">
            <w:pPr>
              <w:rPr>
                <w:rFonts w:hint="eastAsia"/>
              </w:rPr>
            </w:pPr>
            <w:r>
              <w:rPr>
                <w:sz w:val="17"/>
              </w:rPr>
              <w:t>Source, evidence, import, derivation, or simulation lineage.</w:t>
            </w:r>
          </w:p>
        </w:tc>
      </w:tr>
    </w:tbl>
    <w:p w14:paraId="546B3820" w14:textId="77777777" w:rsidR="00784701" w:rsidRDefault="00784701">
      <w:pPr>
        <w:spacing w:after="40"/>
        <w:rPr>
          <w:rFonts w:hint="eastAsia"/>
        </w:rPr>
      </w:pPr>
    </w:p>
    <w:p w14:paraId="30550CE7" w14:textId="77777777" w:rsidR="00784701" w:rsidRDefault="00ED1A28">
      <w:pPr>
        <w:pStyle w:val="Heading2"/>
        <w:spacing w:before="160" w:after="100"/>
      </w:pPr>
      <w:r>
        <w:t>12.3 Reference Extension Algorithm</w:t>
      </w:r>
    </w:p>
    <w:tbl>
      <w:tblPr>
        <w:tblW w:w="0" w:type="auto"/>
        <w:jc w:val="center"/>
        <w:tblLook w:val="04A0" w:firstRow="1" w:lastRow="0" w:firstColumn="1" w:lastColumn="0" w:noHBand="0" w:noVBand="1"/>
      </w:tblPr>
      <w:tblGrid>
        <w:gridCol w:w="9936"/>
      </w:tblGrid>
      <w:tr w:rsidR="00784701" w14:paraId="5258B0B2" w14:textId="77777777">
        <w:trPr>
          <w:cantSplit/>
          <w:jc w:val="center"/>
        </w:trPr>
        <w:tc>
          <w:tcPr>
            <w:tcW w:w="9936" w:type="dxa"/>
            <w:shd w:val="clear" w:color="auto" w:fill="F7F9FB"/>
            <w:tcMar>
              <w:top w:w="100" w:type="dxa"/>
              <w:left w:w="140" w:type="dxa"/>
              <w:bottom w:w="100" w:type="dxa"/>
              <w:right w:w="140" w:type="dxa"/>
            </w:tcMar>
          </w:tcPr>
          <w:p w14:paraId="49DCB543" w14:textId="77777777" w:rsidR="00784701" w:rsidRDefault="00ED1A28">
            <w:pPr>
              <w:rPr>
                <w:rFonts w:hint="eastAsia"/>
              </w:rPr>
            </w:pPr>
            <w:r>
              <w:rPr>
                <w:b/>
                <w:color w:val="0F6B78"/>
                <w:sz w:val="19"/>
              </w:rPr>
              <w:t>Reference pseudocode</w:t>
            </w:r>
          </w:p>
          <w:p w14:paraId="33229FC9" w14:textId="77777777" w:rsidR="00784701" w:rsidRDefault="00ED1A28">
            <w:pPr>
              <w:spacing w:after="0"/>
              <w:rPr>
                <w:rFonts w:hint="eastAsia"/>
              </w:rPr>
            </w:pPr>
            <w:r>
              <w:rPr>
                <w:rFonts w:ascii="Consolas" w:hAnsi="Consolas"/>
                <w:sz w:val="18"/>
              </w:rPr>
              <w:t>extend(instance, targetResolution):</w:t>
            </w:r>
            <w:r>
              <w:br/>
            </w:r>
            <w:r>
              <w:rPr>
                <w:rFonts w:ascii="Consolas" w:hAnsi="Consolas"/>
                <w:sz w:val="18"/>
              </w:rPr>
              <w:t xml:space="preserve">    assert targetResolution is prefix-compatible descendant</w:t>
            </w:r>
            <w:r>
              <w:br/>
            </w:r>
            <w:r>
              <w:rPr>
                <w:rFonts w:ascii="Consolas" w:hAnsi="Consolas"/>
                <w:sz w:val="18"/>
              </w:rPr>
              <w:t xml:space="preserve">    assert instance.version is supported</w:t>
            </w:r>
            <w:r>
              <w:br/>
            </w:r>
            <w:r>
              <w:rPr>
                <w:rFonts w:ascii="Consolas" w:hAnsi="Consolas"/>
                <w:sz w:val="18"/>
              </w:rPr>
              <w:t xml:space="preserve">    target = allocate(targetResolution)</w:t>
            </w:r>
            <w:r>
              <w:br/>
            </w:r>
            <w:r>
              <w:rPr>
                <w:rFonts w:ascii="Consolas" w:hAnsi="Consolas"/>
                <w:sz w:val="18"/>
              </w:rPr>
              <w:t xml:space="preserve">    copy target[0:instance.wordSize] = instance.word</w:t>
            </w:r>
            <w:r>
              <w:br/>
            </w:r>
            <w:r>
              <w:rPr>
                <w:rFonts w:ascii="Consolas" w:hAnsi="Consolas"/>
                <w:sz w:val="18"/>
              </w:rPr>
              <w:t xml:space="preserve">    initialize new segment(s) using declared null/default semantics</w:t>
            </w:r>
            <w:r>
              <w:br/>
            </w:r>
            <w:r>
              <w:rPr>
                <w:rFonts w:ascii="Consolas" w:hAnsi="Consolas"/>
                <w:sz w:val="18"/>
              </w:rPr>
              <w:t xml:space="preserve">    validate inherited prefix and new cross-segment rules</w:t>
            </w:r>
            <w:r>
              <w:br/>
            </w:r>
            <w:r>
              <w:rPr>
                <w:rFonts w:ascii="Consolas" w:hAnsi="Consolas"/>
                <w:sz w:val="18"/>
              </w:rPr>
              <w:t xml:space="preserve">    save lineage from source instance</w:t>
            </w:r>
            <w:r>
              <w:br/>
            </w:r>
            <w:r>
              <w:rPr>
                <w:rFonts w:ascii="Consolas" w:hAnsi="Consolas"/>
                <w:sz w:val="18"/>
              </w:rPr>
              <w:t xml:space="preserve">    return target</w:t>
            </w:r>
          </w:p>
        </w:tc>
      </w:tr>
    </w:tbl>
    <w:p w14:paraId="2F7F6BDD" w14:textId="77777777" w:rsidR="00784701" w:rsidRDefault="00784701">
      <w:pPr>
        <w:spacing w:after="20"/>
        <w:rPr>
          <w:rFonts w:hint="eastAsia"/>
        </w:rPr>
      </w:pPr>
    </w:p>
    <w:p w14:paraId="4659D6E6" w14:textId="77777777" w:rsidR="00784701" w:rsidRDefault="00ED1A28">
      <w:pPr>
        <w:pStyle w:val="Heading2"/>
        <w:spacing w:before="160" w:after="100"/>
      </w:pPr>
      <w:r>
        <w:t>12.4 Reference Reader Algorithm</w:t>
      </w:r>
    </w:p>
    <w:tbl>
      <w:tblPr>
        <w:tblW w:w="0" w:type="auto"/>
        <w:jc w:val="center"/>
        <w:tblLook w:val="04A0" w:firstRow="1" w:lastRow="0" w:firstColumn="1" w:lastColumn="0" w:noHBand="0" w:noVBand="1"/>
      </w:tblPr>
      <w:tblGrid>
        <w:gridCol w:w="9936"/>
      </w:tblGrid>
      <w:tr w:rsidR="00784701" w14:paraId="2B7A7E9E" w14:textId="77777777">
        <w:trPr>
          <w:cantSplit/>
          <w:jc w:val="center"/>
        </w:trPr>
        <w:tc>
          <w:tcPr>
            <w:tcW w:w="9936" w:type="dxa"/>
            <w:shd w:val="clear" w:color="auto" w:fill="F7F9FB"/>
            <w:tcMar>
              <w:top w:w="100" w:type="dxa"/>
              <w:left w:w="140" w:type="dxa"/>
              <w:bottom w:w="100" w:type="dxa"/>
              <w:right w:w="140" w:type="dxa"/>
            </w:tcMar>
          </w:tcPr>
          <w:p w14:paraId="7F9618AE" w14:textId="77777777" w:rsidR="00784701" w:rsidRDefault="00ED1A28">
            <w:pPr>
              <w:rPr>
                <w:rFonts w:hint="eastAsia"/>
              </w:rPr>
            </w:pPr>
            <w:r>
              <w:rPr>
                <w:b/>
                <w:color w:val="0F6B78"/>
                <w:sz w:val="19"/>
              </w:rPr>
              <w:t>Resolution-aware reading</w:t>
            </w:r>
          </w:p>
          <w:p w14:paraId="3C3DD754" w14:textId="77777777" w:rsidR="00784701" w:rsidRDefault="00ED1A28">
            <w:pPr>
              <w:spacing w:after="0"/>
              <w:rPr>
                <w:rFonts w:hint="eastAsia"/>
              </w:rPr>
            </w:pPr>
            <w:r>
              <w:rPr>
                <w:rFonts w:ascii="Consolas" w:hAnsi="Consolas"/>
                <w:sz w:val="18"/>
              </w:rPr>
              <w:t>read(instance, readerCapability):</w:t>
            </w:r>
            <w:r>
              <w:br/>
            </w:r>
            <w:r>
              <w:rPr>
                <w:rFonts w:ascii="Consolas" w:hAnsi="Consolas"/>
                <w:sz w:val="18"/>
              </w:rPr>
              <w:t xml:space="preserve">    common = greatest supported published prefix</w:t>
            </w:r>
            <w:r>
              <w:br/>
            </w:r>
            <w:r>
              <w:rPr>
                <w:rFonts w:ascii="Consolas" w:hAnsi="Consolas"/>
                <w:sz w:val="18"/>
              </w:rPr>
              <w:t xml:space="preserve">    interpret instance.word[0:common]</w:t>
            </w:r>
            <w:r>
              <w:br/>
            </w:r>
            <w:r>
              <w:rPr>
                <w:rFonts w:ascii="Consolas" w:hAnsi="Consolas"/>
                <w:sz w:val="18"/>
              </w:rPr>
              <w:t xml:space="preserve">    if reader may preserve opaque tail:</w:t>
            </w:r>
            <w:r>
              <w:br/>
            </w:r>
            <w:r>
              <w:rPr>
                <w:rFonts w:ascii="Consolas" w:hAnsi="Consolas"/>
                <w:sz w:val="18"/>
              </w:rPr>
              <w:t xml:space="preserve">        retain instance.word[common:instance.wordSize] unchanged</w:t>
            </w:r>
            <w:r>
              <w:br/>
            </w:r>
            <w:r>
              <w:rPr>
                <w:rFonts w:ascii="Consolas" w:hAnsi="Consolas"/>
                <w:sz w:val="18"/>
              </w:rPr>
              <w:t xml:space="preserve">    resolve Bitlinks only for supported addresses</w:t>
            </w:r>
            <w:r>
              <w:br/>
            </w:r>
            <w:r>
              <w:rPr>
                <w:rFonts w:ascii="Consolas" w:hAnsi="Consolas"/>
                <w:sz w:val="18"/>
              </w:rPr>
              <w:t xml:space="preserve">    return typed prefix view</w:t>
            </w:r>
          </w:p>
        </w:tc>
      </w:tr>
    </w:tbl>
    <w:p w14:paraId="155849B8" w14:textId="77777777" w:rsidR="00784701" w:rsidRDefault="00784701">
      <w:pPr>
        <w:spacing w:after="20"/>
        <w:rPr>
          <w:rFonts w:hint="eastAsia"/>
        </w:rPr>
      </w:pPr>
    </w:p>
    <w:p w14:paraId="7710D4E8" w14:textId="77777777" w:rsidR="00784701" w:rsidRDefault="00ED1A28">
      <w:pPr>
        <w:pStyle w:val="Heading1"/>
        <w:spacing w:before="240" w:after="100"/>
      </w:pPr>
      <w:r>
        <w:t>13. Conformance, Validation, and Testing</w:t>
      </w:r>
    </w:p>
    <w:p w14:paraId="5BC4C9E8" w14:textId="77777777" w:rsidR="00784701" w:rsidRDefault="00ED1A28">
      <w:pPr>
        <w:pStyle w:val="Heading2"/>
        <w:spacing w:before="160" w:after="100"/>
      </w:pPr>
      <w:r>
        <w:t>13.1 Kernel Family Conformance</w:t>
      </w:r>
    </w:p>
    <w:p w14:paraId="2782AC43" w14:textId="77777777" w:rsidR="00784701" w:rsidRDefault="00ED1A28">
      <w:pPr>
        <w:pStyle w:val="ListBullet"/>
        <w:spacing w:after="50"/>
        <w:rPr>
          <w:rFonts w:hint="eastAsia"/>
        </w:rPr>
      </w:pPr>
      <w:r>
        <w:t>Every inherited address has identical meaning and encoding across conforming extensions.</w:t>
      </w:r>
    </w:p>
    <w:p w14:paraId="5B175E28" w14:textId="77777777" w:rsidR="00784701" w:rsidRDefault="00ED1A28">
      <w:pPr>
        <w:pStyle w:val="ListBullet"/>
        <w:spacing w:after="50"/>
        <w:rPr>
          <w:rFonts w:hint="eastAsia"/>
        </w:rPr>
      </w:pPr>
      <w:r>
        <w:t>New addresses begin strictly after the terminal address of the inherited resolution.</w:t>
      </w:r>
    </w:p>
    <w:p w14:paraId="2A83F9E0" w14:textId="77777777" w:rsidR="00784701" w:rsidRDefault="00ED1A28">
      <w:pPr>
        <w:pStyle w:val="ListBullet"/>
        <w:spacing w:after="50"/>
        <w:rPr>
          <w:rFonts w:hint="eastAsia"/>
        </w:rPr>
      </w:pPr>
      <w:r>
        <w:t>Published serialization order is unambiguous and stable.</w:t>
      </w:r>
    </w:p>
    <w:p w14:paraId="2415DBF2" w14:textId="77777777" w:rsidR="00784701" w:rsidRDefault="00ED1A28">
      <w:pPr>
        <w:pStyle w:val="ListBullet"/>
        <w:spacing w:after="50"/>
        <w:rPr>
          <w:rFonts w:hint="eastAsia"/>
        </w:rPr>
      </w:pPr>
      <w:r>
        <w:t>Each higher-resolution specification names its parent resolution and compatibility class.</w:t>
      </w:r>
    </w:p>
    <w:p w14:paraId="75A39705" w14:textId="77777777" w:rsidR="00784701" w:rsidRDefault="00ED1A28">
      <w:pPr>
        <w:pStyle w:val="ListBullet"/>
        <w:spacing w:after="50"/>
        <w:rPr>
          <w:rFonts w:hint="eastAsia"/>
        </w:rPr>
      </w:pPr>
      <w:r>
        <w:t>Cross-segment Rules are explicit and testable.</w:t>
      </w:r>
    </w:p>
    <w:p w14:paraId="1FE59F4B" w14:textId="77777777" w:rsidR="00784701" w:rsidRDefault="00ED1A28">
      <w:pPr>
        <w:pStyle w:val="ListBullet"/>
        <w:spacing w:after="50"/>
        <w:rPr>
          <w:rFonts w:hint="eastAsia"/>
        </w:rPr>
      </w:pPr>
      <w:r>
        <w:t>Null/default initialization for new extension segments is defined.</w:t>
      </w:r>
    </w:p>
    <w:p w14:paraId="471CB91E" w14:textId="77777777" w:rsidR="00784701" w:rsidRDefault="00ED1A28">
      <w:pPr>
        <w:pStyle w:val="Heading2"/>
        <w:spacing w:before="160" w:after="100"/>
      </w:pPr>
      <w:r>
        <w:t>13.2 Prefix Equality Tests</w:t>
      </w:r>
    </w:p>
    <w:p w14:paraId="33F68892" w14:textId="77777777" w:rsidR="00784701" w:rsidRDefault="00ED1A28">
      <w:pPr>
        <w:pStyle w:val="BodyText"/>
        <w:spacing w:after="100" w:line="259" w:lineRule="auto"/>
        <w:rPr>
          <w:rFonts w:hint="eastAsia"/>
        </w:rPr>
      </w:pPr>
      <w:r>
        <w:t>For test vectors, the first N bits of each conforming M-bit extension MUST equal the original N-bit vector after extension, save for changes caused by a separately authorized semantic Operator. Extension itself must not mutate the prefix.</w:t>
      </w:r>
    </w:p>
    <w:p w14:paraId="13E20642" w14:textId="77777777" w:rsidR="00784701" w:rsidRDefault="00ED1A28">
      <w:pPr>
        <w:pStyle w:val="Heading2"/>
        <w:spacing w:before="160" w:after="100"/>
      </w:pPr>
      <w:r>
        <w:t>13.3 Bitlink Conformance</w:t>
      </w:r>
    </w:p>
    <w:p w14:paraId="6116D4D0" w14:textId="77777777" w:rsidR="00784701" w:rsidRDefault="00ED1A28">
      <w:pPr>
        <w:pStyle w:val="ListBullet"/>
        <w:spacing w:after="50"/>
        <w:rPr>
          <w:rFonts w:hint="eastAsia"/>
        </w:rPr>
      </w:pPr>
      <w:r>
        <w:t>Inherited Bitlinks resolve identically against the same inherited state regardless of whether the source is N, M, or a larger compatible resolution.</w:t>
      </w:r>
    </w:p>
    <w:p w14:paraId="43EF0A4D" w14:textId="77777777" w:rsidR="00784701" w:rsidRDefault="00ED1A28">
      <w:pPr>
        <w:pStyle w:val="ListBullet"/>
        <w:spacing w:after="50"/>
        <w:rPr>
          <w:rFonts w:hint="eastAsia"/>
        </w:rPr>
      </w:pPr>
      <w:r>
        <w:t>Extension-only Bitlinks do not resolve against words that do not contain their source addresses.</w:t>
      </w:r>
    </w:p>
    <w:p w14:paraId="446B048A" w14:textId="77777777" w:rsidR="00784701" w:rsidRDefault="00ED1A28">
      <w:pPr>
        <w:pStyle w:val="ListBullet"/>
        <w:spacing w:after="50"/>
        <w:rPr>
          <w:rFonts w:hint="eastAsia"/>
        </w:rPr>
      </w:pPr>
      <w:r>
        <w:t>Bitlink conditions spanning multiple segments declare the minimum required resolution.</w:t>
      </w:r>
    </w:p>
    <w:p w14:paraId="5899F06F" w14:textId="77777777" w:rsidR="00784701" w:rsidRDefault="00ED1A28">
      <w:pPr>
        <w:pStyle w:val="ListBullet"/>
        <w:spacing w:after="50"/>
        <w:rPr>
          <w:rFonts w:hint="eastAsia"/>
        </w:rPr>
      </w:pPr>
      <w:r>
        <w:t>Causal chain logs identify source resolution and changed addresses.</w:t>
      </w:r>
    </w:p>
    <w:p w14:paraId="24A9A50C" w14:textId="77777777" w:rsidR="00784701" w:rsidRDefault="00ED1A28">
      <w:pPr>
        <w:pStyle w:val="ListBullet"/>
        <w:spacing w:after="50"/>
        <w:rPr>
          <w:rFonts w:hint="eastAsia"/>
        </w:rPr>
      </w:pPr>
      <w:r>
        <w:t>Cross-Kernel writes still use target Operators and target Rules rather than direct uncontrolled writes.</w:t>
      </w:r>
    </w:p>
    <w:p w14:paraId="1B2D8538" w14:textId="77777777" w:rsidR="00784701" w:rsidRDefault="00ED1A28">
      <w:pPr>
        <w:pStyle w:val="Heading2"/>
        <w:spacing w:before="160" w:after="100"/>
      </w:pPr>
      <w:r>
        <w:t>13.4 Transfer and Round-Trip Tests</w:t>
      </w:r>
    </w:p>
    <w:p w14:paraId="3C5C703D" w14:textId="77777777" w:rsidR="00784701" w:rsidRDefault="00ED1A28">
      <w:pPr>
        <w:pStyle w:val="ListBullet"/>
        <w:spacing w:after="50"/>
        <w:rPr>
          <w:rFonts w:hint="eastAsia"/>
        </w:rPr>
      </w:pPr>
      <w:r>
        <w:t>Byte-for-byte transfer between conforming systems preserves the word exactly.</w:t>
      </w:r>
    </w:p>
    <w:p w14:paraId="414AA528" w14:textId="77777777" w:rsidR="00784701" w:rsidRDefault="00ED1A28">
      <w:pPr>
        <w:pStyle w:val="ListBullet"/>
        <w:spacing w:after="50"/>
        <w:rPr>
          <w:rFonts w:hint="eastAsia"/>
        </w:rPr>
      </w:pPr>
      <w:r>
        <w:t>Prefix projection returns the canonical lower-resolution prefix.</w:t>
      </w:r>
    </w:p>
    <w:p w14:paraId="67AED6EE" w14:textId="77777777" w:rsidR="00784701" w:rsidRDefault="00ED1A28">
      <w:pPr>
        <w:pStyle w:val="ListBullet"/>
        <w:spacing w:after="50"/>
        <w:rPr>
          <w:rFonts w:hint="eastAsia"/>
        </w:rPr>
      </w:pPr>
      <w:r>
        <w:t>Opaque-tail preservation permits a lower-resolution intermediary to forward the original higher-resolution word unchanged.</w:t>
      </w:r>
    </w:p>
    <w:p w14:paraId="39785BC7" w14:textId="77777777" w:rsidR="00784701" w:rsidRDefault="00ED1A28">
      <w:pPr>
        <w:pStyle w:val="ListBullet"/>
        <w:spacing w:after="50"/>
        <w:rPr>
          <w:rFonts w:hint="eastAsia"/>
        </w:rPr>
      </w:pPr>
      <w:r>
        <w:t>Upward extension followed by projection back to the source resolution reproduces the source prefix exactly.</w:t>
      </w:r>
    </w:p>
    <w:p w14:paraId="5965A9AC" w14:textId="77777777" w:rsidR="00784701" w:rsidRDefault="00ED1A28">
      <w:pPr>
        <w:pStyle w:val="ListBullet"/>
        <w:spacing w:after="50"/>
        <w:rPr>
          <w:rFonts w:hint="eastAsia"/>
        </w:rPr>
      </w:pPr>
      <w:r>
        <w:t>Any claimed lossless translation outside the prefix mechanism is tested separately as a translation contract.</w:t>
      </w:r>
    </w:p>
    <w:p w14:paraId="2C2B1728" w14:textId="77777777" w:rsidR="00784701" w:rsidRDefault="00ED1A28">
      <w:pPr>
        <w:pStyle w:val="Heading2"/>
        <w:spacing w:before="160" w:after="100"/>
      </w:pPr>
      <w:r>
        <w:t>13.5 Version Failure Tests</w:t>
      </w:r>
    </w:p>
    <w:p w14:paraId="0C24340C" w14:textId="77777777" w:rsidR="00784701" w:rsidRDefault="00ED1A28">
      <w:pPr>
        <w:pStyle w:val="BodyText"/>
        <w:spacing w:after="100" w:line="259" w:lineRule="auto"/>
        <w:rPr>
          <w:rFonts w:hint="eastAsia"/>
        </w:rPr>
      </w:pPr>
      <w:r>
        <w:t>Test suites SHOULD intentionally attempt to load a layout-changing version as though it were a prefix-compatible extension. The runtime must reject the claim. Prefix compatibility is a contract property, not something inferred from similar names or equal word lengths.</w:t>
      </w:r>
    </w:p>
    <w:p w14:paraId="63ED7405" w14:textId="77777777" w:rsidR="00784701" w:rsidRDefault="00ED1A28">
      <w:pPr>
        <w:pStyle w:val="Heading1"/>
        <w:spacing w:before="240" w:after="100"/>
      </w:pPr>
      <w:r>
        <w:t>14. Governance, Safety, and Domain Validation</w:t>
      </w:r>
    </w:p>
    <w:p w14:paraId="2788BE7B" w14:textId="77777777" w:rsidR="00784701" w:rsidRDefault="00ED1A28">
      <w:pPr>
        <w:pStyle w:val="Heading2"/>
        <w:spacing w:before="160" w:after="100"/>
      </w:pPr>
      <w:r>
        <w:t>14.1 Semantic Stability</w:t>
      </w:r>
    </w:p>
    <w:p w14:paraId="44004648" w14:textId="77777777" w:rsidR="00784701" w:rsidRDefault="00ED1A28">
      <w:pPr>
        <w:pStyle w:val="BodyText"/>
        <w:spacing w:after="100" w:line="259" w:lineRule="auto"/>
        <w:rPr>
          <w:rFonts w:hint="eastAsia"/>
        </w:rPr>
      </w:pPr>
      <w:r>
        <w:t>The value of Semantic Prefix Invariance depends on restraint. Once a prefix is published and used by persistent datasets, changing its meaning creates silent semantic corruption. Governance SHOULD therefore treat published prefix semantics as immutable and route corrections through explicit new versions or forks.</w:t>
      </w:r>
    </w:p>
    <w:p w14:paraId="59950A93" w14:textId="77777777" w:rsidR="00784701" w:rsidRDefault="00ED1A28">
      <w:pPr>
        <w:pStyle w:val="Heading2"/>
        <w:spacing w:before="160" w:after="100"/>
      </w:pPr>
      <w:r>
        <w:t>14.2 Domain Validation</w:t>
      </w:r>
    </w:p>
    <w:p w14:paraId="45C3A21D" w14:textId="77777777" w:rsidR="00784701" w:rsidRDefault="00ED1A28">
      <w:pPr>
        <w:pStyle w:val="BodyText"/>
        <w:spacing w:after="100" w:line="259" w:lineRule="auto"/>
        <w:rPr>
          <w:rFonts w:hint="eastAsia"/>
        </w:rPr>
      </w:pPr>
      <w:r>
        <w:t>Prefix invariance guarantees representational stability, not scientific truth. Real-life Semantic Kernels for anatomy, physiology, medicine, chemistry, engineering, or other professional domains require appropriate expert review and evidence. A perfectly stable bit can still encode a bad concept if the underlying domain model is wrong.</w:t>
      </w:r>
    </w:p>
    <w:p w14:paraId="7D2EFDE9" w14:textId="77777777" w:rsidR="00784701" w:rsidRDefault="00ED1A28">
      <w:pPr>
        <w:pStyle w:val="Heading2"/>
        <w:spacing w:before="160" w:after="100"/>
      </w:pPr>
      <w:r>
        <w:t>14.3 Observed vs. Derived State</w:t>
      </w:r>
    </w:p>
    <w:p w14:paraId="0ECFC983" w14:textId="77777777" w:rsidR="00784701" w:rsidRDefault="00ED1A28">
      <w:pPr>
        <w:pStyle w:val="BodyText"/>
        <w:spacing w:after="100" w:line="259" w:lineRule="auto"/>
        <w:rPr>
          <w:rFonts w:hint="eastAsia"/>
        </w:rPr>
      </w:pPr>
      <w:r>
        <w:t>Higher resolution must not tempt implementations to encode inferred detail as though it were observed. A workout record should not automatically instantiate cellular activity merely because a Model can estimate it. Observed, measured, simulated, predicted, and model-derived state remain provenance-distinct.</w:t>
      </w:r>
    </w:p>
    <w:p w14:paraId="54724F6D" w14:textId="77777777" w:rsidR="00784701" w:rsidRDefault="00ED1A28">
      <w:pPr>
        <w:pStyle w:val="Heading2"/>
        <w:spacing w:before="160" w:after="100"/>
      </w:pPr>
      <w:r>
        <w:t>14.4 Permission Monotonicity</w:t>
      </w:r>
    </w:p>
    <w:p w14:paraId="405DE236" w14:textId="77777777" w:rsidR="00784701" w:rsidRDefault="00ED1A28">
      <w:pPr>
        <w:pStyle w:val="BodyText"/>
        <w:spacing w:after="100" w:line="259" w:lineRule="auto"/>
        <w:rPr>
          <w:rFonts w:hint="eastAsia"/>
        </w:rPr>
      </w:pPr>
      <w:r>
        <w:t>Supporting a larger word MUST NOT silently broaden mutation authority. A reader permitted to edit BODY-128 does not automatically gain authority to mutate BODY-256 or MUSCLE-512 extension bits. Permissions and Operator write sets remain explicit at each resolution.</w:t>
      </w:r>
    </w:p>
    <w:p w14:paraId="6CBC14BF" w14:textId="77777777" w:rsidR="00784701" w:rsidRDefault="00ED1A28">
      <w:pPr>
        <w:pStyle w:val="Heading1"/>
        <w:spacing w:before="240" w:after="100"/>
      </w:pPr>
      <w:r>
        <w:t>15. Design Principles and Conclusion</w:t>
      </w:r>
    </w:p>
    <w:tbl>
      <w:tblPr>
        <w:tblStyle w:val="TableGrid"/>
        <w:tblW w:w="0" w:type="auto"/>
        <w:jc w:val="center"/>
        <w:tblLayout w:type="fixed"/>
        <w:tblLook w:val="04A0" w:firstRow="1" w:lastRow="0" w:firstColumn="1" w:lastColumn="0" w:noHBand="0" w:noVBand="1"/>
      </w:tblPr>
      <w:tblGrid>
        <w:gridCol w:w="2952"/>
        <w:gridCol w:w="7416"/>
      </w:tblGrid>
      <w:tr w:rsidR="00784701" w14:paraId="6532B607" w14:textId="77777777">
        <w:trPr>
          <w:tblHeader/>
          <w:jc w:val="center"/>
        </w:trPr>
        <w:tc>
          <w:tcPr>
            <w:tcW w:w="2952" w:type="dxa"/>
            <w:shd w:val="clear" w:color="auto" w:fill="17365D"/>
            <w:tcMar>
              <w:top w:w="90" w:type="dxa"/>
              <w:left w:w="100" w:type="dxa"/>
              <w:bottom w:w="90" w:type="dxa"/>
              <w:right w:w="100" w:type="dxa"/>
            </w:tcMar>
            <w:vAlign w:val="center"/>
          </w:tcPr>
          <w:p w14:paraId="0674C925" w14:textId="77777777" w:rsidR="00784701" w:rsidRDefault="00ED1A28">
            <w:pPr>
              <w:jc w:val="center"/>
              <w:rPr>
                <w:rFonts w:hint="eastAsia"/>
              </w:rPr>
            </w:pPr>
            <w:r>
              <w:rPr>
                <w:b/>
                <w:color w:val="FFFFFF"/>
                <w:sz w:val="18"/>
              </w:rPr>
              <w:t>Principle</w:t>
            </w:r>
          </w:p>
        </w:tc>
        <w:tc>
          <w:tcPr>
            <w:tcW w:w="7416" w:type="dxa"/>
            <w:shd w:val="clear" w:color="auto" w:fill="17365D"/>
            <w:tcMar>
              <w:top w:w="90" w:type="dxa"/>
              <w:left w:w="100" w:type="dxa"/>
              <w:bottom w:w="90" w:type="dxa"/>
              <w:right w:w="100" w:type="dxa"/>
            </w:tcMar>
            <w:vAlign w:val="center"/>
          </w:tcPr>
          <w:p w14:paraId="4955372E" w14:textId="77777777" w:rsidR="00784701" w:rsidRDefault="00ED1A28">
            <w:pPr>
              <w:jc w:val="center"/>
              <w:rPr>
                <w:rFonts w:hint="eastAsia"/>
              </w:rPr>
            </w:pPr>
            <w:r>
              <w:rPr>
                <w:b/>
                <w:color w:val="FFFFFF"/>
                <w:sz w:val="18"/>
              </w:rPr>
              <w:t>Meaning</w:t>
            </w:r>
          </w:p>
        </w:tc>
      </w:tr>
      <w:tr w:rsidR="00784701" w14:paraId="615549D3" w14:textId="77777777">
        <w:trPr>
          <w:jc w:val="center"/>
        </w:trPr>
        <w:tc>
          <w:tcPr>
            <w:tcW w:w="2952" w:type="dxa"/>
            <w:tcMar>
              <w:top w:w="90" w:type="dxa"/>
              <w:left w:w="100" w:type="dxa"/>
              <w:bottom w:w="90" w:type="dxa"/>
              <w:right w:w="100" w:type="dxa"/>
            </w:tcMar>
            <w:vAlign w:val="center"/>
          </w:tcPr>
          <w:p w14:paraId="657E0DF9" w14:textId="77777777" w:rsidR="00784701" w:rsidRDefault="00ED1A28">
            <w:pPr>
              <w:jc w:val="center"/>
              <w:rPr>
                <w:rFonts w:hint="eastAsia"/>
              </w:rPr>
            </w:pPr>
            <w:r>
              <w:rPr>
                <w:sz w:val="17"/>
              </w:rPr>
              <w:t>Prefix Invariance</w:t>
            </w:r>
          </w:p>
        </w:tc>
        <w:tc>
          <w:tcPr>
            <w:tcW w:w="7416" w:type="dxa"/>
            <w:tcMar>
              <w:top w:w="90" w:type="dxa"/>
              <w:left w:w="100" w:type="dxa"/>
              <w:bottom w:w="90" w:type="dxa"/>
              <w:right w:w="100" w:type="dxa"/>
            </w:tcMar>
            <w:vAlign w:val="center"/>
          </w:tcPr>
          <w:p w14:paraId="2FEAE4B9" w14:textId="77777777" w:rsidR="00784701" w:rsidRDefault="00ED1A28">
            <w:pPr>
              <w:rPr>
                <w:rFonts w:hint="eastAsia"/>
              </w:rPr>
            </w:pPr>
            <w:r>
              <w:rPr>
                <w:sz w:val="17"/>
              </w:rPr>
              <w:t>Published lower-resolution semantics never move inside conforming extensions.</w:t>
            </w:r>
          </w:p>
        </w:tc>
      </w:tr>
      <w:tr w:rsidR="00784701" w14:paraId="6DFB6FC1" w14:textId="77777777">
        <w:trPr>
          <w:jc w:val="center"/>
        </w:trPr>
        <w:tc>
          <w:tcPr>
            <w:tcW w:w="2952" w:type="dxa"/>
            <w:shd w:val="clear" w:color="auto" w:fill="F8FAFC"/>
            <w:tcMar>
              <w:top w:w="90" w:type="dxa"/>
              <w:left w:w="100" w:type="dxa"/>
              <w:bottom w:w="90" w:type="dxa"/>
              <w:right w:w="100" w:type="dxa"/>
            </w:tcMar>
            <w:vAlign w:val="center"/>
          </w:tcPr>
          <w:p w14:paraId="1FFDFB78" w14:textId="77777777" w:rsidR="00784701" w:rsidRDefault="00ED1A28">
            <w:pPr>
              <w:rPr>
                <w:rFonts w:hint="eastAsia"/>
              </w:rPr>
            </w:pPr>
            <w:r>
              <w:rPr>
                <w:sz w:val="17"/>
              </w:rPr>
              <w:t>Append, Do Not Migrate</w:t>
            </w:r>
          </w:p>
        </w:tc>
        <w:tc>
          <w:tcPr>
            <w:tcW w:w="7416" w:type="dxa"/>
            <w:shd w:val="clear" w:color="auto" w:fill="F8FAFC"/>
            <w:tcMar>
              <w:top w:w="90" w:type="dxa"/>
              <w:left w:w="100" w:type="dxa"/>
              <w:bottom w:w="90" w:type="dxa"/>
              <w:right w:w="100" w:type="dxa"/>
            </w:tcMar>
            <w:vAlign w:val="center"/>
          </w:tcPr>
          <w:p w14:paraId="6DA4FFEF" w14:textId="77777777" w:rsidR="00784701" w:rsidRDefault="00ED1A28">
            <w:pPr>
              <w:rPr>
                <w:rFonts w:hint="eastAsia"/>
              </w:rPr>
            </w:pPr>
            <w:r>
              <w:rPr>
                <w:sz w:val="17"/>
              </w:rPr>
              <w:t>Additional resolution is added after the existing word.</w:t>
            </w:r>
          </w:p>
        </w:tc>
      </w:tr>
      <w:tr w:rsidR="00784701" w14:paraId="2885FC0D" w14:textId="77777777">
        <w:trPr>
          <w:jc w:val="center"/>
        </w:trPr>
        <w:tc>
          <w:tcPr>
            <w:tcW w:w="2952" w:type="dxa"/>
            <w:tcMar>
              <w:top w:w="90" w:type="dxa"/>
              <w:left w:w="100" w:type="dxa"/>
              <w:bottom w:w="90" w:type="dxa"/>
              <w:right w:w="100" w:type="dxa"/>
            </w:tcMar>
            <w:vAlign w:val="center"/>
          </w:tcPr>
          <w:p w14:paraId="61FB2996" w14:textId="77777777" w:rsidR="00784701" w:rsidRDefault="00ED1A28">
            <w:pPr>
              <w:rPr>
                <w:rFonts w:hint="eastAsia"/>
              </w:rPr>
            </w:pPr>
            <w:r>
              <w:rPr>
                <w:sz w:val="17"/>
              </w:rPr>
              <w:t>Small Record, Rich Contract</w:t>
            </w:r>
          </w:p>
        </w:tc>
        <w:tc>
          <w:tcPr>
            <w:tcW w:w="7416" w:type="dxa"/>
            <w:tcMar>
              <w:top w:w="90" w:type="dxa"/>
              <w:left w:w="100" w:type="dxa"/>
              <w:bottom w:w="90" w:type="dxa"/>
              <w:right w:w="100" w:type="dxa"/>
            </w:tcMar>
            <w:vAlign w:val="center"/>
          </w:tcPr>
          <w:p w14:paraId="7B773DAC" w14:textId="77777777" w:rsidR="00784701" w:rsidRDefault="00ED1A28">
            <w:pPr>
              <w:rPr>
                <w:rFonts w:hint="eastAsia"/>
              </w:rPr>
            </w:pPr>
            <w:r>
              <w:rPr>
                <w:sz w:val="17"/>
              </w:rPr>
              <w:t>Operational state stays compact while meaning lives in reusable Registries.</w:t>
            </w:r>
          </w:p>
        </w:tc>
      </w:tr>
      <w:tr w:rsidR="00784701" w14:paraId="324C1B7F" w14:textId="77777777">
        <w:trPr>
          <w:jc w:val="center"/>
        </w:trPr>
        <w:tc>
          <w:tcPr>
            <w:tcW w:w="2952" w:type="dxa"/>
            <w:shd w:val="clear" w:color="auto" w:fill="F8FAFC"/>
            <w:tcMar>
              <w:top w:w="90" w:type="dxa"/>
              <w:left w:w="100" w:type="dxa"/>
              <w:bottom w:w="90" w:type="dxa"/>
              <w:right w:w="100" w:type="dxa"/>
            </w:tcMar>
            <w:vAlign w:val="center"/>
          </w:tcPr>
          <w:p w14:paraId="37234F45" w14:textId="77777777" w:rsidR="00784701" w:rsidRDefault="00ED1A28">
            <w:pPr>
              <w:rPr>
                <w:rFonts w:hint="eastAsia"/>
              </w:rPr>
            </w:pPr>
            <w:r>
              <w:rPr>
                <w:sz w:val="17"/>
              </w:rPr>
              <w:t>Lowest Sufficient Resolution</w:t>
            </w:r>
          </w:p>
        </w:tc>
        <w:tc>
          <w:tcPr>
            <w:tcW w:w="7416" w:type="dxa"/>
            <w:shd w:val="clear" w:color="auto" w:fill="F8FAFC"/>
            <w:tcMar>
              <w:top w:w="90" w:type="dxa"/>
              <w:left w:w="100" w:type="dxa"/>
              <w:bottom w:w="90" w:type="dxa"/>
              <w:right w:w="100" w:type="dxa"/>
            </w:tcMar>
            <w:vAlign w:val="center"/>
          </w:tcPr>
          <w:p w14:paraId="60A4EE05" w14:textId="77777777" w:rsidR="00784701" w:rsidRDefault="00ED1A28">
            <w:pPr>
              <w:rPr>
                <w:rFonts w:hint="eastAsia"/>
              </w:rPr>
            </w:pPr>
            <w:r>
              <w:rPr>
                <w:sz w:val="17"/>
              </w:rPr>
              <w:t>Use only the semantic depth required for the task.</w:t>
            </w:r>
          </w:p>
        </w:tc>
      </w:tr>
      <w:tr w:rsidR="00784701" w14:paraId="0E7649EC" w14:textId="77777777">
        <w:trPr>
          <w:jc w:val="center"/>
        </w:trPr>
        <w:tc>
          <w:tcPr>
            <w:tcW w:w="2952" w:type="dxa"/>
            <w:tcMar>
              <w:top w:w="90" w:type="dxa"/>
              <w:left w:w="100" w:type="dxa"/>
              <w:bottom w:w="90" w:type="dxa"/>
              <w:right w:w="100" w:type="dxa"/>
            </w:tcMar>
            <w:vAlign w:val="center"/>
          </w:tcPr>
          <w:p w14:paraId="2CC79D45" w14:textId="77777777" w:rsidR="00784701" w:rsidRDefault="00ED1A28">
            <w:pPr>
              <w:rPr>
                <w:rFonts w:hint="eastAsia"/>
              </w:rPr>
            </w:pPr>
            <w:r>
              <w:rPr>
                <w:sz w:val="17"/>
              </w:rPr>
              <w:t>Deep Guidance, Shallow Event</w:t>
            </w:r>
          </w:p>
        </w:tc>
        <w:tc>
          <w:tcPr>
            <w:tcW w:w="7416" w:type="dxa"/>
            <w:tcMar>
              <w:top w:w="90" w:type="dxa"/>
              <w:left w:w="100" w:type="dxa"/>
              <w:bottom w:w="90" w:type="dxa"/>
              <w:right w:w="100" w:type="dxa"/>
            </w:tcMar>
            <w:vAlign w:val="center"/>
          </w:tcPr>
          <w:p w14:paraId="00E93A82" w14:textId="77777777" w:rsidR="00784701" w:rsidRDefault="00ED1A28">
            <w:pPr>
              <w:rPr>
                <w:rFonts w:hint="eastAsia"/>
              </w:rPr>
            </w:pPr>
            <w:r>
              <w:rPr>
                <w:sz w:val="17"/>
              </w:rPr>
              <w:t>Detailed theory may inform a compact operational record without being duplicated into it.</w:t>
            </w:r>
          </w:p>
        </w:tc>
      </w:tr>
      <w:tr w:rsidR="00784701" w14:paraId="5CC8E43E" w14:textId="77777777">
        <w:trPr>
          <w:jc w:val="center"/>
        </w:trPr>
        <w:tc>
          <w:tcPr>
            <w:tcW w:w="2952" w:type="dxa"/>
            <w:shd w:val="clear" w:color="auto" w:fill="F8FAFC"/>
            <w:tcMar>
              <w:top w:w="90" w:type="dxa"/>
              <w:left w:w="100" w:type="dxa"/>
              <w:bottom w:w="90" w:type="dxa"/>
              <w:right w:w="100" w:type="dxa"/>
            </w:tcMar>
            <w:vAlign w:val="center"/>
          </w:tcPr>
          <w:p w14:paraId="6AFE9B27" w14:textId="77777777" w:rsidR="00784701" w:rsidRDefault="00ED1A28">
            <w:pPr>
              <w:rPr>
                <w:rFonts w:hint="eastAsia"/>
              </w:rPr>
            </w:pPr>
            <w:r>
              <w:rPr>
                <w:sz w:val="17"/>
              </w:rPr>
              <w:t>Bitlinks Survive Growth</w:t>
            </w:r>
          </w:p>
        </w:tc>
        <w:tc>
          <w:tcPr>
            <w:tcW w:w="7416" w:type="dxa"/>
            <w:shd w:val="clear" w:color="auto" w:fill="F8FAFC"/>
            <w:tcMar>
              <w:top w:w="90" w:type="dxa"/>
              <w:left w:w="100" w:type="dxa"/>
              <w:bottom w:w="90" w:type="dxa"/>
              <w:right w:w="100" w:type="dxa"/>
            </w:tcMar>
            <w:vAlign w:val="center"/>
          </w:tcPr>
          <w:p w14:paraId="44932A41" w14:textId="77777777" w:rsidR="00784701" w:rsidRDefault="00ED1A28">
            <w:pPr>
              <w:rPr>
                <w:rFonts w:hint="eastAsia"/>
              </w:rPr>
            </w:pPr>
            <w:r>
              <w:rPr>
                <w:sz w:val="17"/>
              </w:rPr>
              <w:t>Bindings to inherited addresses remain valid as resolution increases.</w:t>
            </w:r>
          </w:p>
        </w:tc>
      </w:tr>
      <w:tr w:rsidR="00784701" w14:paraId="15853811" w14:textId="77777777">
        <w:trPr>
          <w:jc w:val="center"/>
        </w:trPr>
        <w:tc>
          <w:tcPr>
            <w:tcW w:w="2952" w:type="dxa"/>
            <w:tcMar>
              <w:top w:w="90" w:type="dxa"/>
              <w:left w:w="100" w:type="dxa"/>
              <w:bottom w:w="90" w:type="dxa"/>
              <w:right w:w="100" w:type="dxa"/>
            </w:tcMar>
            <w:vAlign w:val="center"/>
          </w:tcPr>
          <w:p w14:paraId="21E8F631" w14:textId="77777777" w:rsidR="00784701" w:rsidRDefault="00ED1A28">
            <w:pPr>
              <w:rPr>
                <w:rFonts w:hint="eastAsia"/>
              </w:rPr>
            </w:pPr>
            <w:r>
              <w:rPr>
                <w:sz w:val="17"/>
              </w:rPr>
              <w:t>Specialize by Extension</w:t>
            </w:r>
          </w:p>
        </w:tc>
        <w:tc>
          <w:tcPr>
            <w:tcW w:w="7416" w:type="dxa"/>
            <w:tcMar>
              <w:top w:w="90" w:type="dxa"/>
              <w:left w:w="100" w:type="dxa"/>
              <w:bottom w:w="90" w:type="dxa"/>
              <w:right w:w="100" w:type="dxa"/>
            </w:tcMar>
            <w:vAlign w:val="center"/>
          </w:tcPr>
          <w:p w14:paraId="01397D36" w14:textId="77777777" w:rsidR="00784701" w:rsidRDefault="00ED1A28">
            <w:pPr>
              <w:rPr>
                <w:rFonts w:hint="eastAsia"/>
              </w:rPr>
            </w:pPr>
            <w:r>
              <w:rPr>
                <w:sz w:val="17"/>
              </w:rPr>
              <w:t>A specialist Kernel can preserve a common general prefix and spend new bits only on specialist detail.</w:t>
            </w:r>
          </w:p>
        </w:tc>
      </w:tr>
      <w:tr w:rsidR="00784701" w14:paraId="12C7D6F8" w14:textId="77777777">
        <w:trPr>
          <w:jc w:val="center"/>
        </w:trPr>
        <w:tc>
          <w:tcPr>
            <w:tcW w:w="2952" w:type="dxa"/>
            <w:shd w:val="clear" w:color="auto" w:fill="F8FAFC"/>
            <w:tcMar>
              <w:top w:w="90" w:type="dxa"/>
              <w:left w:w="100" w:type="dxa"/>
              <w:bottom w:w="90" w:type="dxa"/>
              <w:right w:w="100" w:type="dxa"/>
            </w:tcMar>
            <w:vAlign w:val="center"/>
          </w:tcPr>
          <w:p w14:paraId="32C4A78A" w14:textId="77777777" w:rsidR="00784701" w:rsidRDefault="00ED1A28">
            <w:pPr>
              <w:rPr>
                <w:rFonts w:hint="eastAsia"/>
              </w:rPr>
            </w:pPr>
            <w:r>
              <w:rPr>
                <w:sz w:val="17"/>
              </w:rPr>
              <w:t>Transfer by Contract</w:t>
            </w:r>
          </w:p>
        </w:tc>
        <w:tc>
          <w:tcPr>
            <w:tcW w:w="7416" w:type="dxa"/>
            <w:shd w:val="clear" w:color="auto" w:fill="F8FAFC"/>
            <w:tcMar>
              <w:top w:w="90" w:type="dxa"/>
              <w:left w:w="100" w:type="dxa"/>
              <w:bottom w:w="90" w:type="dxa"/>
              <w:right w:w="100" w:type="dxa"/>
            </w:tcMar>
            <w:vAlign w:val="center"/>
          </w:tcPr>
          <w:p w14:paraId="3D5C236D" w14:textId="77777777" w:rsidR="00784701" w:rsidRDefault="00ED1A28">
            <w:pPr>
              <w:rPr>
                <w:rFonts w:hint="eastAsia"/>
              </w:rPr>
            </w:pPr>
            <w:r>
              <w:rPr>
                <w:sz w:val="17"/>
              </w:rPr>
              <w:t>Conforming systems can exchange packed words directly without application-specific remapping.</w:t>
            </w:r>
          </w:p>
        </w:tc>
      </w:tr>
      <w:tr w:rsidR="00784701" w14:paraId="5C80BEDC" w14:textId="77777777">
        <w:trPr>
          <w:jc w:val="center"/>
        </w:trPr>
        <w:tc>
          <w:tcPr>
            <w:tcW w:w="2952" w:type="dxa"/>
            <w:tcMar>
              <w:top w:w="90" w:type="dxa"/>
              <w:left w:w="100" w:type="dxa"/>
              <w:bottom w:w="90" w:type="dxa"/>
              <w:right w:w="100" w:type="dxa"/>
            </w:tcMar>
            <w:vAlign w:val="center"/>
          </w:tcPr>
          <w:p w14:paraId="178E931B" w14:textId="77777777" w:rsidR="00784701" w:rsidRDefault="00ED1A28">
            <w:pPr>
              <w:rPr>
                <w:rFonts w:hint="eastAsia"/>
              </w:rPr>
            </w:pPr>
            <w:r>
              <w:rPr>
                <w:sz w:val="17"/>
              </w:rPr>
              <w:t>Projection Is Explicit</w:t>
            </w:r>
          </w:p>
        </w:tc>
        <w:tc>
          <w:tcPr>
            <w:tcW w:w="7416" w:type="dxa"/>
            <w:tcMar>
              <w:top w:w="90" w:type="dxa"/>
              <w:left w:w="100" w:type="dxa"/>
              <w:bottom w:w="90" w:type="dxa"/>
              <w:right w:w="100" w:type="dxa"/>
            </w:tcMar>
            <w:vAlign w:val="center"/>
          </w:tcPr>
          <w:p w14:paraId="53AE3053" w14:textId="77777777" w:rsidR="00784701" w:rsidRDefault="00ED1A28">
            <w:pPr>
              <w:rPr>
                <w:rFonts w:hint="eastAsia"/>
              </w:rPr>
            </w:pPr>
            <w:r>
              <w:rPr>
                <w:sz w:val="17"/>
              </w:rPr>
              <w:t>Downward prefix projection preserves the prefix and omits the tail by declared intent.</w:t>
            </w:r>
          </w:p>
        </w:tc>
      </w:tr>
      <w:tr w:rsidR="00784701" w14:paraId="40B9AABE" w14:textId="77777777">
        <w:trPr>
          <w:jc w:val="center"/>
        </w:trPr>
        <w:tc>
          <w:tcPr>
            <w:tcW w:w="2952" w:type="dxa"/>
            <w:shd w:val="clear" w:color="auto" w:fill="F8FAFC"/>
            <w:tcMar>
              <w:top w:w="90" w:type="dxa"/>
              <w:left w:w="100" w:type="dxa"/>
              <w:bottom w:w="90" w:type="dxa"/>
              <w:right w:w="100" w:type="dxa"/>
            </w:tcMar>
            <w:vAlign w:val="center"/>
          </w:tcPr>
          <w:p w14:paraId="5226EE8A" w14:textId="77777777" w:rsidR="00784701" w:rsidRDefault="00ED1A28">
            <w:pPr>
              <w:rPr>
                <w:rFonts w:hint="eastAsia"/>
              </w:rPr>
            </w:pPr>
            <w:r>
              <w:rPr>
                <w:sz w:val="17"/>
              </w:rPr>
              <w:t>Semantic Change Requires a New Contract</w:t>
            </w:r>
          </w:p>
        </w:tc>
        <w:tc>
          <w:tcPr>
            <w:tcW w:w="7416" w:type="dxa"/>
            <w:shd w:val="clear" w:color="auto" w:fill="F8FAFC"/>
            <w:tcMar>
              <w:top w:w="90" w:type="dxa"/>
              <w:left w:w="100" w:type="dxa"/>
              <w:bottom w:w="90" w:type="dxa"/>
              <w:right w:w="100" w:type="dxa"/>
            </w:tcMar>
            <w:vAlign w:val="center"/>
          </w:tcPr>
          <w:p w14:paraId="3A99FE33" w14:textId="77777777" w:rsidR="00784701" w:rsidRDefault="00ED1A28">
            <w:pPr>
              <w:rPr>
                <w:rFonts w:hint="eastAsia"/>
              </w:rPr>
            </w:pPr>
            <w:r>
              <w:rPr>
                <w:sz w:val="17"/>
              </w:rPr>
              <w:t>Reinterpretation is versioning/forking, not extension.</w:t>
            </w:r>
          </w:p>
        </w:tc>
      </w:tr>
    </w:tbl>
    <w:p w14:paraId="2DD8080D" w14:textId="77777777" w:rsidR="00784701" w:rsidRDefault="00784701">
      <w:pPr>
        <w:spacing w:after="40"/>
        <w:rPr>
          <w:rFonts w:hint="eastAsia"/>
        </w:rPr>
      </w:pPr>
    </w:p>
    <w:tbl>
      <w:tblPr>
        <w:tblW w:w="0" w:type="auto"/>
        <w:jc w:val="center"/>
        <w:tblLook w:val="04A0" w:firstRow="1" w:lastRow="0" w:firstColumn="1" w:lastColumn="0" w:noHBand="0" w:noVBand="1"/>
      </w:tblPr>
      <w:tblGrid>
        <w:gridCol w:w="9936"/>
      </w:tblGrid>
      <w:tr w:rsidR="00784701" w14:paraId="65DFB93E" w14:textId="77777777">
        <w:trPr>
          <w:cantSplit/>
          <w:jc w:val="center"/>
        </w:trPr>
        <w:tc>
          <w:tcPr>
            <w:tcW w:w="9936" w:type="dxa"/>
            <w:tcBorders>
              <w:top w:val="single" w:sz="8" w:space="0" w:color="0F6B78"/>
              <w:left w:val="single" w:sz="8" w:space="0" w:color="0F6B78"/>
              <w:bottom w:val="single" w:sz="8" w:space="0" w:color="0F6B78"/>
              <w:right w:val="single" w:sz="8" w:space="0" w:color="0F6B78"/>
            </w:tcBorders>
            <w:shd w:val="clear" w:color="auto" w:fill="EAF5F6"/>
            <w:tcMar>
              <w:top w:w="120" w:type="dxa"/>
              <w:left w:w="160" w:type="dxa"/>
              <w:bottom w:w="120" w:type="dxa"/>
              <w:right w:w="160" w:type="dxa"/>
            </w:tcMar>
          </w:tcPr>
          <w:p w14:paraId="53B9AA12" w14:textId="77777777" w:rsidR="00784701" w:rsidRDefault="00ED1A28">
            <w:pPr>
              <w:spacing w:after="60"/>
              <w:rPr>
                <w:rFonts w:hint="eastAsia"/>
              </w:rPr>
            </w:pPr>
            <w:r>
              <w:rPr>
                <w:b/>
                <w:color w:val="0F6B78"/>
              </w:rPr>
              <w:t>Formal Summary</w:t>
            </w:r>
          </w:p>
          <w:p w14:paraId="14BE5C18" w14:textId="77777777" w:rsidR="00784701" w:rsidRDefault="00ED1A28">
            <w:pPr>
              <w:spacing w:after="0"/>
              <w:rPr>
                <w:rFonts w:hint="eastAsia"/>
              </w:rPr>
            </w:pPr>
            <w:r>
              <w:rPr>
                <w:sz w:val="20"/>
              </w:rPr>
              <w:t>Semantic Prefix Invariance = immutable published prefix + append-only semantic extension + resolution-aware reading + persistent Bitlinks + explicit projection + version-governed divergence.</w:t>
            </w:r>
          </w:p>
        </w:tc>
      </w:tr>
    </w:tbl>
    <w:p w14:paraId="52D26606" w14:textId="77777777" w:rsidR="00784701" w:rsidRDefault="00784701">
      <w:pPr>
        <w:spacing w:after="20"/>
        <w:rPr>
          <w:rFonts w:hint="eastAsia"/>
        </w:rPr>
      </w:pPr>
    </w:p>
    <w:p w14:paraId="6CA0E099" w14:textId="77777777" w:rsidR="00784701" w:rsidRDefault="00ED1A28">
      <w:pPr>
        <w:pStyle w:val="BodyText"/>
        <w:spacing w:after="100" w:line="259" w:lineRule="auto"/>
        <w:rPr>
          <w:rFonts w:hint="eastAsia"/>
        </w:rPr>
      </w:pPr>
      <w:r>
        <w:t xml:space="preserve">The result is a Semantic Kernel architecture in which a record can grow from 128 to 256 to 512 bits without rewriting the meaning already stored. Systems can read only as deeply as necessary, specialists can add detail without fragmenting the common language, and Bitlinks can continue to target stable semantic addresses across the entire compatible family. The architecture therefore supports long-lived data, compact operational records, scientific precision when needed, and direct semantic transfer between </w:t>
      </w:r>
      <w:r>
        <w:t>conforming implementations.</w:t>
      </w:r>
    </w:p>
    <w:p w14:paraId="72D5476A" w14:textId="77777777" w:rsidR="00784701" w:rsidRDefault="00ED1A28">
      <w:pPr>
        <w:pStyle w:val="Heading1"/>
        <w:spacing w:before="240" w:after="100"/>
      </w:pPr>
      <w:r>
        <w:t>Appendix A. Formal Invariants</w:t>
      </w:r>
    </w:p>
    <w:tbl>
      <w:tblPr>
        <w:tblStyle w:val="TableGrid"/>
        <w:tblW w:w="0" w:type="auto"/>
        <w:jc w:val="center"/>
        <w:tblLayout w:type="fixed"/>
        <w:tblLook w:val="04A0" w:firstRow="1" w:lastRow="0" w:firstColumn="1" w:lastColumn="0" w:noHBand="0" w:noVBand="1"/>
      </w:tblPr>
      <w:tblGrid>
        <w:gridCol w:w="2592"/>
        <w:gridCol w:w="7776"/>
      </w:tblGrid>
      <w:tr w:rsidR="00784701" w14:paraId="2974073D" w14:textId="77777777">
        <w:trPr>
          <w:tblHeader/>
          <w:jc w:val="center"/>
        </w:trPr>
        <w:tc>
          <w:tcPr>
            <w:tcW w:w="2592" w:type="dxa"/>
            <w:shd w:val="clear" w:color="auto" w:fill="17365D"/>
            <w:tcMar>
              <w:top w:w="90" w:type="dxa"/>
              <w:left w:w="100" w:type="dxa"/>
              <w:bottom w:w="90" w:type="dxa"/>
              <w:right w:w="100" w:type="dxa"/>
            </w:tcMar>
            <w:vAlign w:val="center"/>
          </w:tcPr>
          <w:p w14:paraId="7B2194AE" w14:textId="77777777" w:rsidR="00784701" w:rsidRDefault="00ED1A28">
            <w:pPr>
              <w:jc w:val="center"/>
              <w:rPr>
                <w:rFonts w:hint="eastAsia"/>
              </w:rPr>
            </w:pPr>
            <w:r>
              <w:rPr>
                <w:b/>
                <w:color w:val="FFFFFF"/>
                <w:sz w:val="18"/>
              </w:rPr>
              <w:t>Invariant</w:t>
            </w:r>
          </w:p>
        </w:tc>
        <w:tc>
          <w:tcPr>
            <w:tcW w:w="7776" w:type="dxa"/>
            <w:shd w:val="clear" w:color="auto" w:fill="17365D"/>
            <w:tcMar>
              <w:top w:w="90" w:type="dxa"/>
              <w:left w:w="100" w:type="dxa"/>
              <w:bottom w:w="90" w:type="dxa"/>
              <w:right w:w="100" w:type="dxa"/>
            </w:tcMar>
            <w:vAlign w:val="center"/>
          </w:tcPr>
          <w:p w14:paraId="5251DC0F" w14:textId="77777777" w:rsidR="00784701" w:rsidRDefault="00ED1A28">
            <w:pPr>
              <w:jc w:val="center"/>
              <w:rPr>
                <w:rFonts w:hint="eastAsia"/>
              </w:rPr>
            </w:pPr>
            <w:r>
              <w:rPr>
                <w:b/>
                <w:color w:val="FFFFFF"/>
                <w:sz w:val="18"/>
              </w:rPr>
              <w:t>Requirement</w:t>
            </w:r>
          </w:p>
        </w:tc>
      </w:tr>
      <w:tr w:rsidR="00784701" w14:paraId="73514B51" w14:textId="77777777">
        <w:trPr>
          <w:jc w:val="center"/>
        </w:trPr>
        <w:tc>
          <w:tcPr>
            <w:tcW w:w="2592" w:type="dxa"/>
            <w:tcMar>
              <w:top w:w="90" w:type="dxa"/>
              <w:left w:w="100" w:type="dxa"/>
              <w:bottom w:w="90" w:type="dxa"/>
              <w:right w:w="100" w:type="dxa"/>
            </w:tcMar>
            <w:vAlign w:val="center"/>
          </w:tcPr>
          <w:p w14:paraId="63467631" w14:textId="77777777" w:rsidR="00784701" w:rsidRDefault="00ED1A28">
            <w:pPr>
              <w:rPr>
                <w:rFonts w:hint="eastAsia"/>
              </w:rPr>
            </w:pPr>
            <w:r>
              <w:rPr>
                <w:sz w:val="17"/>
              </w:rPr>
              <w:t>A1. Prefix Identity</w:t>
            </w:r>
          </w:p>
        </w:tc>
        <w:tc>
          <w:tcPr>
            <w:tcW w:w="7776" w:type="dxa"/>
            <w:tcMar>
              <w:top w:w="90" w:type="dxa"/>
              <w:left w:w="100" w:type="dxa"/>
              <w:bottom w:w="90" w:type="dxa"/>
              <w:right w:w="100" w:type="dxa"/>
            </w:tcMar>
            <w:vAlign w:val="center"/>
          </w:tcPr>
          <w:p w14:paraId="21311723" w14:textId="77777777" w:rsidR="00784701" w:rsidRDefault="00ED1A28">
            <w:pPr>
              <w:rPr>
                <w:rFonts w:hint="eastAsia"/>
              </w:rPr>
            </w:pPr>
            <w:r>
              <w:rPr>
                <w:sz w:val="17"/>
              </w:rPr>
              <w:t>For conforming K_M extending K_N, M &gt; N: K_M[B000:B(N−1)] ≡ K_N[B000:B(N−1)].</w:t>
            </w:r>
          </w:p>
        </w:tc>
      </w:tr>
      <w:tr w:rsidR="00784701" w14:paraId="3404105C" w14:textId="77777777">
        <w:trPr>
          <w:jc w:val="center"/>
        </w:trPr>
        <w:tc>
          <w:tcPr>
            <w:tcW w:w="2592" w:type="dxa"/>
            <w:shd w:val="clear" w:color="auto" w:fill="F8FAFC"/>
            <w:tcMar>
              <w:top w:w="90" w:type="dxa"/>
              <w:left w:w="100" w:type="dxa"/>
              <w:bottom w:w="90" w:type="dxa"/>
              <w:right w:w="100" w:type="dxa"/>
            </w:tcMar>
            <w:vAlign w:val="center"/>
          </w:tcPr>
          <w:p w14:paraId="10C345B5" w14:textId="77777777" w:rsidR="00784701" w:rsidRDefault="00ED1A28">
            <w:pPr>
              <w:rPr>
                <w:rFonts w:hint="eastAsia"/>
              </w:rPr>
            </w:pPr>
            <w:r>
              <w:rPr>
                <w:sz w:val="17"/>
              </w:rPr>
              <w:t>A2. Monotonic Address Space</w:t>
            </w:r>
          </w:p>
        </w:tc>
        <w:tc>
          <w:tcPr>
            <w:tcW w:w="7776" w:type="dxa"/>
            <w:shd w:val="clear" w:color="auto" w:fill="F8FAFC"/>
            <w:tcMar>
              <w:top w:w="90" w:type="dxa"/>
              <w:left w:w="100" w:type="dxa"/>
              <w:bottom w:w="90" w:type="dxa"/>
              <w:right w:w="100" w:type="dxa"/>
            </w:tcMar>
            <w:vAlign w:val="center"/>
          </w:tcPr>
          <w:p w14:paraId="2E55FE28" w14:textId="77777777" w:rsidR="00784701" w:rsidRDefault="00ED1A28">
            <w:pPr>
              <w:rPr>
                <w:rFonts w:hint="eastAsia"/>
              </w:rPr>
            </w:pPr>
            <w:r>
              <w:rPr>
                <w:sz w:val="17"/>
              </w:rPr>
              <w:t>New addresses introduced by K_M are drawn only from B_N through B_(M−1).</w:t>
            </w:r>
          </w:p>
        </w:tc>
      </w:tr>
      <w:tr w:rsidR="00784701" w14:paraId="258A758A" w14:textId="77777777">
        <w:trPr>
          <w:jc w:val="center"/>
        </w:trPr>
        <w:tc>
          <w:tcPr>
            <w:tcW w:w="2592" w:type="dxa"/>
            <w:tcMar>
              <w:top w:w="90" w:type="dxa"/>
              <w:left w:w="100" w:type="dxa"/>
              <w:bottom w:w="90" w:type="dxa"/>
              <w:right w:w="100" w:type="dxa"/>
            </w:tcMar>
            <w:vAlign w:val="center"/>
          </w:tcPr>
          <w:p w14:paraId="1AF46C5F" w14:textId="77777777" w:rsidR="00784701" w:rsidRDefault="00ED1A28">
            <w:pPr>
              <w:rPr>
                <w:rFonts w:hint="eastAsia"/>
              </w:rPr>
            </w:pPr>
            <w:r>
              <w:rPr>
                <w:sz w:val="17"/>
              </w:rPr>
              <w:t>A3. Semantic Contract Preservation</w:t>
            </w:r>
          </w:p>
        </w:tc>
        <w:tc>
          <w:tcPr>
            <w:tcW w:w="7776" w:type="dxa"/>
            <w:tcMar>
              <w:top w:w="90" w:type="dxa"/>
              <w:left w:w="100" w:type="dxa"/>
              <w:bottom w:w="90" w:type="dxa"/>
              <w:right w:w="100" w:type="dxa"/>
            </w:tcMar>
            <w:vAlign w:val="center"/>
          </w:tcPr>
          <w:p w14:paraId="2DEE2EE9" w14:textId="77777777" w:rsidR="00784701" w:rsidRDefault="00ED1A28">
            <w:pPr>
              <w:rPr>
                <w:rFonts w:hint="eastAsia"/>
              </w:rPr>
            </w:pPr>
            <w:r>
              <w:rPr>
                <w:sz w:val="17"/>
              </w:rPr>
              <w:t>For every inherited field F, type(F), encoding(F), unit(F), group(F), and meaning(F) are invariant within the compatible family/version.</w:t>
            </w:r>
          </w:p>
        </w:tc>
      </w:tr>
      <w:tr w:rsidR="00784701" w14:paraId="2C19D2A4" w14:textId="77777777">
        <w:trPr>
          <w:jc w:val="center"/>
        </w:trPr>
        <w:tc>
          <w:tcPr>
            <w:tcW w:w="2592" w:type="dxa"/>
            <w:shd w:val="clear" w:color="auto" w:fill="F8FAFC"/>
            <w:tcMar>
              <w:top w:w="90" w:type="dxa"/>
              <w:left w:w="100" w:type="dxa"/>
              <w:bottom w:w="90" w:type="dxa"/>
              <w:right w:w="100" w:type="dxa"/>
            </w:tcMar>
            <w:vAlign w:val="center"/>
          </w:tcPr>
          <w:p w14:paraId="4BCC0141" w14:textId="77777777" w:rsidR="00784701" w:rsidRDefault="00ED1A28">
            <w:pPr>
              <w:jc w:val="center"/>
              <w:rPr>
                <w:rFonts w:hint="eastAsia"/>
              </w:rPr>
            </w:pPr>
            <w:r>
              <w:rPr>
                <w:sz w:val="17"/>
              </w:rPr>
              <w:t>A4. Projection</w:t>
            </w:r>
          </w:p>
        </w:tc>
        <w:tc>
          <w:tcPr>
            <w:tcW w:w="7776" w:type="dxa"/>
            <w:shd w:val="clear" w:color="auto" w:fill="F8FAFC"/>
            <w:tcMar>
              <w:top w:w="90" w:type="dxa"/>
              <w:left w:w="100" w:type="dxa"/>
              <w:bottom w:w="90" w:type="dxa"/>
              <w:right w:w="100" w:type="dxa"/>
            </w:tcMar>
            <w:vAlign w:val="center"/>
          </w:tcPr>
          <w:p w14:paraId="6C58F772" w14:textId="77777777" w:rsidR="00784701" w:rsidRDefault="00ED1A28">
            <w:pPr>
              <w:rPr>
                <w:rFonts w:hint="eastAsia"/>
              </w:rPr>
            </w:pPr>
            <w:r>
              <w:rPr>
                <w:sz w:val="17"/>
              </w:rPr>
              <w:t>P_N(K_M) returns exactly the published K_N prefix.</w:t>
            </w:r>
          </w:p>
        </w:tc>
      </w:tr>
      <w:tr w:rsidR="00784701" w14:paraId="10F0342A" w14:textId="77777777">
        <w:trPr>
          <w:jc w:val="center"/>
        </w:trPr>
        <w:tc>
          <w:tcPr>
            <w:tcW w:w="2592" w:type="dxa"/>
            <w:tcMar>
              <w:top w:w="90" w:type="dxa"/>
              <w:left w:w="100" w:type="dxa"/>
              <w:bottom w:w="90" w:type="dxa"/>
              <w:right w:w="100" w:type="dxa"/>
            </w:tcMar>
            <w:vAlign w:val="center"/>
          </w:tcPr>
          <w:p w14:paraId="75B2AB93" w14:textId="77777777" w:rsidR="00784701" w:rsidRDefault="00ED1A28">
            <w:pPr>
              <w:jc w:val="center"/>
              <w:rPr>
                <w:rFonts w:hint="eastAsia"/>
              </w:rPr>
            </w:pPr>
            <w:r>
              <w:rPr>
                <w:sz w:val="17"/>
              </w:rPr>
              <w:t>A5. Extension</w:t>
            </w:r>
          </w:p>
        </w:tc>
        <w:tc>
          <w:tcPr>
            <w:tcW w:w="7776" w:type="dxa"/>
            <w:tcMar>
              <w:top w:w="90" w:type="dxa"/>
              <w:left w:w="100" w:type="dxa"/>
              <w:bottom w:w="90" w:type="dxa"/>
              <w:right w:w="100" w:type="dxa"/>
            </w:tcMar>
            <w:vAlign w:val="center"/>
          </w:tcPr>
          <w:p w14:paraId="626D29FA" w14:textId="77777777" w:rsidR="00784701" w:rsidRDefault="00ED1A28">
            <w:pPr>
              <w:rPr>
                <w:rFonts w:hint="eastAsia"/>
              </w:rPr>
            </w:pPr>
            <w:r>
              <w:rPr>
                <w:sz w:val="17"/>
              </w:rPr>
              <w:t>E_M(K_N) copies K_N into the prefix of K_M and initializes only new addresses.</w:t>
            </w:r>
          </w:p>
        </w:tc>
      </w:tr>
      <w:tr w:rsidR="00784701" w14:paraId="391F0BD9" w14:textId="77777777">
        <w:trPr>
          <w:jc w:val="center"/>
        </w:trPr>
        <w:tc>
          <w:tcPr>
            <w:tcW w:w="2592" w:type="dxa"/>
            <w:shd w:val="clear" w:color="auto" w:fill="F8FAFC"/>
            <w:tcMar>
              <w:top w:w="90" w:type="dxa"/>
              <w:left w:w="100" w:type="dxa"/>
              <w:bottom w:w="90" w:type="dxa"/>
              <w:right w:w="100" w:type="dxa"/>
            </w:tcMar>
            <w:vAlign w:val="center"/>
          </w:tcPr>
          <w:p w14:paraId="6A0DE8A7" w14:textId="77777777" w:rsidR="00784701" w:rsidRDefault="00ED1A28">
            <w:pPr>
              <w:rPr>
                <w:rFonts w:hint="eastAsia"/>
              </w:rPr>
            </w:pPr>
            <w:r>
              <w:rPr>
                <w:sz w:val="17"/>
              </w:rPr>
              <w:t>A6. Bitlink Persistence</w:t>
            </w:r>
          </w:p>
        </w:tc>
        <w:tc>
          <w:tcPr>
            <w:tcW w:w="7776" w:type="dxa"/>
            <w:shd w:val="clear" w:color="auto" w:fill="F8FAFC"/>
            <w:tcMar>
              <w:top w:w="90" w:type="dxa"/>
              <w:left w:w="100" w:type="dxa"/>
              <w:bottom w:w="90" w:type="dxa"/>
              <w:right w:w="100" w:type="dxa"/>
            </w:tcMar>
            <w:vAlign w:val="center"/>
          </w:tcPr>
          <w:p w14:paraId="32A32DC1" w14:textId="77777777" w:rsidR="00784701" w:rsidRDefault="00ED1A28">
            <w:pPr>
              <w:rPr>
                <w:rFonts w:hint="eastAsia"/>
              </w:rPr>
            </w:pPr>
            <w:r>
              <w:rPr>
                <w:sz w:val="17"/>
              </w:rPr>
              <w:t>A Bitlink whose source address lies within K_N remains address-valid for every conforming K_M descendant.</w:t>
            </w:r>
          </w:p>
        </w:tc>
      </w:tr>
      <w:tr w:rsidR="00784701" w14:paraId="6E0F92A8" w14:textId="77777777">
        <w:trPr>
          <w:jc w:val="center"/>
        </w:trPr>
        <w:tc>
          <w:tcPr>
            <w:tcW w:w="2592" w:type="dxa"/>
            <w:tcMar>
              <w:top w:w="90" w:type="dxa"/>
              <w:left w:w="100" w:type="dxa"/>
              <w:bottom w:w="90" w:type="dxa"/>
              <w:right w:w="100" w:type="dxa"/>
            </w:tcMar>
            <w:vAlign w:val="center"/>
          </w:tcPr>
          <w:p w14:paraId="7716494A" w14:textId="77777777" w:rsidR="00784701" w:rsidRDefault="00ED1A28">
            <w:pPr>
              <w:rPr>
                <w:rFonts w:hint="eastAsia"/>
              </w:rPr>
            </w:pPr>
            <w:r>
              <w:rPr>
                <w:sz w:val="17"/>
              </w:rPr>
              <w:t>A7. Resolution Requirement</w:t>
            </w:r>
          </w:p>
        </w:tc>
        <w:tc>
          <w:tcPr>
            <w:tcW w:w="7776" w:type="dxa"/>
            <w:tcMar>
              <w:top w:w="90" w:type="dxa"/>
              <w:left w:w="100" w:type="dxa"/>
              <w:bottom w:w="90" w:type="dxa"/>
              <w:right w:w="100" w:type="dxa"/>
            </w:tcMar>
            <w:vAlign w:val="center"/>
          </w:tcPr>
          <w:p w14:paraId="2D068456" w14:textId="77777777" w:rsidR="00784701" w:rsidRDefault="00ED1A28">
            <w:pPr>
              <w:rPr>
                <w:rFonts w:hint="eastAsia"/>
              </w:rPr>
            </w:pPr>
            <w:r>
              <w:rPr>
                <w:sz w:val="17"/>
              </w:rPr>
              <w:t>A consumer requiring address B_i needs a word resolution greater than i and a contract capable of interpreting B_i.</w:t>
            </w:r>
          </w:p>
        </w:tc>
      </w:tr>
      <w:tr w:rsidR="00784701" w14:paraId="741BE6AF" w14:textId="77777777">
        <w:trPr>
          <w:jc w:val="center"/>
        </w:trPr>
        <w:tc>
          <w:tcPr>
            <w:tcW w:w="2592" w:type="dxa"/>
            <w:shd w:val="clear" w:color="auto" w:fill="F8FAFC"/>
            <w:tcMar>
              <w:top w:w="90" w:type="dxa"/>
              <w:left w:w="100" w:type="dxa"/>
              <w:bottom w:w="90" w:type="dxa"/>
              <w:right w:w="100" w:type="dxa"/>
            </w:tcMar>
            <w:vAlign w:val="center"/>
          </w:tcPr>
          <w:p w14:paraId="667A38CE" w14:textId="77777777" w:rsidR="00784701" w:rsidRDefault="00ED1A28">
            <w:pPr>
              <w:rPr>
                <w:rFonts w:hint="eastAsia"/>
              </w:rPr>
            </w:pPr>
            <w:r>
              <w:rPr>
                <w:sz w:val="17"/>
              </w:rPr>
              <w:t>A8. Mutation Safety</w:t>
            </w:r>
          </w:p>
        </w:tc>
        <w:tc>
          <w:tcPr>
            <w:tcW w:w="7776" w:type="dxa"/>
            <w:shd w:val="clear" w:color="auto" w:fill="F8FAFC"/>
            <w:tcMar>
              <w:top w:w="90" w:type="dxa"/>
              <w:left w:w="100" w:type="dxa"/>
              <w:bottom w:w="90" w:type="dxa"/>
              <w:right w:w="100" w:type="dxa"/>
            </w:tcMar>
            <w:vAlign w:val="center"/>
          </w:tcPr>
          <w:p w14:paraId="79E227C0" w14:textId="77777777" w:rsidR="00784701" w:rsidRDefault="00ED1A28">
            <w:pPr>
              <w:rPr>
                <w:rFonts w:hint="eastAsia"/>
              </w:rPr>
            </w:pPr>
            <w:r>
              <w:rPr>
                <w:sz w:val="17"/>
              </w:rPr>
              <w:t>A caller may mutate only addresses within its authorized write set and only when all required invariants at the minimum validation resolution are resolvable.</w:t>
            </w:r>
          </w:p>
        </w:tc>
      </w:tr>
      <w:tr w:rsidR="00784701" w14:paraId="343F8489" w14:textId="77777777">
        <w:trPr>
          <w:jc w:val="center"/>
        </w:trPr>
        <w:tc>
          <w:tcPr>
            <w:tcW w:w="2592" w:type="dxa"/>
            <w:tcMar>
              <w:top w:w="90" w:type="dxa"/>
              <w:left w:w="100" w:type="dxa"/>
              <w:bottom w:w="90" w:type="dxa"/>
              <w:right w:w="100" w:type="dxa"/>
            </w:tcMar>
            <w:vAlign w:val="center"/>
          </w:tcPr>
          <w:p w14:paraId="6D6DC407" w14:textId="77777777" w:rsidR="00784701" w:rsidRDefault="00ED1A28">
            <w:pPr>
              <w:rPr>
                <w:rFonts w:hint="eastAsia"/>
              </w:rPr>
            </w:pPr>
            <w:r>
              <w:rPr>
                <w:sz w:val="17"/>
              </w:rPr>
              <w:t>A9. Divergence Boundary</w:t>
            </w:r>
          </w:p>
        </w:tc>
        <w:tc>
          <w:tcPr>
            <w:tcW w:w="7776" w:type="dxa"/>
            <w:tcMar>
              <w:top w:w="90" w:type="dxa"/>
              <w:left w:w="100" w:type="dxa"/>
              <w:bottom w:w="90" w:type="dxa"/>
              <w:right w:w="100" w:type="dxa"/>
            </w:tcMar>
            <w:vAlign w:val="center"/>
          </w:tcPr>
          <w:p w14:paraId="27063582" w14:textId="77777777" w:rsidR="00784701" w:rsidRDefault="00ED1A28">
            <w:pPr>
              <w:rPr>
                <w:rFonts w:hint="eastAsia"/>
              </w:rPr>
            </w:pPr>
            <w:r>
              <w:rPr>
                <w:sz w:val="17"/>
              </w:rPr>
              <w:t>Any change to inherited semantics invalidates prefix-compatibility and requires a new version, fork, or translation contract.</w:t>
            </w:r>
          </w:p>
        </w:tc>
      </w:tr>
    </w:tbl>
    <w:p w14:paraId="03CC3A1D" w14:textId="77777777" w:rsidR="00784701" w:rsidRDefault="00784701">
      <w:pPr>
        <w:spacing w:after="40"/>
        <w:rPr>
          <w:rFonts w:hint="eastAsia"/>
        </w:rPr>
      </w:pPr>
    </w:p>
    <w:p w14:paraId="4CDE22CE" w14:textId="77777777" w:rsidR="00784701" w:rsidRDefault="00ED1A28">
      <w:pPr>
        <w:pStyle w:val="Heading1"/>
        <w:spacing w:before="240" w:after="100"/>
      </w:pPr>
      <w:r>
        <w:t>Appendix B. Implementation Templates</w:t>
      </w:r>
    </w:p>
    <w:p w14:paraId="00EA227D" w14:textId="77777777" w:rsidR="00784701" w:rsidRDefault="00ED1A28">
      <w:pPr>
        <w:pStyle w:val="Heading2"/>
        <w:spacing w:before="160" w:after="100"/>
      </w:pPr>
      <w:r>
        <w:t>B.1 Kernel Resolution Record Template</w:t>
      </w:r>
    </w:p>
    <w:tbl>
      <w:tblPr>
        <w:tblStyle w:val="TableGrid"/>
        <w:tblW w:w="0" w:type="auto"/>
        <w:jc w:val="center"/>
        <w:tblLayout w:type="fixed"/>
        <w:tblLook w:val="04A0" w:firstRow="1" w:lastRow="0" w:firstColumn="1" w:lastColumn="0" w:noHBand="0" w:noVBand="1"/>
      </w:tblPr>
      <w:tblGrid>
        <w:gridCol w:w="3168"/>
        <w:gridCol w:w="7200"/>
      </w:tblGrid>
      <w:tr w:rsidR="00784701" w14:paraId="71D3E743" w14:textId="77777777">
        <w:trPr>
          <w:tblHeader/>
          <w:jc w:val="center"/>
        </w:trPr>
        <w:tc>
          <w:tcPr>
            <w:tcW w:w="3168" w:type="dxa"/>
            <w:shd w:val="clear" w:color="auto" w:fill="17365D"/>
            <w:tcMar>
              <w:top w:w="90" w:type="dxa"/>
              <w:left w:w="100" w:type="dxa"/>
              <w:bottom w:w="90" w:type="dxa"/>
              <w:right w:w="100" w:type="dxa"/>
            </w:tcMar>
            <w:vAlign w:val="center"/>
          </w:tcPr>
          <w:p w14:paraId="3139CD3C" w14:textId="77777777" w:rsidR="00784701" w:rsidRDefault="00ED1A28">
            <w:pPr>
              <w:jc w:val="center"/>
              <w:rPr>
                <w:rFonts w:hint="eastAsia"/>
              </w:rPr>
            </w:pPr>
            <w:r>
              <w:rPr>
                <w:b/>
                <w:color w:val="FFFFFF"/>
                <w:sz w:val="18"/>
              </w:rPr>
              <w:t>Field</w:t>
            </w:r>
          </w:p>
        </w:tc>
        <w:tc>
          <w:tcPr>
            <w:tcW w:w="7200" w:type="dxa"/>
            <w:shd w:val="clear" w:color="auto" w:fill="17365D"/>
            <w:tcMar>
              <w:top w:w="90" w:type="dxa"/>
              <w:left w:w="100" w:type="dxa"/>
              <w:bottom w:w="90" w:type="dxa"/>
              <w:right w:w="100" w:type="dxa"/>
            </w:tcMar>
            <w:vAlign w:val="center"/>
          </w:tcPr>
          <w:p w14:paraId="118336A4" w14:textId="77777777" w:rsidR="00784701" w:rsidRDefault="00ED1A28">
            <w:pPr>
              <w:jc w:val="center"/>
              <w:rPr>
                <w:rFonts w:hint="eastAsia"/>
              </w:rPr>
            </w:pPr>
            <w:r>
              <w:rPr>
                <w:b/>
                <w:color w:val="FFFFFF"/>
                <w:sz w:val="18"/>
              </w:rPr>
              <w:t>Specification</w:t>
            </w:r>
          </w:p>
        </w:tc>
      </w:tr>
      <w:tr w:rsidR="00784701" w14:paraId="2E1A52CB" w14:textId="77777777">
        <w:trPr>
          <w:jc w:val="center"/>
        </w:trPr>
        <w:tc>
          <w:tcPr>
            <w:tcW w:w="3168" w:type="dxa"/>
            <w:tcMar>
              <w:top w:w="90" w:type="dxa"/>
              <w:left w:w="100" w:type="dxa"/>
              <w:bottom w:w="90" w:type="dxa"/>
              <w:right w:w="100" w:type="dxa"/>
            </w:tcMar>
            <w:vAlign w:val="center"/>
          </w:tcPr>
          <w:p w14:paraId="695BE7F1" w14:textId="77777777" w:rsidR="00784701" w:rsidRDefault="00ED1A28">
            <w:pPr>
              <w:jc w:val="center"/>
              <w:rPr>
                <w:rFonts w:hint="eastAsia"/>
              </w:rPr>
            </w:pPr>
            <w:r>
              <w:rPr>
                <w:sz w:val="17"/>
              </w:rPr>
              <w:t>Family ID</w:t>
            </w:r>
          </w:p>
        </w:tc>
        <w:tc>
          <w:tcPr>
            <w:tcW w:w="7200" w:type="dxa"/>
            <w:tcMar>
              <w:top w:w="90" w:type="dxa"/>
              <w:left w:w="100" w:type="dxa"/>
              <w:bottom w:w="90" w:type="dxa"/>
              <w:right w:w="100" w:type="dxa"/>
            </w:tcMar>
            <w:vAlign w:val="center"/>
          </w:tcPr>
          <w:p w14:paraId="05DDEEAF" w14:textId="77777777" w:rsidR="00784701" w:rsidRDefault="00784701">
            <w:pPr>
              <w:jc w:val="center"/>
              <w:rPr>
                <w:rFonts w:hint="eastAsia"/>
              </w:rPr>
            </w:pPr>
          </w:p>
        </w:tc>
      </w:tr>
      <w:tr w:rsidR="00784701" w14:paraId="4E1A56DA" w14:textId="77777777">
        <w:trPr>
          <w:jc w:val="center"/>
        </w:trPr>
        <w:tc>
          <w:tcPr>
            <w:tcW w:w="3168" w:type="dxa"/>
            <w:shd w:val="clear" w:color="auto" w:fill="F8FAFC"/>
            <w:tcMar>
              <w:top w:w="90" w:type="dxa"/>
              <w:left w:w="100" w:type="dxa"/>
              <w:bottom w:w="90" w:type="dxa"/>
              <w:right w:w="100" w:type="dxa"/>
            </w:tcMar>
            <w:vAlign w:val="center"/>
          </w:tcPr>
          <w:p w14:paraId="42E6F775" w14:textId="77777777" w:rsidR="00784701" w:rsidRDefault="00ED1A28">
            <w:pPr>
              <w:jc w:val="center"/>
              <w:rPr>
                <w:rFonts w:hint="eastAsia"/>
              </w:rPr>
            </w:pPr>
            <w:r>
              <w:rPr>
                <w:sz w:val="17"/>
              </w:rPr>
              <w:t>Version</w:t>
            </w:r>
          </w:p>
        </w:tc>
        <w:tc>
          <w:tcPr>
            <w:tcW w:w="7200" w:type="dxa"/>
            <w:shd w:val="clear" w:color="auto" w:fill="F8FAFC"/>
            <w:tcMar>
              <w:top w:w="90" w:type="dxa"/>
              <w:left w:w="100" w:type="dxa"/>
              <w:bottom w:w="90" w:type="dxa"/>
              <w:right w:w="100" w:type="dxa"/>
            </w:tcMar>
            <w:vAlign w:val="center"/>
          </w:tcPr>
          <w:p w14:paraId="31B028CF" w14:textId="77777777" w:rsidR="00784701" w:rsidRDefault="00784701">
            <w:pPr>
              <w:jc w:val="center"/>
              <w:rPr>
                <w:rFonts w:hint="eastAsia"/>
              </w:rPr>
            </w:pPr>
          </w:p>
        </w:tc>
      </w:tr>
      <w:tr w:rsidR="00784701" w14:paraId="1A0B6300" w14:textId="77777777">
        <w:trPr>
          <w:jc w:val="center"/>
        </w:trPr>
        <w:tc>
          <w:tcPr>
            <w:tcW w:w="3168" w:type="dxa"/>
            <w:tcMar>
              <w:top w:w="90" w:type="dxa"/>
              <w:left w:w="100" w:type="dxa"/>
              <w:bottom w:w="90" w:type="dxa"/>
              <w:right w:w="100" w:type="dxa"/>
            </w:tcMar>
            <w:vAlign w:val="center"/>
          </w:tcPr>
          <w:p w14:paraId="6382D83D" w14:textId="77777777" w:rsidR="00784701" w:rsidRDefault="00ED1A28">
            <w:pPr>
              <w:jc w:val="center"/>
              <w:rPr>
                <w:rFonts w:hint="eastAsia"/>
              </w:rPr>
            </w:pPr>
            <w:r>
              <w:rPr>
                <w:sz w:val="17"/>
              </w:rPr>
              <w:t>Resolution</w:t>
            </w:r>
          </w:p>
        </w:tc>
        <w:tc>
          <w:tcPr>
            <w:tcW w:w="7200" w:type="dxa"/>
            <w:tcMar>
              <w:top w:w="90" w:type="dxa"/>
              <w:left w:w="100" w:type="dxa"/>
              <w:bottom w:w="90" w:type="dxa"/>
              <w:right w:w="100" w:type="dxa"/>
            </w:tcMar>
            <w:vAlign w:val="center"/>
          </w:tcPr>
          <w:p w14:paraId="2DAE7D58" w14:textId="77777777" w:rsidR="00784701" w:rsidRDefault="00784701">
            <w:pPr>
              <w:jc w:val="center"/>
              <w:rPr>
                <w:rFonts w:hint="eastAsia"/>
              </w:rPr>
            </w:pPr>
          </w:p>
        </w:tc>
      </w:tr>
      <w:tr w:rsidR="00784701" w14:paraId="66CF16DB" w14:textId="77777777">
        <w:trPr>
          <w:jc w:val="center"/>
        </w:trPr>
        <w:tc>
          <w:tcPr>
            <w:tcW w:w="3168" w:type="dxa"/>
            <w:shd w:val="clear" w:color="auto" w:fill="F8FAFC"/>
            <w:tcMar>
              <w:top w:w="90" w:type="dxa"/>
              <w:left w:w="100" w:type="dxa"/>
              <w:bottom w:w="90" w:type="dxa"/>
              <w:right w:w="100" w:type="dxa"/>
            </w:tcMar>
            <w:vAlign w:val="center"/>
          </w:tcPr>
          <w:p w14:paraId="41E1BC29" w14:textId="77777777" w:rsidR="00784701" w:rsidRDefault="00ED1A28">
            <w:pPr>
              <w:jc w:val="center"/>
              <w:rPr>
                <w:rFonts w:hint="eastAsia"/>
              </w:rPr>
            </w:pPr>
            <w:r>
              <w:rPr>
                <w:sz w:val="17"/>
              </w:rPr>
              <w:t>Parent Resolution</w:t>
            </w:r>
          </w:p>
        </w:tc>
        <w:tc>
          <w:tcPr>
            <w:tcW w:w="7200" w:type="dxa"/>
            <w:shd w:val="clear" w:color="auto" w:fill="F8FAFC"/>
            <w:tcMar>
              <w:top w:w="90" w:type="dxa"/>
              <w:left w:w="100" w:type="dxa"/>
              <w:bottom w:w="90" w:type="dxa"/>
              <w:right w:w="100" w:type="dxa"/>
            </w:tcMar>
            <w:vAlign w:val="center"/>
          </w:tcPr>
          <w:p w14:paraId="0BFC3D7A" w14:textId="77777777" w:rsidR="00784701" w:rsidRDefault="00784701">
            <w:pPr>
              <w:jc w:val="center"/>
              <w:rPr>
                <w:rFonts w:hint="eastAsia"/>
              </w:rPr>
            </w:pPr>
          </w:p>
        </w:tc>
      </w:tr>
      <w:tr w:rsidR="00784701" w14:paraId="2BAA0DDF" w14:textId="77777777">
        <w:trPr>
          <w:jc w:val="center"/>
        </w:trPr>
        <w:tc>
          <w:tcPr>
            <w:tcW w:w="3168" w:type="dxa"/>
            <w:tcMar>
              <w:top w:w="90" w:type="dxa"/>
              <w:left w:w="100" w:type="dxa"/>
              <w:bottom w:w="90" w:type="dxa"/>
              <w:right w:w="100" w:type="dxa"/>
            </w:tcMar>
            <w:vAlign w:val="center"/>
          </w:tcPr>
          <w:p w14:paraId="31ACCFD6" w14:textId="77777777" w:rsidR="00784701" w:rsidRDefault="00ED1A28">
            <w:pPr>
              <w:jc w:val="center"/>
              <w:rPr>
                <w:rFonts w:hint="eastAsia"/>
              </w:rPr>
            </w:pPr>
            <w:r>
              <w:rPr>
                <w:sz w:val="17"/>
              </w:rPr>
              <w:t>Word Size Bytes</w:t>
            </w:r>
          </w:p>
        </w:tc>
        <w:tc>
          <w:tcPr>
            <w:tcW w:w="7200" w:type="dxa"/>
            <w:tcMar>
              <w:top w:w="90" w:type="dxa"/>
              <w:left w:w="100" w:type="dxa"/>
              <w:bottom w:w="90" w:type="dxa"/>
              <w:right w:w="100" w:type="dxa"/>
            </w:tcMar>
            <w:vAlign w:val="center"/>
          </w:tcPr>
          <w:p w14:paraId="4DAE1D62" w14:textId="77777777" w:rsidR="00784701" w:rsidRDefault="00784701">
            <w:pPr>
              <w:jc w:val="center"/>
              <w:rPr>
                <w:rFonts w:hint="eastAsia"/>
              </w:rPr>
            </w:pPr>
          </w:p>
        </w:tc>
      </w:tr>
      <w:tr w:rsidR="00784701" w14:paraId="44DBC370" w14:textId="77777777">
        <w:trPr>
          <w:jc w:val="center"/>
        </w:trPr>
        <w:tc>
          <w:tcPr>
            <w:tcW w:w="3168" w:type="dxa"/>
            <w:shd w:val="clear" w:color="auto" w:fill="F8FAFC"/>
            <w:tcMar>
              <w:top w:w="90" w:type="dxa"/>
              <w:left w:w="100" w:type="dxa"/>
              <w:bottom w:w="90" w:type="dxa"/>
              <w:right w:w="100" w:type="dxa"/>
            </w:tcMar>
            <w:vAlign w:val="center"/>
          </w:tcPr>
          <w:p w14:paraId="35E2F29D" w14:textId="77777777" w:rsidR="00784701" w:rsidRDefault="00ED1A28">
            <w:pPr>
              <w:jc w:val="center"/>
              <w:rPr>
                <w:rFonts w:hint="eastAsia"/>
              </w:rPr>
            </w:pPr>
            <w:r>
              <w:rPr>
                <w:sz w:val="17"/>
              </w:rPr>
              <w:t>Serialization</w:t>
            </w:r>
          </w:p>
        </w:tc>
        <w:tc>
          <w:tcPr>
            <w:tcW w:w="7200" w:type="dxa"/>
            <w:shd w:val="clear" w:color="auto" w:fill="F8FAFC"/>
            <w:tcMar>
              <w:top w:w="90" w:type="dxa"/>
              <w:left w:w="100" w:type="dxa"/>
              <w:bottom w:w="90" w:type="dxa"/>
              <w:right w:w="100" w:type="dxa"/>
            </w:tcMar>
            <w:vAlign w:val="center"/>
          </w:tcPr>
          <w:p w14:paraId="5E823944" w14:textId="77777777" w:rsidR="00784701" w:rsidRDefault="00784701">
            <w:pPr>
              <w:jc w:val="center"/>
              <w:rPr>
                <w:rFonts w:hint="eastAsia"/>
              </w:rPr>
            </w:pPr>
          </w:p>
        </w:tc>
      </w:tr>
      <w:tr w:rsidR="00784701" w14:paraId="6B2DDBDB" w14:textId="77777777">
        <w:trPr>
          <w:jc w:val="center"/>
        </w:trPr>
        <w:tc>
          <w:tcPr>
            <w:tcW w:w="3168" w:type="dxa"/>
            <w:tcMar>
              <w:top w:w="90" w:type="dxa"/>
              <w:left w:w="100" w:type="dxa"/>
              <w:bottom w:w="90" w:type="dxa"/>
              <w:right w:w="100" w:type="dxa"/>
            </w:tcMar>
            <w:vAlign w:val="center"/>
          </w:tcPr>
          <w:p w14:paraId="3DE58272" w14:textId="77777777" w:rsidR="00784701" w:rsidRDefault="00ED1A28">
            <w:pPr>
              <w:rPr>
                <w:rFonts w:hint="eastAsia"/>
              </w:rPr>
            </w:pPr>
            <w:r>
              <w:rPr>
                <w:sz w:val="17"/>
              </w:rPr>
              <w:t>Prefix Compatibility</w:t>
            </w:r>
          </w:p>
        </w:tc>
        <w:tc>
          <w:tcPr>
            <w:tcW w:w="7200" w:type="dxa"/>
            <w:tcMar>
              <w:top w:w="90" w:type="dxa"/>
              <w:left w:w="100" w:type="dxa"/>
              <w:bottom w:w="90" w:type="dxa"/>
              <w:right w:w="100" w:type="dxa"/>
            </w:tcMar>
            <w:vAlign w:val="center"/>
          </w:tcPr>
          <w:p w14:paraId="28CA1254" w14:textId="77777777" w:rsidR="00784701" w:rsidRDefault="00784701">
            <w:pPr>
              <w:jc w:val="center"/>
              <w:rPr>
                <w:rFonts w:hint="eastAsia"/>
              </w:rPr>
            </w:pPr>
          </w:p>
        </w:tc>
      </w:tr>
      <w:tr w:rsidR="00784701" w14:paraId="385A94B9" w14:textId="77777777">
        <w:trPr>
          <w:jc w:val="center"/>
        </w:trPr>
        <w:tc>
          <w:tcPr>
            <w:tcW w:w="3168" w:type="dxa"/>
            <w:shd w:val="clear" w:color="auto" w:fill="F8FAFC"/>
            <w:tcMar>
              <w:top w:w="90" w:type="dxa"/>
              <w:left w:w="100" w:type="dxa"/>
              <w:bottom w:w="90" w:type="dxa"/>
              <w:right w:w="100" w:type="dxa"/>
            </w:tcMar>
            <w:vAlign w:val="center"/>
          </w:tcPr>
          <w:p w14:paraId="59585B5D" w14:textId="77777777" w:rsidR="00784701" w:rsidRDefault="00ED1A28">
            <w:pPr>
              <w:jc w:val="center"/>
              <w:rPr>
                <w:rFonts w:hint="eastAsia"/>
              </w:rPr>
            </w:pPr>
            <w:r>
              <w:rPr>
                <w:sz w:val="17"/>
              </w:rPr>
              <w:t>Extension Segment</w:t>
            </w:r>
          </w:p>
        </w:tc>
        <w:tc>
          <w:tcPr>
            <w:tcW w:w="7200" w:type="dxa"/>
            <w:shd w:val="clear" w:color="auto" w:fill="F8FAFC"/>
            <w:tcMar>
              <w:top w:w="90" w:type="dxa"/>
              <w:left w:w="100" w:type="dxa"/>
              <w:bottom w:w="90" w:type="dxa"/>
              <w:right w:w="100" w:type="dxa"/>
            </w:tcMar>
            <w:vAlign w:val="center"/>
          </w:tcPr>
          <w:p w14:paraId="2DB5F3E6" w14:textId="77777777" w:rsidR="00784701" w:rsidRDefault="00784701">
            <w:pPr>
              <w:jc w:val="center"/>
              <w:rPr>
                <w:rFonts w:hint="eastAsia"/>
              </w:rPr>
            </w:pPr>
          </w:p>
        </w:tc>
      </w:tr>
      <w:tr w:rsidR="00784701" w14:paraId="6CA4C3A3" w14:textId="77777777">
        <w:trPr>
          <w:jc w:val="center"/>
        </w:trPr>
        <w:tc>
          <w:tcPr>
            <w:tcW w:w="3168" w:type="dxa"/>
            <w:tcMar>
              <w:top w:w="90" w:type="dxa"/>
              <w:left w:w="100" w:type="dxa"/>
              <w:bottom w:w="90" w:type="dxa"/>
              <w:right w:w="100" w:type="dxa"/>
            </w:tcMar>
            <w:vAlign w:val="center"/>
          </w:tcPr>
          <w:p w14:paraId="060852B4" w14:textId="77777777" w:rsidR="00784701" w:rsidRDefault="00ED1A28">
            <w:pPr>
              <w:rPr>
                <w:rFonts w:hint="eastAsia"/>
              </w:rPr>
            </w:pPr>
            <w:r>
              <w:rPr>
                <w:sz w:val="17"/>
              </w:rPr>
              <w:t>Specification URI / Record</w:t>
            </w:r>
          </w:p>
        </w:tc>
        <w:tc>
          <w:tcPr>
            <w:tcW w:w="7200" w:type="dxa"/>
            <w:tcMar>
              <w:top w:w="90" w:type="dxa"/>
              <w:left w:w="100" w:type="dxa"/>
              <w:bottom w:w="90" w:type="dxa"/>
              <w:right w:w="100" w:type="dxa"/>
            </w:tcMar>
            <w:vAlign w:val="center"/>
          </w:tcPr>
          <w:p w14:paraId="08598089" w14:textId="77777777" w:rsidR="00784701" w:rsidRDefault="00784701">
            <w:pPr>
              <w:jc w:val="center"/>
              <w:rPr>
                <w:rFonts w:hint="eastAsia"/>
              </w:rPr>
            </w:pPr>
          </w:p>
        </w:tc>
      </w:tr>
      <w:tr w:rsidR="00784701" w14:paraId="61FE328A" w14:textId="77777777">
        <w:trPr>
          <w:jc w:val="center"/>
        </w:trPr>
        <w:tc>
          <w:tcPr>
            <w:tcW w:w="3168" w:type="dxa"/>
            <w:shd w:val="clear" w:color="auto" w:fill="F8FAFC"/>
            <w:tcMar>
              <w:top w:w="90" w:type="dxa"/>
              <w:left w:w="100" w:type="dxa"/>
              <w:bottom w:w="90" w:type="dxa"/>
              <w:right w:w="100" w:type="dxa"/>
            </w:tcMar>
            <w:vAlign w:val="center"/>
          </w:tcPr>
          <w:p w14:paraId="07F22314" w14:textId="77777777" w:rsidR="00784701" w:rsidRDefault="00ED1A28">
            <w:pPr>
              <w:jc w:val="center"/>
              <w:rPr>
                <w:rFonts w:hint="eastAsia"/>
              </w:rPr>
            </w:pPr>
            <w:r>
              <w:rPr>
                <w:sz w:val="17"/>
              </w:rPr>
              <w:t>Status</w:t>
            </w:r>
          </w:p>
        </w:tc>
        <w:tc>
          <w:tcPr>
            <w:tcW w:w="7200" w:type="dxa"/>
            <w:shd w:val="clear" w:color="auto" w:fill="F8FAFC"/>
            <w:tcMar>
              <w:top w:w="90" w:type="dxa"/>
              <w:left w:w="100" w:type="dxa"/>
              <w:bottom w:w="90" w:type="dxa"/>
              <w:right w:w="100" w:type="dxa"/>
            </w:tcMar>
            <w:vAlign w:val="center"/>
          </w:tcPr>
          <w:p w14:paraId="6F386817" w14:textId="77777777" w:rsidR="00784701" w:rsidRDefault="00784701">
            <w:pPr>
              <w:jc w:val="center"/>
              <w:rPr>
                <w:rFonts w:hint="eastAsia"/>
              </w:rPr>
            </w:pPr>
          </w:p>
        </w:tc>
      </w:tr>
      <w:tr w:rsidR="00784701" w14:paraId="74DB92B2" w14:textId="77777777">
        <w:trPr>
          <w:jc w:val="center"/>
        </w:trPr>
        <w:tc>
          <w:tcPr>
            <w:tcW w:w="3168" w:type="dxa"/>
            <w:tcMar>
              <w:top w:w="90" w:type="dxa"/>
              <w:left w:w="100" w:type="dxa"/>
              <w:bottom w:w="90" w:type="dxa"/>
              <w:right w:w="100" w:type="dxa"/>
            </w:tcMar>
            <w:vAlign w:val="center"/>
          </w:tcPr>
          <w:p w14:paraId="6FE5BF75" w14:textId="77777777" w:rsidR="00784701" w:rsidRDefault="00ED1A28">
            <w:pPr>
              <w:jc w:val="center"/>
              <w:rPr>
                <w:rFonts w:hint="eastAsia"/>
              </w:rPr>
            </w:pPr>
            <w:r>
              <w:rPr>
                <w:sz w:val="17"/>
              </w:rPr>
              <w:t>Tests</w:t>
            </w:r>
          </w:p>
        </w:tc>
        <w:tc>
          <w:tcPr>
            <w:tcW w:w="7200" w:type="dxa"/>
            <w:tcMar>
              <w:top w:w="90" w:type="dxa"/>
              <w:left w:w="100" w:type="dxa"/>
              <w:bottom w:w="90" w:type="dxa"/>
              <w:right w:w="100" w:type="dxa"/>
            </w:tcMar>
            <w:vAlign w:val="center"/>
          </w:tcPr>
          <w:p w14:paraId="5BEED7D9" w14:textId="77777777" w:rsidR="00784701" w:rsidRDefault="00784701">
            <w:pPr>
              <w:jc w:val="center"/>
              <w:rPr>
                <w:rFonts w:hint="eastAsia"/>
              </w:rPr>
            </w:pPr>
          </w:p>
        </w:tc>
      </w:tr>
    </w:tbl>
    <w:p w14:paraId="2697A1F7" w14:textId="77777777" w:rsidR="00784701" w:rsidRDefault="00784701">
      <w:pPr>
        <w:spacing w:after="40"/>
        <w:rPr>
          <w:rFonts w:hint="eastAsia"/>
        </w:rPr>
      </w:pPr>
    </w:p>
    <w:p w14:paraId="222D3868" w14:textId="77777777" w:rsidR="00784701" w:rsidRDefault="00ED1A28">
      <w:pPr>
        <w:pStyle w:val="Heading2"/>
        <w:spacing w:before="160" w:after="100"/>
      </w:pPr>
      <w:r>
        <w:t>B.2 Extension Segment Template</w:t>
      </w:r>
    </w:p>
    <w:tbl>
      <w:tblPr>
        <w:tblStyle w:val="TableGrid"/>
        <w:tblW w:w="0" w:type="auto"/>
        <w:jc w:val="center"/>
        <w:tblLayout w:type="fixed"/>
        <w:tblLook w:val="04A0" w:firstRow="1" w:lastRow="0" w:firstColumn="1" w:lastColumn="0" w:noHBand="0" w:noVBand="1"/>
      </w:tblPr>
      <w:tblGrid>
        <w:gridCol w:w="3168"/>
        <w:gridCol w:w="7200"/>
      </w:tblGrid>
      <w:tr w:rsidR="00784701" w14:paraId="0E3933FE" w14:textId="77777777">
        <w:trPr>
          <w:tblHeader/>
          <w:jc w:val="center"/>
        </w:trPr>
        <w:tc>
          <w:tcPr>
            <w:tcW w:w="3168" w:type="dxa"/>
            <w:shd w:val="clear" w:color="auto" w:fill="17365D"/>
            <w:tcMar>
              <w:top w:w="90" w:type="dxa"/>
              <w:left w:w="100" w:type="dxa"/>
              <w:bottom w:w="90" w:type="dxa"/>
              <w:right w:w="100" w:type="dxa"/>
            </w:tcMar>
            <w:vAlign w:val="center"/>
          </w:tcPr>
          <w:p w14:paraId="3BD99FAF" w14:textId="77777777" w:rsidR="00784701" w:rsidRDefault="00ED1A28">
            <w:pPr>
              <w:jc w:val="center"/>
              <w:rPr>
                <w:rFonts w:hint="eastAsia"/>
              </w:rPr>
            </w:pPr>
            <w:r>
              <w:rPr>
                <w:b/>
                <w:color w:val="FFFFFF"/>
                <w:sz w:val="18"/>
              </w:rPr>
              <w:t>Field</w:t>
            </w:r>
          </w:p>
        </w:tc>
        <w:tc>
          <w:tcPr>
            <w:tcW w:w="7200" w:type="dxa"/>
            <w:shd w:val="clear" w:color="auto" w:fill="17365D"/>
            <w:tcMar>
              <w:top w:w="90" w:type="dxa"/>
              <w:left w:w="100" w:type="dxa"/>
              <w:bottom w:w="90" w:type="dxa"/>
              <w:right w:w="100" w:type="dxa"/>
            </w:tcMar>
            <w:vAlign w:val="center"/>
          </w:tcPr>
          <w:p w14:paraId="26CFD55E" w14:textId="77777777" w:rsidR="00784701" w:rsidRDefault="00ED1A28">
            <w:pPr>
              <w:jc w:val="center"/>
              <w:rPr>
                <w:rFonts w:hint="eastAsia"/>
              </w:rPr>
            </w:pPr>
            <w:r>
              <w:rPr>
                <w:b/>
                <w:color w:val="FFFFFF"/>
                <w:sz w:val="18"/>
              </w:rPr>
              <w:t>Specification</w:t>
            </w:r>
          </w:p>
        </w:tc>
      </w:tr>
      <w:tr w:rsidR="00784701" w14:paraId="04BB3A13" w14:textId="77777777">
        <w:trPr>
          <w:jc w:val="center"/>
        </w:trPr>
        <w:tc>
          <w:tcPr>
            <w:tcW w:w="3168" w:type="dxa"/>
            <w:tcMar>
              <w:top w:w="90" w:type="dxa"/>
              <w:left w:w="100" w:type="dxa"/>
              <w:bottom w:w="90" w:type="dxa"/>
              <w:right w:w="100" w:type="dxa"/>
            </w:tcMar>
            <w:vAlign w:val="center"/>
          </w:tcPr>
          <w:p w14:paraId="438C5DA2" w14:textId="77777777" w:rsidR="00784701" w:rsidRDefault="00ED1A28">
            <w:pPr>
              <w:jc w:val="center"/>
              <w:rPr>
                <w:rFonts w:hint="eastAsia"/>
              </w:rPr>
            </w:pPr>
            <w:r>
              <w:rPr>
                <w:sz w:val="17"/>
              </w:rPr>
              <w:t>Segment ID</w:t>
            </w:r>
          </w:p>
        </w:tc>
        <w:tc>
          <w:tcPr>
            <w:tcW w:w="7200" w:type="dxa"/>
            <w:tcMar>
              <w:top w:w="90" w:type="dxa"/>
              <w:left w:w="100" w:type="dxa"/>
              <w:bottom w:w="90" w:type="dxa"/>
              <w:right w:w="100" w:type="dxa"/>
            </w:tcMar>
            <w:vAlign w:val="center"/>
          </w:tcPr>
          <w:p w14:paraId="7AF0D8D4" w14:textId="77777777" w:rsidR="00784701" w:rsidRDefault="00784701">
            <w:pPr>
              <w:jc w:val="center"/>
              <w:rPr>
                <w:rFonts w:hint="eastAsia"/>
              </w:rPr>
            </w:pPr>
          </w:p>
        </w:tc>
      </w:tr>
      <w:tr w:rsidR="00784701" w14:paraId="2E926F12" w14:textId="77777777">
        <w:trPr>
          <w:jc w:val="center"/>
        </w:trPr>
        <w:tc>
          <w:tcPr>
            <w:tcW w:w="3168" w:type="dxa"/>
            <w:shd w:val="clear" w:color="auto" w:fill="F8FAFC"/>
            <w:tcMar>
              <w:top w:w="90" w:type="dxa"/>
              <w:left w:w="100" w:type="dxa"/>
              <w:bottom w:w="90" w:type="dxa"/>
              <w:right w:w="100" w:type="dxa"/>
            </w:tcMar>
            <w:vAlign w:val="center"/>
          </w:tcPr>
          <w:p w14:paraId="1DAFA486" w14:textId="77777777" w:rsidR="00784701" w:rsidRDefault="00ED1A28">
            <w:pPr>
              <w:jc w:val="center"/>
              <w:rPr>
                <w:rFonts w:hint="eastAsia"/>
              </w:rPr>
            </w:pPr>
            <w:r>
              <w:rPr>
                <w:sz w:val="17"/>
              </w:rPr>
              <w:t>Family / Version</w:t>
            </w:r>
          </w:p>
        </w:tc>
        <w:tc>
          <w:tcPr>
            <w:tcW w:w="7200" w:type="dxa"/>
            <w:shd w:val="clear" w:color="auto" w:fill="F8FAFC"/>
            <w:tcMar>
              <w:top w:w="90" w:type="dxa"/>
              <w:left w:w="100" w:type="dxa"/>
              <w:bottom w:w="90" w:type="dxa"/>
              <w:right w:w="100" w:type="dxa"/>
            </w:tcMar>
            <w:vAlign w:val="center"/>
          </w:tcPr>
          <w:p w14:paraId="7647764D" w14:textId="77777777" w:rsidR="00784701" w:rsidRDefault="00784701">
            <w:pPr>
              <w:jc w:val="center"/>
              <w:rPr>
                <w:rFonts w:hint="eastAsia"/>
              </w:rPr>
            </w:pPr>
          </w:p>
        </w:tc>
      </w:tr>
      <w:tr w:rsidR="00784701" w14:paraId="3736A906" w14:textId="77777777">
        <w:trPr>
          <w:jc w:val="center"/>
        </w:trPr>
        <w:tc>
          <w:tcPr>
            <w:tcW w:w="3168" w:type="dxa"/>
            <w:tcMar>
              <w:top w:w="90" w:type="dxa"/>
              <w:left w:w="100" w:type="dxa"/>
              <w:bottom w:w="90" w:type="dxa"/>
              <w:right w:w="100" w:type="dxa"/>
            </w:tcMar>
            <w:vAlign w:val="center"/>
          </w:tcPr>
          <w:p w14:paraId="42BBCC32" w14:textId="77777777" w:rsidR="00784701" w:rsidRDefault="00ED1A28">
            <w:pPr>
              <w:jc w:val="center"/>
              <w:rPr>
                <w:rFonts w:hint="eastAsia"/>
              </w:rPr>
            </w:pPr>
            <w:r>
              <w:rPr>
                <w:sz w:val="17"/>
              </w:rPr>
              <w:t>Bit Range</w:t>
            </w:r>
          </w:p>
        </w:tc>
        <w:tc>
          <w:tcPr>
            <w:tcW w:w="7200" w:type="dxa"/>
            <w:tcMar>
              <w:top w:w="90" w:type="dxa"/>
              <w:left w:w="100" w:type="dxa"/>
              <w:bottom w:w="90" w:type="dxa"/>
              <w:right w:w="100" w:type="dxa"/>
            </w:tcMar>
            <w:vAlign w:val="center"/>
          </w:tcPr>
          <w:p w14:paraId="39957F05" w14:textId="77777777" w:rsidR="00784701" w:rsidRDefault="00784701">
            <w:pPr>
              <w:jc w:val="center"/>
              <w:rPr>
                <w:rFonts w:hint="eastAsia"/>
              </w:rPr>
            </w:pPr>
          </w:p>
        </w:tc>
      </w:tr>
      <w:tr w:rsidR="00784701" w14:paraId="2C0015C2" w14:textId="77777777">
        <w:trPr>
          <w:jc w:val="center"/>
        </w:trPr>
        <w:tc>
          <w:tcPr>
            <w:tcW w:w="3168" w:type="dxa"/>
            <w:shd w:val="clear" w:color="auto" w:fill="F8FAFC"/>
            <w:tcMar>
              <w:top w:w="90" w:type="dxa"/>
              <w:left w:w="100" w:type="dxa"/>
              <w:bottom w:w="90" w:type="dxa"/>
              <w:right w:w="100" w:type="dxa"/>
            </w:tcMar>
            <w:vAlign w:val="center"/>
          </w:tcPr>
          <w:p w14:paraId="46FF2C96" w14:textId="77777777" w:rsidR="00784701" w:rsidRDefault="00ED1A28">
            <w:pPr>
              <w:jc w:val="center"/>
              <w:rPr>
                <w:rFonts w:hint="eastAsia"/>
              </w:rPr>
            </w:pPr>
            <w:r>
              <w:rPr>
                <w:sz w:val="17"/>
              </w:rPr>
              <w:t>Segment Name</w:t>
            </w:r>
          </w:p>
        </w:tc>
        <w:tc>
          <w:tcPr>
            <w:tcW w:w="7200" w:type="dxa"/>
            <w:shd w:val="clear" w:color="auto" w:fill="F8FAFC"/>
            <w:tcMar>
              <w:top w:w="90" w:type="dxa"/>
              <w:left w:w="100" w:type="dxa"/>
              <w:bottom w:w="90" w:type="dxa"/>
              <w:right w:w="100" w:type="dxa"/>
            </w:tcMar>
            <w:vAlign w:val="center"/>
          </w:tcPr>
          <w:p w14:paraId="465E556D" w14:textId="77777777" w:rsidR="00784701" w:rsidRDefault="00784701">
            <w:pPr>
              <w:jc w:val="center"/>
              <w:rPr>
                <w:rFonts w:hint="eastAsia"/>
              </w:rPr>
            </w:pPr>
          </w:p>
        </w:tc>
      </w:tr>
      <w:tr w:rsidR="00784701" w14:paraId="757F4C2E" w14:textId="77777777">
        <w:trPr>
          <w:jc w:val="center"/>
        </w:trPr>
        <w:tc>
          <w:tcPr>
            <w:tcW w:w="3168" w:type="dxa"/>
            <w:tcMar>
              <w:top w:w="90" w:type="dxa"/>
              <w:left w:w="100" w:type="dxa"/>
              <w:bottom w:w="90" w:type="dxa"/>
              <w:right w:w="100" w:type="dxa"/>
            </w:tcMar>
            <w:vAlign w:val="center"/>
          </w:tcPr>
          <w:p w14:paraId="1A4F812E" w14:textId="77777777" w:rsidR="00784701" w:rsidRDefault="00ED1A28">
            <w:pPr>
              <w:jc w:val="center"/>
              <w:rPr>
                <w:rFonts w:hint="eastAsia"/>
              </w:rPr>
            </w:pPr>
            <w:r>
              <w:rPr>
                <w:sz w:val="17"/>
              </w:rPr>
              <w:t>Semantic Scope</w:t>
            </w:r>
          </w:p>
        </w:tc>
        <w:tc>
          <w:tcPr>
            <w:tcW w:w="7200" w:type="dxa"/>
            <w:tcMar>
              <w:top w:w="90" w:type="dxa"/>
              <w:left w:w="100" w:type="dxa"/>
              <w:bottom w:w="90" w:type="dxa"/>
              <w:right w:w="100" w:type="dxa"/>
            </w:tcMar>
            <w:vAlign w:val="center"/>
          </w:tcPr>
          <w:p w14:paraId="771B830C" w14:textId="77777777" w:rsidR="00784701" w:rsidRDefault="00784701">
            <w:pPr>
              <w:jc w:val="center"/>
              <w:rPr>
                <w:rFonts w:hint="eastAsia"/>
              </w:rPr>
            </w:pPr>
          </w:p>
        </w:tc>
      </w:tr>
      <w:tr w:rsidR="00784701" w14:paraId="606A37E9" w14:textId="77777777">
        <w:trPr>
          <w:jc w:val="center"/>
        </w:trPr>
        <w:tc>
          <w:tcPr>
            <w:tcW w:w="3168" w:type="dxa"/>
            <w:shd w:val="clear" w:color="auto" w:fill="F8FAFC"/>
            <w:tcMar>
              <w:top w:w="90" w:type="dxa"/>
              <w:left w:w="100" w:type="dxa"/>
              <w:bottom w:w="90" w:type="dxa"/>
              <w:right w:w="100" w:type="dxa"/>
            </w:tcMar>
            <w:vAlign w:val="center"/>
          </w:tcPr>
          <w:p w14:paraId="2F9A8569" w14:textId="77777777" w:rsidR="00784701" w:rsidRDefault="00ED1A28">
            <w:pPr>
              <w:rPr>
                <w:rFonts w:hint="eastAsia"/>
              </w:rPr>
            </w:pPr>
            <w:r>
              <w:rPr>
                <w:sz w:val="17"/>
              </w:rPr>
              <w:t>Null / Default Semantics</w:t>
            </w:r>
          </w:p>
        </w:tc>
        <w:tc>
          <w:tcPr>
            <w:tcW w:w="7200" w:type="dxa"/>
            <w:shd w:val="clear" w:color="auto" w:fill="F8FAFC"/>
            <w:tcMar>
              <w:top w:w="90" w:type="dxa"/>
              <w:left w:w="100" w:type="dxa"/>
              <w:bottom w:w="90" w:type="dxa"/>
              <w:right w:w="100" w:type="dxa"/>
            </w:tcMar>
            <w:vAlign w:val="center"/>
          </w:tcPr>
          <w:p w14:paraId="55FCDAFE" w14:textId="77777777" w:rsidR="00784701" w:rsidRDefault="00784701">
            <w:pPr>
              <w:jc w:val="center"/>
              <w:rPr>
                <w:rFonts w:hint="eastAsia"/>
              </w:rPr>
            </w:pPr>
          </w:p>
        </w:tc>
      </w:tr>
      <w:tr w:rsidR="00784701" w14:paraId="6DB5AB64" w14:textId="77777777">
        <w:trPr>
          <w:jc w:val="center"/>
        </w:trPr>
        <w:tc>
          <w:tcPr>
            <w:tcW w:w="3168" w:type="dxa"/>
            <w:tcMar>
              <w:top w:w="90" w:type="dxa"/>
              <w:left w:w="100" w:type="dxa"/>
              <w:bottom w:w="90" w:type="dxa"/>
              <w:right w:w="100" w:type="dxa"/>
            </w:tcMar>
            <w:vAlign w:val="center"/>
          </w:tcPr>
          <w:p w14:paraId="65EFC63A" w14:textId="77777777" w:rsidR="00784701" w:rsidRDefault="00ED1A28">
            <w:pPr>
              <w:jc w:val="center"/>
              <w:rPr>
                <w:rFonts w:hint="eastAsia"/>
              </w:rPr>
            </w:pPr>
            <w:r>
              <w:rPr>
                <w:sz w:val="17"/>
              </w:rPr>
              <w:t>Rules</w:t>
            </w:r>
          </w:p>
        </w:tc>
        <w:tc>
          <w:tcPr>
            <w:tcW w:w="7200" w:type="dxa"/>
            <w:tcMar>
              <w:top w:w="90" w:type="dxa"/>
              <w:left w:w="100" w:type="dxa"/>
              <w:bottom w:w="90" w:type="dxa"/>
              <w:right w:w="100" w:type="dxa"/>
            </w:tcMar>
            <w:vAlign w:val="center"/>
          </w:tcPr>
          <w:p w14:paraId="3A947E14" w14:textId="77777777" w:rsidR="00784701" w:rsidRDefault="00784701">
            <w:pPr>
              <w:jc w:val="center"/>
              <w:rPr>
                <w:rFonts w:hint="eastAsia"/>
              </w:rPr>
            </w:pPr>
          </w:p>
        </w:tc>
      </w:tr>
      <w:tr w:rsidR="00784701" w14:paraId="632AD074" w14:textId="77777777">
        <w:trPr>
          <w:jc w:val="center"/>
        </w:trPr>
        <w:tc>
          <w:tcPr>
            <w:tcW w:w="3168" w:type="dxa"/>
            <w:shd w:val="clear" w:color="auto" w:fill="F8FAFC"/>
            <w:tcMar>
              <w:top w:w="90" w:type="dxa"/>
              <w:left w:w="100" w:type="dxa"/>
              <w:bottom w:w="90" w:type="dxa"/>
              <w:right w:w="100" w:type="dxa"/>
            </w:tcMar>
            <w:vAlign w:val="center"/>
          </w:tcPr>
          <w:p w14:paraId="6D7D0B45" w14:textId="77777777" w:rsidR="00784701" w:rsidRDefault="00ED1A28">
            <w:pPr>
              <w:jc w:val="center"/>
              <w:rPr>
                <w:rFonts w:hint="eastAsia"/>
              </w:rPr>
            </w:pPr>
            <w:r>
              <w:rPr>
                <w:sz w:val="17"/>
              </w:rPr>
              <w:t>Models</w:t>
            </w:r>
          </w:p>
        </w:tc>
        <w:tc>
          <w:tcPr>
            <w:tcW w:w="7200" w:type="dxa"/>
            <w:shd w:val="clear" w:color="auto" w:fill="F8FAFC"/>
            <w:tcMar>
              <w:top w:w="90" w:type="dxa"/>
              <w:left w:w="100" w:type="dxa"/>
              <w:bottom w:w="90" w:type="dxa"/>
              <w:right w:w="100" w:type="dxa"/>
            </w:tcMar>
            <w:vAlign w:val="center"/>
          </w:tcPr>
          <w:p w14:paraId="71263E24" w14:textId="77777777" w:rsidR="00784701" w:rsidRDefault="00784701">
            <w:pPr>
              <w:jc w:val="center"/>
              <w:rPr>
                <w:rFonts w:hint="eastAsia"/>
              </w:rPr>
            </w:pPr>
          </w:p>
        </w:tc>
      </w:tr>
      <w:tr w:rsidR="00784701" w14:paraId="6BBA554E" w14:textId="77777777">
        <w:trPr>
          <w:jc w:val="center"/>
        </w:trPr>
        <w:tc>
          <w:tcPr>
            <w:tcW w:w="3168" w:type="dxa"/>
            <w:tcMar>
              <w:top w:w="90" w:type="dxa"/>
              <w:left w:w="100" w:type="dxa"/>
              <w:bottom w:w="90" w:type="dxa"/>
              <w:right w:w="100" w:type="dxa"/>
            </w:tcMar>
            <w:vAlign w:val="center"/>
          </w:tcPr>
          <w:p w14:paraId="7C8BE933" w14:textId="77777777" w:rsidR="00784701" w:rsidRDefault="00ED1A28">
            <w:pPr>
              <w:jc w:val="center"/>
              <w:rPr>
                <w:rFonts w:hint="eastAsia"/>
              </w:rPr>
            </w:pPr>
            <w:r>
              <w:rPr>
                <w:sz w:val="17"/>
              </w:rPr>
              <w:t>Operators</w:t>
            </w:r>
          </w:p>
        </w:tc>
        <w:tc>
          <w:tcPr>
            <w:tcW w:w="7200" w:type="dxa"/>
            <w:tcMar>
              <w:top w:w="90" w:type="dxa"/>
              <w:left w:w="100" w:type="dxa"/>
              <w:bottom w:w="90" w:type="dxa"/>
              <w:right w:w="100" w:type="dxa"/>
            </w:tcMar>
            <w:vAlign w:val="center"/>
          </w:tcPr>
          <w:p w14:paraId="1E7E3B6C" w14:textId="77777777" w:rsidR="00784701" w:rsidRDefault="00784701">
            <w:pPr>
              <w:jc w:val="center"/>
              <w:rPr>
                <w:rFonts w:hint="eastAsia"/>
              </w:rPr>
            </w:pPr>
          </w:p>
        </w:tc>
      </w:tr>
      <w:tr w:rsidR="00784701" w14:paraId="7FF80DE2" w14:textId="77777777">
        <w:trPr>
          <w:jc w:val="center"/>
        </w:trPr>
        <w:tc>
          <w:tcPr>
            <w:tcW w:w="3168" w:type="dxa"/>
            <w:shd w:val="clear" w:color="auto" w:fill="F8FAFC"/>
            <w:tcMar>
              <w:top w:w="90" w:type="dxa"/>
              <w:left w:w="100" w:type="dxa"/>
              <w:bottom w:w="90" w:type="dxa"/>
              <w:right w:w="100" w:type="dxa"/>
            </w:tcMar>
            <w:vAlign w:val="center"/>
          </w:tcPr>
          <w:p w14:paraId="66677E94" w14:textId="77777777" w:rsidR="00784701" w:rsidRDefault="00ED1A28">
            <w:pPr>
              <w:jc w:val="center"/>
              <w:rPr>
                <w:rFonts w:hint="eastAsia"/>
              </w:rPr>
            </w:pPr>
            <w:r>
              <w:rPr>
                <w:sz w:val="17"/>
              </w:rPr>
              <w:t>Bitlinks</w:t>
            </w:r>
          </w:p>
        </w:tc>
        <w:tc>
          <w:tcPr>
            <w:tcW w:w="7200" w:type="dxa"/>
            <w:shd w:val="clear" w:color="auto" w:fill="F8FAFC"/>
            <w:tcMar>
              <w:top w:w="90" w:type="dxa"/>
              <w:left w:w="100" w:type="dxa"/>
              <w:bottom w:w="90" w:type="dxa"/>
              <w:right w:w="100" w:type="dxa"/>
            </w:tcMar>
            <w:vAlign w:val="center"/>
          </w:tcPr>
          <w:p w14:paraId="2B6FED87" w14:textId="77777777" w:rsidR="00784701" w:rsidRDefault="00784701">
            <w:pPr>
              <w:jc w:val="center"/>
              <w:rPr>
                <w:rFonts w:hint="eastAsia"/>
              </w:rPr>
            </w:pPr>
          </w:p>
        </w:tc>
      </w:tr>
      <w:tr w:rsidR="00784701" w14:paraId="22DDCA4E" w14:textId="77777777">
        <w:trPr>
          <w:jc w:val="center"/>
        </w:trPr>
        <w:tc>
          <w:tcPr>
            <w:tcW w:w="3168" w:type="dxa"/>
            <w:tcMar>
              <w:top w:w="90" w:type="dxa"/>
              <w:left w:w="100" w:type="dxa"/>
              <w:bottom w:w="90" w:type="dxa"/>
              <w:right w:w="100" w:type="dxa"/>
            </w:tcMar>
            <w:vAlign w:val="center"/>
          </w:tcPr>
          <w:p w14:paraId="6A399FFE" w14:textId="77777777" w:rsidR="00784701" w:rsidRDefault="00ED1A28">
            <w:pPr>
              <w:rPr>
                <w:rFonts w:hint="eastAsia"/>
              </w:rPr>
            </w:pPr>
            <w:r>
              <w:rPr>
                <w:sz w:val="17"/>
              </w:rPr>
              <w:t>Minimum Reader Capability</w:t>
            </w:r>
          </w:p>
        </w:tc>
        <w:tc>
          <w:tcPr>
            <w:tcW w:w="7200" w:type="dxa"/>
            <w:tcMar>
              <w:top w:w="90" w:type="dxa"/>
              <w:left w:w="100" w:type="dxa"/>
              <w:bottom w:w="90" w:type="dxa"/>
              <w:right w:w="100" w:type="dxa"/>
            </w:tcMar>
            <w:vAlign w:val="center"/>
          </w:tcPr>
          <w:p w14:paraId="3FBBCE15" w14:textId="77777777" w:rsidR="00784701" w:rsidRDefault="00784701">
            <w:pPr>
              <w:jc w:val="center"/>
              <w:rPr>
                <w:rFonts w:hint="eastAsia"/>
              </w:rPr>
            </w:pPr>
          </w:p>
        </w:tc>
      </w:tr>
      <w:tr w:rsidR="00784701" w14:paraId="79C578BA" w14:textId="77777777">
        <w:trPr>
          <w:jc w:val="center"/>
        </w:trPr>
        <w:tc>
          <w:tcPr>
            <w:tcW w:w="3168" w:type="dxa"/>
            <w:shd w:val="clear" w:color="auto" w:fill="F8FAFC"/>
            <w:tcMar>
              <w:top w:w="90" w:type="dxa"/>
              <w:left w:w="100" w:type="dxa"/>
              <w:bottom w:w="90" w:type="dxa"/>
              <w:right w:w="100" w:type="dxa"/>
            </w:tcMar>
            <w:vAlign w:val="center"/>
          </w:tcPr>
          <w:p w14:paraId="31A6E189" w14:textId="77777777" w:rsidR="00784701" w:rsidRDefault="00ED1A28">
            <w:pPr>
              <w:rPr>
                <w:rFonts w:hint="eastAsia"/>
              </w:rPr>
            </w:pPr>
            <w:r>
              <w:rPr>
                <w:sz w:val="17"/>
              </w:rPr>
              <w:t>Cross-Segment Invariants</w:t>
            </w:r>
          </w:p>
        </w:tc>
        <w:tc>
          <w:tcPr>
            <w:tcW w:w="7200" w:type="dxa"/>
            <w:shd w:val="clear" w:color="auto" w:fill="F8FAFC"/>
            <w:tcMar>
              <w:top w:w="90" w:type="dxa"/>
              <w:left w:w="100" w:type="dxa"/>
              <w:bottom w:w="90" w:type="dxa"/>
              <w:right w:w="100" w:type="dxa"/>
            </w:tcMar>
            <w:vAlign w:val="center"/>
          </w:tcPr>
          <w:p w14:paraId="6A271E62" w14:textId="77777777" w:rsidR="00784701" w:rsidRDefault="00784701">
            <w:pPr>
              <w:jc w:val="center"/>
              <w:rPr>
                <w:rFonts w:hint="eastAsia"/>
              </w:rPr>
            </w:pPr>
          </w:p>
        </w:tc>
      </w:tr>
    </w:tbl>
    <w:p w14:paraId="27B583B0" w14:textId="77777777" w:rsidR="00784701" w:rsidRDefault="00784701">
      <w:pPr>
        <w:spacing w:after="40"/>
        <w:rPr>
          <w:rFonts w:hint="eastAsia"/>
        </w:rPr>
      </w:pPr>
    </w:p>
    <w:p w14:paraId="7989C409" w14:textId="77777777" w:rsidR="00784701" w:rsidRDefault="00ED1A28">
      <w:pPr>
        <w:pStyle w:val="Heading2"/>
        <w:spacing w:before="160" w:after="100"/>
      </w:pPr>
      <w:r>
        <w:t>B.3 Resolution-Aware Bitlink Template</w:t>
      </w:r>
    </w:p>
    <w:tbl>
      <w:tblPr>
        <w:tblStyle w:val="TableGrid"/>
        <w:tblW w:w="0" w:type="auto"/>
        <w:jc w:val="center"/>
        <w:tblLayout w:type="fixed"/>
        <w:tblLook w:val="04A0" w:firstRow="1" w:lastRow="0" w:firstColumn="1" w:lastColumn="0" w:noHBand="0" w:noVBand="1"/>
      </w:tblPr>
      <w:tblGrid>
        <w:gridCol w:w="3384"/>
        <w:gridCol w:w="6984"/>
      </w:tblGrid>
      <w:tr w:rsidR="00784701" w14:paraId="18518505" w14:textId="77777777">
        <w:trPr>
          <w:tblHeader/>
          <w:jc w:val="center"/>
        </w:trPr>
        <w:tc>
          <w:tcPr>
            <w:tcW w:w="3384" w:type="dxa"/>
            <w:shd w:val="clear" w:color="auto" w:fill="17365D"/>
            <w:tcMar>
              <w:top w:w="90" w:type="dxa"/>
              <w:left w:w="100" w:type="dxa"/>
              <w:bottom w:w="90" w:type="dxa"/>
              <w:right w:w="100" w:type="dxa"/>
            </w:tcMar>
            <w:vAlign w:val="center"/>
          </w:tcPr>
          <w:p w14:paraId="353289F4" w14:textId="77777777" w:rsidR="00784701" w:rsidRDefault="00ED1A28">
            <w:pPr>
              <w:jc w:val="center"/>
              <w:rPr>
                <w:rFonts w:hint="eastAsia"/>
              </w:rPr>
            </w:pPr>
            <w:r>
              <w:rPr>
                <w:b/>
                <w:color w:val="FFFFFF"/>
                <w:sz w:val="18"/>
              </w:rPr>
              <w:t>Field</w:t>
            </w:r>
          </w:p>
        </w:tc>
        <w:tc>
          <w:tcPr>
            <w:tcW w:w="6984" w:type="dxa"/>
            <w:shd w:val="clear" w:color="auto" w:fill="17365D"/>
            <w:tcMar>
              <w:top w:w="90" w:type="dxa"/>
              <w:left w:w="100" w:type="dxa"/>
              <w:bottom w:w="90" w:type="dxa"/>
              <w:right w:w="100" w:type="dxa"/>
            </w:tcMar>
            <w:vAlign w:val="center"/>
          </w:tcPr>
          <w:p w14:paraId="6EE312B4" w14:textId="77777777" w:rsidR="00784701" w:rsidRDefault="00ED1A28">
            <w:pPr>
              <w:jc w:val="center"/>
              <w:rPr>
                <w:rFonts w:hint="eastAsia"/>
              </w:rPr>
            </w:pPr>
            <w:r>
              <w:rPr>
                <w:b/>
                <w:color w:val="FFFFFF"/>
                <w:sz w:val="18"/>
              </w:rPr>
              <w:t>Specification</w:t>
            </w:r>
          </w:p>
        </w:tc>
      </w:tr>
      <w:tr w:rsidR="00784701" w14:paraId="5385816C" w14:textId="77777777">
        <w:trPr>
          <w:jc w:val="center"/>
        </w:trPr>
        <w:tc>
          <w:tcPr>
            <w:tcW w:w="3384" w:type="dxa"/>
            <w:tcMar>
              <w:top w:w="90" w:type="dxa"/>
              <w:left w:w="100" w:type="dxa"/>
              <w:bottom w:w="90" w:type="dxa"/>
              <w:right w:w="100" w:type="dxa"/>
            </w:tcMar>
            <w:vAlign w:val="center"/>
          </w:tcPr>
          <w:p w14:paraId="0A68CD70" w14:textId="77777777" w:rsidR="00784701" w:rsidRDefault="00ED1A28">
            <w:pPr>
              <w:jc w:val="center"/>
              <w:rPr>
                <w:rFonts w:hint="eastAsia"/>
              </w:rPr>
            </w:pPr>
            <w:r>
              <w:rPr>
                <w:sz w:val="17"/>
              </w:rPr>
              <w:t>Bitlink ID</w:t>
            </w:r>
          </w:p>
        </w:tc>
        <w:tc>
          <w:tcPr>
            <w:tcW w:w="6984" w:type="dxa"/>
            <w:tcMar>
              <w:top w:w="90" w:type="dxa"/>
              <w:left w:w="100" w:type="dxa"/>
              <w:bottom w:w="90" w:type="dxa"/>
              <w:right w:w="100" w:type="dxa"/>
            </w:tcMar>
            <w:vAlign w:val="center"/>
          </w:tcPr>
          <w:p w14:paraId="719DF323" w14:textId="77777777" w:rsidR="00784701" w:rsidRDefault="00784701">
            <w:pPr>
              <w:jc w:val="center"/>
              <w:rPr>
                <w:rFonts w:hint="eastAsia"/>
              </w:rPr>
            </w:pPr>
          </w:p>
        </w:tc>
      </w:tr>
      <w:tr w:rsidR="00784701" w14:paraId="557D0EEA" w14:textId="77777777">
        <w:trPr>
          <w:jc w:val="center"/>
        </w:trPr>
        <w:tc>
          <w:tcPr>
            <w:tcW w:w="3384" w:type="dxa"/>
            <w:shd w:val="clear" w:color="auto" w:fill="F8FAFC"/>
            <w:tcMar>
              <w:top w:w="90" w:type="dxa"/>
              <w:left w:w="100" w:type="dxa"/>
              <w:bottom w:w="90" w:type="dxa"/>
              <w:right w:w="100" w:type="dxa"/>
            </w:tcMar>
            <w:vAlign w:val="center"/>
          </w:tcPr>
          <w:p w14:paraId="43C2E1E1" w14:textId="77777777" w:rsidR="00784701" w:rsidRDefault="00ED1A28">
            <w:pPr>
              <w:rPr>
                <w:rFonts w:hint="eastAsia"/>
              </w:rPr>
            </w:pPr>
            <w:r>
              <w:rPr>
                <w:sz w:val="17"/>
              </w:rPr>
              <w:t>Source Family / Version</w:t>
            </w:r>
          </w:p>
        </w:tc>
        <w:tc>
          <w:tcPr>
            <w:tcW w:w="6984" w:type="dxa"/>
            <w:shd w:val="clear" w:color="auto" w:fill="F8FAFC"/>
            <w:tcMar>
              <w:top w:w="90" w:type="dxa"/>
              <w:left w:w="100" w:type="dxa"/>
              <w:bottom w:w="90" w:type="dxa"/>
              <w:right w:w="100" w:type="dxa"/>
            </w:tcMar>
            <w:vAlign w:val="center"/>
          </w:tcPr>
          <w:p w14:paraId="26603FD1" w14:textId="77777777" w:rsidR="00784701" w:rsidRDefault="00784701">
            <w:pPr>
              <w:jc w:val="center"/>
              <w:rPr>
                <w:rFonts w:hint="eastAsia"/>
              </w:rPr>
            </w:pPr>
          </w:p>
        </w:tc>
      </w:tr>
      <w:tr w:rsidR="00784701" w14:paraId="174C45D6" w14:textId="77777777">
        <w:trPr>
          <w:jc w:val="center"/>
        </w:trPr>
        <w:tc>
          <w:tcPr>
            <w:tcW w:w="3384" w:type="dxa"/>
            <w:tcMar>
              <w:top w:w="90" w:type="dxa"/>
              <w:left w:w="100" w:type="dxa"/>
              <w:bottom w:w="90" w:type="dxa"/>
              <w:right w:w="100" w:type="dxa"/>
            </w:tcMar>
            <w:vAlign w:val="center"/>
          </w:tcPr>
          <w:p w14:paraId="39B2069E" w14:textId="77777777" w:rsidR="00784701" w:rsidRDefault="00ED1A28">
            <w:pPr>
              <w:rPr>
                <w:rFonts w:hint="eastAsia"/>
              </w:rPr>
            </w:pPr>
            <w:r>
              <w:rPr>
                <w:sz w:val="17"/>
              </w:rPr>
              <w:t>Source Address or Group</w:t>
            </w:r>
          </w:p>
        </w:tc>
        <w:tc>
          <w:tcPr>
            <w:tcW w:w="6984" w:type="dxa"/>
            <w:tcMar>
              <w:top w:w="90" w:type="dxa"/>
              <w:left w:w="100" w:type="dxa"/>
              <w:bottom w:w="90" w:type="dxa"/>
              <w:right w:w="100" w:type="dxa"/>
            </w:tcMar>
            <w:vAlign w:val="center"/>
          </w:tcPr>
          <w:p w14:paraId="7DB4AC8B" w14:textId="77777777" w:rsidR="00784701" w:rsidRDefault="00784701">
            <w:pPr>
              <w:jc w:val="center"/>
              <w:rPr>
                <w:rFonts w:hint="eastAsia"/>
              </w:rPr>
            </w:pPr>
          </w:p>
        </w:tc>
      </w:tr>
      <w:tr w:rsidR="00784701" w14:paraId="730639B1" w14:textId="77777777">
        <w:trPr>
          <w:jc w:val="center"/>
        </w:trPr>
        <w:tc>
          <w:tcPr>
            <w:tcW w:w="3384" w:type="dxa"/>
            <w:shd w:val="clear" w:color="auto" w:fill="F8FAFC"/>
            <w:tcMar>
              <w:top w:w="90" w:type="dxa"/>
              <w:left w:w="100" w:type="dxa"/>
              <w:bottom w:w="90" w:type="dxa"/>
              <w:right w:w="100" w:type="dxa"/>
            </w:tcMar>
            <w:vAlign w:val="center"/>
          </w:tcPr>
          <w:p w14:paraId="641FE773" w14:textId="77777777" w:rsidR="00784701" w:rsidRDefault="00ED1A28">
            <w:pPr>
              <w:rPr>
                <w:rFonts w:hint="eastAsia"/>
              </w:rPr>
            </w:pPr>
            <w:r>
              <w:rPr>
                <w:sz w:val="17"/>
              </w:rPr>
              <w:t>Minimum Source Resolution</w:t>
            </w:r>
          </w:p>
        </w:tc>
        <w:tc>
          <w:tcPr>
            <w:tcW w:w="6984" w:type="dxa"/>
            <w:shd w:val="clear" w:color="auto" w:fill="F8FAFC"/>
            <w:tcMar>
              <w:top w:w="90" w:type="dxa"/>
              <w:left w:w="100" w:type="dxa"/>
              <w:bottom w:w="90" w:type="dxa"/>
              <w:right w:w="100" w:type="dxa"/>
            </w:tcMar>
            <w:vAlign w:val="center"/>
          </w:tcPr>
          <w:p w14:paraId="36FF1646" w14:textId="77777777" w:rsidR="00784701" w:rsidRDefault="00784701">
            <w:pPr>
              <w:jc w:val="center"/>
              <w:rPr>
                <w:rFonts w:hint="eastAsia"/>
              </w:rPr>
            </w:pPr>
          </w:p>
        </w:tc>
      </w:tr>
      <w:tr w:rsidR="00784701" w14:paraId="4E168354" w14:textId="77777777">
        <w:trPr>
          <w:jc w:val="center"/>
        </w:trPr>
        <w:tc>
          <w:tcPr>
            <w:tcW w:w="3384" w:type="dxa"/>
            <w:tcMar>
              <w:top w:w="90" w:type="dxa"/>
              <w:left w:w="100" w:type="dxa"/>
              <w:bottom w:w="90" w:type="dxa"/>
              <w:right w:w="100" w:type="dxa"/>
            </w:tcMar>
            <w:vAlign w:val="center"/>
          </w:tcPr>
          <w:p w14:paraId="50E03954" w14:textId="77777777" w:rsidR="00784701" w:rsidRDefault="00ED1A28">
            <w:pPr>
              <w:jc w:val="center"/>
              <w:rPr>
                <w:rFonts w:hint="eastAsia"/>
              </w:rPr>
            </w:pPr>
            <w:r>
              <w:rPr>
                <w:sz w:val="17"/>
              </w:rPr>
              <w:t>Trigger Type</w:t>
            </w:r>
          </w:p>
        </w:tc>
        <w:tc>
          <w:tcPr>
            <w:tcW w:w="6984" w:type="dxa"/>
            <w:tcMar>
              <w:top w:w="90" w:type="dxa"/>
              <w:left w:w="100" w:type="dxa"/>
              <w:bottom w:w="90" w:type="dxa"/>
              <w:right w:w="100" w:type="dxa"/>
            </w:tcMar>
            <w:vAlign w:val="center"/>
          </w:tcPr>
          <w:p w14:paraId="45043949" w14:textId="77777777" w:rsidR="00784701" w:rsidRDefault="00784701">
            <w:pPr>
              <w:jc w:val="center"/>
              <w:rPr>
                <w:rFonts w:hint="eastAsia"/>
              </w:rPr>
            </w:pPr>
          </w:p>
        </w:tc>
      </w:tr>
      <w:tr w:rsidR="00784701" w14:paraId="67BE3324" w14:textId="77777777">
        <w:trPr>
          <w:jc w:val="center"/>
        </w:trPr>
        <w:tc>
          <w:tcPr>
            <w:tcW w:w="3384" w:type="dxa"/>
            <w:shd w:val="clear" w:color="auto" w:fill="F8FAFC"/>
            <w:tcMar>
              <w:top w:w="90" w:type="dxa"/>
              <w:left w:w="100" w:type="dxa"/>
              <w:bottom w:w="90" w:type="dxa"/>
              <w:right w:w="100" w:type="dxa"/>
            </w:tcMar>
            <w:vAlign w:val="center"/>
          </w:tcPr>
          <w:p w14:paraId="50B9173D" w14:textId="77777777" w:rsidR="00784701" w:rsidRDefault="00ED1A28">
            <w:pPr>
              <w:jc w:val="center"/>
              <w:rPr>
                <w:rFonts w:hint="eastAsia"/>
              </w:rPr>
            </w:pPr>
            <w:r>
              <w:rPr>
                <w:sz w:val="17"/>
              </w:rPr>
              <w:t>Condition</w:t>
            </w:r>
          </w:p>
        </w:tc>
        <w:tc>
          <w:tcPr>
            <w:tcW w:w="6984" w:type="dxa"/>
            <w:shd w:val="clear" w:color="auto" w:fill="F8FAFC"/>
            <w:tcMar>
              <w:top w:w="90" w:type="dxa"/>
              <w:left w:w="100" w:type="dxa"/>
              <w:bottom w:w="90" w:type="dxa"/>
              <w:right w:w="100" w:type="dxa"/>
            </w:tcMar>
            <w:vAlign w:val="center"/>
          </w:tcPr>
          <w:p w14:paraId="67BD6450" w14:textId="77777777" w:rsidR="00784701" w:rsidRDefault="00784701">
            <w:pPr>
              <w:jc w:val="center"/>
              <w:rPr>
                <w:rFonts w:hint="eastAsia"/>
              </w:rPr>
            </w:pPr>
          </w:p>
        </w:tc>
      </w:tr>
      <w:tr w:rsidR="00784701" w14:paraId="0998006B" w14:textId="77777777">
        <w:trPr>
          <w:jc w:val="center"/>
        </w:trPr>
        <w:tc>
          <w:tcPr>
            <w:tcW w:w="3384" w:type="dxa"/>
            <w:tcMar>
              <w:top w:w="90" w:type="dxa"/>
              <w:left w:w="100" w:type="dxa"/>
              <w:bottom w:w="90" w:type="dxa"/>
              <w:right w:w="100" w:type="dxa"/>
            </w:tcMar>
            <w:vAlign w:val="center"/>
          </w:tcPr>
          <w:p w14:paraId="06BCE35E" w14:textId="77777777" w:rsidR="00784701" w:rsidRDefault="00ED1A28">
            <w:pPr>
              <w:jc w:val="center"/>
              <w:rPr>
                <w:rFonts w:hint="eastAsia"/>
              </w:rPr>
            </w:pPr>
            <w:r>
              <w:rPr>
                <w:sz w:val="17"/>
              </w:rPr>
              <w:t>Target System</w:t>
            </w:r>
          </w:p>
        </w:tc>
        <w:tc>
          <w:tcPr>
            <w:tcW w:w="6984" w:type="dxa"/>
            <w:tcMar>
              <w:top w:w="90" w:type="dxa"/>
              <w:left w:w="100" w:type="dxa"/>
              <w:bottom w:w="90" w:type="dxa"/>
              <w:right w:w="100" w:type="dxa"/>
            </w:tcMar>
            <w:vAlign w:val="center"/>
          </w:tcPr>
          <w:p w14:paraId="176B4738" w14:textId="77777777" w:rsidR="00784701" w:rsidRDefault="00784701">
            <w:pPr>
              <w:jc w:val="center"/>
              <w:rPr>
                <w:rFonts w:hint="eastAsia"/>
              </w:rPr>
            </w:pPr>
          </w:p>
        </w:tc>
      </w:tr>
      <w:tr w:rsidR="00784701" w14:paraId="112E79CC" w14:textId="77777777">
        <w:trPr>
          <w:jc w:val="center"/>
        </w:trPr>
        <w:tc>
          <w:tcPr>
            <w:tcW w:w="3384" w:type="dxa"/>
            <w:shd w:val="clear" w:color="auto" w:fill="F8FAFC"/>
            <w:tcMar>
              <w:top w:w="90" w:type="dxa"/>
              <w:left w:w="100" w:type="dxa"/>
              <w:bottom w:w="90" w:type="dxa"/>
              <w:right w:w="100" w:type="dxa"/>
            </w:tcMar>
            <w:vAlign w:val="center"/>
          </w:tcPr>
          <w:p w14:paraId="2754D0E1" w14:textId="77777777" w:rsidR="00784701" w:rsidRDefault="00ED1A28">
            <w:pPr>
              <w:jc w:val="center"/>
              <w:rPr>
                <w:rFonts w:hint="eastAsia"/>
              </w:rPr>
            </w:pPr>
            <w:r>
              <w:rPr>
                <w:sz w:val="17"/>
              </w:rPr>
              <w:t>Target Resource</w:t>
            </w:r>
          </w:p>
        </w:tc>
        <w:tc>
          <w:tcPr>
            <w:tcW w:w="6984" w:type="dxa"/>
            <w:shd w:val="clear" w:color="auto" w:fill="F8FAFC"/>
            <w:tcMar>
              <w:top w:w="90" w:type="dxa"/>
              <w:left w:w="100" w:type="dxa"/>
              <w:bottom w:w="90" w:type="dxa"/>
              <w:right w:w="100" w:type="dxa"/>
            </w:tcMar>
            <w:vAlign w:val="center"/>
          </w:tcPr>
          <w:p w14:paraId="7BDE1091" w14:textId="77777777" w:rsidR="00784701" w:rsidRDefault="00784701">
            <w:pPr>
              <w:jc w:val="center"/>
              <w:rPr>
                <w:rFonts w:hint="eastAsia"/>
              </w:rPr>
            </w:pPr>
          </w:p>
        </w:tc>
      </w:tr>
      <w:tr w:rsidR="00784701" w14:paraId="0A57B5A8" w14:textId="77777777">
        <w:trPr>
          <w:jc w:val="center"/>
        </w:trPr>
        <w:tc>
          <w:tcPr>
            <w:tcW w:w="3384" w:type="dxa"/>
            <w:tcMar>
              <w:top w:w="90" w:type="dxa"/>
              <w:left w:w="100" w:type="dxa"/>
              <w:bottom w:w="90" w:type="dxa"/>
              <w:right w:w="100" w:type="dxa"/>
            </w:tcMar>
            <w:vAlign w:val="center"/>
          </w:tcPr>
          <w:p w14:paraId="3F0348F9" w14:textId="77777777" w:rsidR="00784701" w:rsidRDefault="00ED1A28">
            <w:pPr>
              <w:jc w:val="center"/>
              <w:rPr>
                <w:rFonts w:hint="eastAsia"/>
              </w:rPr>
            </w:pPr>
            <w:r>
              <w:rPr>
                <w:sz w:val="17"/>
              </w:rPr>
              <w:t>Action</w:t>
            </w:r>
          </w:p>
        </w:tc>
        <w:tc>
          <w:tcPr>
            <w:tcW w:w="6984" w:type="dxa"/>
            <w:tcMar>
              <w:top w:w="90" w:type="dxa"/>
              <w:left w:w="100" w:type="dxa"/>
              <w:bottom w:w="90" w:type="dxa"/>
              <w:right w:w="100" w:type="dxa"/>
            </w:tcMar>
            <w:vAlign w:val="center"/>
          </w:tcPr>
          <w:p w14:paraId="7C134555" w14:textId="77777777" w:rsidR="00784701" w:rsidRDefault="00784701">
            <w:pPr>
              <w:jc w:val="center"/>
              <w:rPr>
                <w:rFonts w:hint="eastAsia"/>
              </w:rPr>
            </w:pPr>
          </w:p>
        </w:tc>
      </w:tr>
      <w:tr w:rsidR="00784701" w14:paraId="354BF1CD" w14:textId="77777777">
        <w:trPr>
          <w:jc w:val="center"/>
        </w:trPr>
        <w:tc>
          <w:tcPr>
            <w:tcW w:w="3384" w:type="dxa"/>
            <w:shd w:val="clear" w:color="auto" w:fill="F8FAFC"/>
            <w:tcMar>
              <w:top w:w="90" w:type="dxa"/>
              <w:left w:w="100" w:type="dxa"/>
              <w:bottom w:w="90" w:type="dxa"/>
              <w:right w:w="100" w:type="dxa"/>
            </w:tcMar>
            <w:vAlign w:val="center"/>
          </w:tcPr>
          <w:p w14:paraId="61E0B789" w14:textId="77777777" w:rsidR="00784701" w:rsidRDefault="00ED1A28">
            <w:pPr>
              <w:rPr>
                <w:rFonts w:hint="eastAsia"/>
              </w:rPr>
            </w:pPr>
            <w:r>
              <w:rPr>
                <w:sz w:val="17"/>
              </w:rPr>
              <w:t>Rules / Permissions</w:t>
            </w:r>
          </w:p>
        </w:tc>
        <w:tc>
          <w:tcPr>
            <w:tcW w:w="6984" w:type="dxa"/>
            <w:shd w:val="clear" w:color="auto" w:fill="F8FAFC"/>
            <w:tcMar>
              <w:top w:w="90" w:type="dxa"/>
              <w:left w:w="100" w:type="dxa"/>
              <w:bottom w:w="90" w:type="dxa"/>
              <w:right w:w="100" w:type="dxa"/>
            </w:tcMar>
            <w:vAlign w:val="center"/>
          </w:tcPr>
          <w:p w14:paraId="04EDE3E1" w14:textId="77777777" w:rsidR="00784701" w:rsidRDefault="00784701">
            <w:pPr>
              <w:jc w:val="center"/>
              <w:rPr>
                <w:rFonts w:hint="eastAsia"/>
              </w:rPr>
            </w:pPr>
          </w:p>
        </w:tc>
      </w:tr>
      <w:tr w:rsidR="00784701" w14:paraId="5EB9C8D9" w14:textId="77777777">
        <w:trPr>
          <w:jc w:val="center"/>
        </w:trPr>
        <w:tc>
          <w:tcPr>
            <w:tcW w:w="3384" w:type="dxa"/>
            <w:tcMar>
              <w:top w:w="90" w:type="dxa"/>
              <w:left w:w="100" w:type="dxa"/>
              <w:bottom w:w="90" w:type="dxa"/>
              <w:right w:w="100" w:type="dxa"/>
            </w:tcMar>
            <w:vAlign w:val="center"/>
          </w:tcPr>
          <w:p w14:paraId="3D880EC1" w14:textId="77777777" w:rsidR="00784701" w:rsidRDefault="00ED1A28">
            <w:pPr>
              <w:jc w:val="center"/>
              <w:rPr>
                <w:rFonts w:hint="eastAsia"/>
              </w:rPr>
            </w:pPr>
            <w:r>
              <w:rPr>
                <w:sz w:val="17"/>
              </w:rPr>
              <w:t>Causal Policy</w:t>
            </w:r>
          </w:p>
        </w:tc>
        <w:tc>
          <w:tcPr>
            <w:tcW w:w="6984" w:type="dxa"/>
            <w:tcMar>
              <w:top w:w="90" w:type="dxa"/>
              <w:left w:w="100" w:type="dxa"/>
              <w:bottom w:w="90" w:type="dxa"/>
              <w:right w:w="100" w:type="dxa"/>
            </w:tcMar>
            <w:vAlign w:val="center"/>
          </w:tcPr>
          <w:p w14:paraId="27AACE51" w14:textId="77777777" w:rsidR="00784701" w:rsidRDefault="00784701">
            <w:pPr>
              <w:jc w:val="center"/>
              <w:rPr>
                <w:rFonts w:hint="eastAsia"/>
              </w:rPr>
            </w:pPr>
          </w:p>
        </w:tc>
      </w:tr>
      <w:tr w:rsidR="00784701" w14:paraId="6377EFBE" w14:textId="77777777">
        <w:trPr>
          <w:jc w:val="center"/>
        </w:trPr>
        <w:tc>
          <w:tcPr>
            <w:tcW w:w="3384" w:type="dxa"/>
            <w:shd w:val="clear" w:color="auto" w:fill="F8FAFC"/>
            <w:tcMar>
              <w:top w:w="90" w:type="dxa"/>
              <w:left w:w="100" w:type="dxa"/>
              <w:bottom w:w="90" w:type="dxa"/>
              <w:right w:w="100" w:type="dxa"/>
            </w:tcMar>
            <w:vAlign w:val="center"/>
          </w:tcPr>
          <w:p w14:paraId="185B1B5B" w14:textId="77777777" w:rsidR="00784701" w:rsidRDefault="00ED1A28">
            <w:pPr>
              <w:rPr>
                <w:rFonts w:hint="eastAsia"/>
              </w:rPr>
            </w:pPr>
            <w:r>
              <w:rPr>
                <w:sz w:val="17"/>
              </w:rPr>
              <w:t>Resolution Fallback Policy</w:t>
            </w:r>
          </w:p>
        </w:tc>
        <w:tc>
          <w:tcPr>
            <w:tcW w:w="6984" w:type="dxa"/>
            <w:shd w:val="clear" w:color="auto" w:fill="F8FAFC"/>
            <w:tcMar>
              <w:top w:w="90" w:type="dxa"/>
              <w:left w:w="100" w:type="dxa"/>
              <w:bottom w:w="90" w:type="dxa"/>
              <w:right w:w="100" w:type="dxa"/>
            </w:tcMar>
            <w:vAlign w:val="center"/>
          </w:tcPr>
          <w:p w14:paraId="7A352276" w14:textId="77777777" w:rsidR="00784701" w:rsidRDefault="00784701">
            <w:pPr>
              <w:jc w:val="center"/>
              <w:rPr>
                <w:rFonts w:hint="eastAsia"/>
              </w:rPr>
            </w:pPr>
          </w:p>
        </w:tc>
      </w:tr>
    </w:tbl>
    <w:p w14:paraId="0B353500" w14:textId="77777777" w:rsidR="00784701" w:rsidRDefault="00784701">
      <w:pPr>
        <w:spacing w:after="40"/>
        <w:rPr>
          <w:rFonts w:hint="eastAsia"/>
        </w:rPr>
      </w:pPr>
    </w:p>
    <w:p w14:paraId="133F06D6" w14:textId="77777777" w:rsidR="00784701" w:rsidRDefault="00ED1A28">
      <w:pPr>
        <w:pStyle w:val="Heading2"/>
        <w:spacing w:before="160" w:after="100"/>
      </w:pPr>
      <w:r>
        <w:t>B.4 Reader Capability Template</w:t>
      </w:r>
    </w:p>
    <w:tbl>
      <w:tblPr>
        <w:tblStyle w:val="TableGrid"/>
        <w:tblW w:w="0" w:type="auto"/>
        <w:jc w:val="center"/>
        <w:tblLayout w:type="fixed"/>
        <w:tblLook w:val="04A0" w:firstRow="1" w:lastRow="0" w:firstColumn="1" w:lastColumn="0" w:noHBand="0" w:noVBand="1"/>
      </w:tblPr>
      <w:tblGrid>
        <w:gridCol w:w="3384"/>
        <w:gridCol w:w="6984"/>
      </w:tblGrid>
      <w:tr w:rsidR="00784701" w14:paraId="45FE13A9" w14:textId="77777777">
        <w:trPr>
          <w:tblHeader/>
          <w:jc w:val="center"/>
        </w:trPr>
        <w:tc>
          <w:tcPr>
            <w:tcW w:w="3384" w:type="dxa"/>
            <w:shd w:val="clear" w:color="auto" w:fill="17365D"/>
            <w:tcMar>
              <w:top w:w="90" w:type="dxa"/>
              <w:left w:w="100" w:type="dxa"/>
              <w:bottom w:w="90" w:type="dxa"/>
              <w:right w:w="100" w:type="dxa"/>
            </w:tcMar>
            <w:vAlign w:val="center"/>
          </w:tcPr>
          <w:p w14:paraId="73F5FE4E" w14:textId="77777777" w:rsidR="00784701" w:rsidRDefault="00ED1A28">
            <w:pPr>
              <w:jc w:val="center"/>
              <w:rPr>
                <w:rFonts w:hint="eastAsia"/>
              </w:rPr>
            </w:pPr>
            <w:r>
              <w:rPr>
                <w:b/>
                <w:color w:val="FFFFFF"/>
                <w:sz w:val="18"/>
              </w:rPr>
              <w:t>Field</w:t>
            </w:r>
          </w:p>
        </w:tc>
        <w:tc>
          <w:tcPr>
            <w:tcW w:w="6984" w:type="dxa"/>
            <w:shd w:val="clear" w:color="auto" w:fill="17365D"/>
            <w:tcMar>
              <w:top w:w="90" w:type="dxa"/>
              <w:left w:w="100" w:type="dxa"/>
              <w:bottom w:w="90" w:type="dxa"/>
              <w:right w:w="100" w:type="dxa"/>
            </w:tcMar>
            <w:vAlign w:val="center"/>
          </w:tcPr>
          <w:p w14:paraId="3F29E9E0" w14:textId="77777777" w:rsidR="00784701" w:rsidRDefault="00ED1A28">
            <w:pPr>
              <w:jc w:val="center"/>
              <w:rPr>
                <w:rFonts w:hint="eastAsia"/>
              </w:rPr>
            </w:pPr>
            <w:r>
              <w:rPr>
                <w:b/>
                <w:color w:val="FFFFFF"/>
                <w:sz w:val="18"/>
              </w:rPr>
              <w:t>Specification</w:t>
            </w:r>
          </w:p>
        </w:tc>
      </w:tr>
      <w:tr w:rsidR="00784701" w14:paraId="39D9EE01" w14:textId="77777777">
        <w:trPr>
          <w:jc w:val="center"/>
        </w:trPr>
        <w:tc>
          <w:tcPr>
            <w:tcW w:w="3384" w:type="dxa"/>
            <w:tcMar>
              <w:top w:w="90" w:type="dxa"/>
              <w:left w:w="100" w:type="dxa"/>
              <w:bottom w:w="90" w:type="dxa"/>
              <w:right w:w="100" w:type="dxa"/>
            </w:tcMar>
            <w:vAlign w:val="center"/>
          </w:tcPr>
          <w:p w14:paraId="3F4519B4" w14:textId="77777777" w:rsidR="00784701" w:rsidRDefault="00ED1A28">
            <w:pPr>
              <w:jc w:val="center"/>
              <w:rPr>
                <w:rFonts w:hint="eastAsia"/>
              </w:rPr>
            </w:pPr>
            <w:r>
              <w:rPr>
                <w:sz w:val="17"/>
              </w:rPr>
              <w:t>Reader ID</w:t>
            </w:r>
          </w:p>
        </w:tc>
        <w:tc>
          <w:tcPr>
            <w:tcW w:w="6984" w:type="dxa"/>
            <w:tcMar>
              <w:top w:w="90" w:type="dxa"/>
              <w:left w:w="100" w:type="dxa"/>
              <w:bottom w:w="90" w:type="dxa"/>
              <w:right w:w="100" w:type="dxa"/>
            </w:tcMar>
            <w:vAlign w:val="center"/>
          </w:tcPr>
          <w:p w14:paraId="58F7EA07" w14:textId="77777777" w:rsidR="00784701" w:rsidRDefault="00784701">
            <w:pPr>
              <w:jc w:val="center"/>
              <w:rPr>
                <w:rFonts w:hint="eastAsia"/>
              </w:rPr>
            </w:pPr>
          </w:p>
        </w:tc>
      </w:tr>
      <w:tr w:rsidR="00784701" w14:paraId="4D1CD4B9" w14:textId="77777777">
        <w:trPr>
          <w:jc w:val="center"/>
        </w:trPr>
        <w:tc>
          <w:tcPr>
            <w:tcW w:w="3384" w:type="dxa"/>
            <w:shd w:val="clear" w:color="auto" w:fill="F8FAFC"/>
            <w:tcMar>
              <w:top w:w="90" w:type="dxa"/>
              <w:left w:w="100" w:type="dxa"/>
              <w:bottom w:w="90" w:type="dxa"/>
              <w:right w:w="100" w:type="dxa"/>
            </w:tcMar>
            <w:vAlign w:val="center"/>
          </w:tcPr>
          <w:p w14:paraId="788C5F92" w14:textId="77777777" w:rsidR="00784701" w:rsidRDefault="00ED1A28">
            <w:pPr>
              <w:jc w:val="center"/>
              <w:rPr>
                <w:rFonts w:hint="eastAsia"/>
              </w:rPr>
            </w:pPr>
            <w:r>
              <w:rPr>
                <w:sz w:val="17"/>
              </w:rPr>
              <w:t>Supported Families</w:t>
            </w:r>
          </w:p>
        </w:tc>
        <w:tc>
          <w:tcPr>
            <w:tcW w:w="6984" w:type="dxa"/>
            <w:shd w:val="clear" w:color="auto" w:fill="F8FAFC"/>
            <w:tcMar>
              <w:top w:w="90" w:type="dxa"/>
              <w:left w:w="100" w:type="dxa"/>
              <w:bottom w:w="90" w:type="dxa"/>
              <w:right w:w="100" w:type="dxa"/>
            </w:tcMar>
            <w:vAlign w:val="center"/>
          </w:tcPr>
          <w:p w14:paraId="3C3B619F" w14:textId="77777777" w:rsidR="00784701" w:rsidRDefault="00784701">
            <w:pPr>
              <w:jc w:val="center"/>
              <w:rPr>
                <w:rFonts w:hint="eastAsia"/>
              </w:rPr>
            </w:pPr>
          </w:p>
        </w:tc>
      </w:tr>
      <w:tr w:rsidR="00784701" w14:paraId="40E8A567" w14:textId="77777777">
        <w:trPr>
          <w:jc w:val="center"/>
        </w:trPr>
        <w:tc>
          <w:tcPr>
            <w:tcW w:w="3384" w:type="dxa"/>
            <w:tcMar>
              <w:top w:w="90" w:type="dxa"/>
              <w:left w:w="100" w:type="dxa"/>
              <w:bottom w:w="90" w:type="dxa"/>
              <w:right w:w="100" w:type="dxa"/>
            </w:tcMar>
            <w:vAlign w:val="center"/>
          </w:tcPr>
          <w:p w14:paraId="66198D61" w14:textId="77777777" w:rsidR="00784701" w:rsidRDefault="00ED1A28">
            <w:pPr>
              <w:jc w:val="center"/>
              <w:rPr>
                <w:rFonts w:hint="eastAsia"/>
              </w:rPr>
            </w:pPr>
            <w:r>
              <w:rPr>
                <w:sz w:val="17"/>
              </w:rPr>
              <w:t>Supported Versions</w:t>
            </w:r>
          </w:p>
        </w:tc>
        <w:tc>
          <w:tcPr>
            <w:tcW w:w="6984" w:type="dxa"/>
            <w:tcMar>
              <w:top w:w="90" w:type="dxa"/>
              <w:left w:w="100" w:type="dxa"/>
              <w:bottom w:w="90" w:type="dxa"/>
              <w:right w:w="100" w:type="dxa"/>
            </w:tcMar>
            <w:vAlign w:val="center"/>
          </w:tcPr>
          <w:p w14:paraId="7D51A9B6" w14:textId="77777777" w:rsidR="00784701" w:rsidRDefault="00784701">
            <w:pPr>
              <w:jc w:val="center"/>
              <w:rPr>
                <w:rFonts w:hint="eastAsia"/>
              </w:rPr>
            </w:pPr>
          </w:p>
        </w:tc>
      </w:tr>
      <w:tr w:rsidR="00784701" w14:paraId="6899E42E" w14:textId="77777777">
        <w:trPr>
          <w:jc w:val="center"/>
        </w:trPr>
        <w:tc>
          <w:tcPr>
            <w:tcW w:w="3384" w:type="dxa"/>
            <w:shd w:val="clear" w:color="auto" w:fill="F8FAFC"/>
            <w:tcMar>
              <w:top w:w="90" w:type="dxa"/>
              <w:left w:w="100" w:type="dxa"/>
              <w:bottom w:w="90" w:type="dxa"/>
              <w:right w:w="100" w:type="dxa"/>
            </w:tcMar>
            <w:vAlign w:val="center"/>
          </w:tcPr>
          <w:p w14:paraId="381E24AE" w14:textId="77777777" w:rsidR="00784701" w:rsidRDefault="00ED1A28">
            <w:pPr>
              <w:rPr>
                <w:rFonts w:hint="eastAsia"/>
              </w:rPr>
            </w:pPr>
            <w:r>
              <w:rPr>
                <w:sz w:val="17"/>
              </w:rPr>
              <w:t>Maximum Resolution by Family</w:t>
            </w:r>
          </w:p>
        </w:tc>
        <w:tc>
          <w:tcPr>
            <w:tcW w:w="6984" w:type="dxa"/>
            <w:shd w:val="clear" w:color="auto" w:fill="F8FAFC"/>
            <w:tcMar>
              <w:top w:w="90" w:type="dxa"/>
              <w:left w:w="100" w:type="dxa"/>
              <w:bottom w:w="90" w:type="dxa"/>
              <w:right w:w="100" w:type="dxa"/>
            </w:tcMar>
            <w:vAlign w:val="center"/>
          </w:tcPr>
          <w:p w14:paraId="7771ECE4" w14:textId="77777777" w:rsidR="00784701" w:rsidRDefault="00784701">
            <w:pPr>
              <w:jc w:val="center"/>
              <w:rPr>
                <w:rFonts w:hint="eastAsia"/>
              </w:rPr>
            </w:pPr>
          </w:p>
        </w:tc>
      </w:tr>
      <w:tr w:rsidR="00784701" w14:paraId="5A3780F1" w14:textId="77777777">
        <w:trPr>
          <w:jc w:val="center"/>
        </w:trPr>
        <w:tc>
          <w:tcPr>
            <w:tcW w:w="3384" w:type="dxa"/>
            <w:tcMar>
              <w:top w:w="90" w:type="dxa"/>
              <w:left w:w="100" w:type="dxa"/>
              <w:bottom w:w="90" w:type="dxa"/>
              <w:right w:w="100" w:type="dxa"/>
            </w:tcMar>
            <w:vAlign w:val="center"/>
          </w:tcPr>
          <w:p w14:paraId="72D3B491" w14:textId="77777777" w:rsidR="00784701" w:rsidRDefault="00ED1A28">
            <w:pPr>
              <w:jc w:val="center"/>
              <w:rPr>
                <w:rFonts w:hint="eastAsia"/>
              </w:rPr>
            </w:pPr>
            <w:r>
              <w:rPr>
                <w:sz w:val="17"/>
              </w:rPr>
              <w:t>Allowed Mutations</w:t>
            </w:r>
          </w:p>
        </w:tc>
        <w:tc>
          <w:tcPr>
            <w:tcW w:w="6984" w:type="dxa"/>
            <w:tcMar>
              <w:top w:w="90" w:type="dxa"/>
              <w:left w:w="100" w:type="dxa"/>
              <w:bottom w:w="90" w:type="dxa"/>
              <w:right w:w="100" w:type="dxa"/>
            </w:tcMar>
            <w:vAlign w:val="center"/>
          </w:tcPr>
          <w:p w14:paraId="3EC3022E" w14:textId="77777777" w:rsidR="00784701" w:rsidRDefault="00784701">
            <w:pPr>
              <w:jc w:val="center"/>
              <w:rPr>
                <w:rFonts w:hint="eastAsia"/>
              </w:rPr>
            </w:pPr>
          </w:p>
        </w:tc>
      </w:tr>
      <w:tr w:rsidR="00784701" w14:paraId="590AD510" w14:textId="77777777">
        <w:trPr>
          <w:jc w:val="center"/>
        </w:trPr>
        <w:tc>
          <w:tcPr>
            <w:tcW w:w="3384" w:type="dxa"/>
            <w:shd w:val="clear" w:color="auto" w:fill="F8FAFC"/>
            <w:tcMar>
              <w:top w:w="90" w:type="dxa"/>
              <w:left w:w="100" w:type="dxa"/>
              <w:bottom w:w="90" w:type="dxa"/>
              <w:right w:w="100" w:type="dxa"/>
            </w:tcMar>
            <w:vAlign w:val="center"/>
          </w:tcPr>
          <w:p w14:paraId="1E5A7C6A" w14:textId="77777777" w:rsidR="00784701" w:rsidRDefault="00ED1A28">
            <w:pPr>
              <w:jc w:val="center"/>
              <w:rPr>
                <w:rFonts w:hint="eastAsia"/>
              </w:rPr>
            </w:pPr>
            <w:r>
              <w:rPr>
                <w:sz w:val="17"/>
              </w:rPr>
              <w:t>Opaque Tail Policy</w:t>
            </w:r>
          </w:p>
        </w:tc>
        <w:tc>
          <w:tcPr>
            <w:tcW w:w="6984" w:type="dxa"/>
            <w:shd w:val="clear" w:color="auto" w:fill="F8FAFC"/>
            <w:tcMar>
              <w:top w:w="90" w:type="dxa"/>
              <w:left w:w="100" w:type="dxa"/>
              <w:bottom w:w="90" w:type="dxa"/>
              <w:right w:w="100" w:type="dxa"/>
            </w:tcMar>
            <w:vAlign w:val="center"/>
          </w:tcPr>
          <w:p w14:paraId="1063A057" w14:textId="77777777" w:rsidR="00784701" w:rsidRDefault="00784701">
            <w:pPr>
              <w:jc w:val="center"/>
              <w:rPr>
                <w:rFonts w:hint="eastAsia"/>
              </w:rPr>
            </w:pPr>
          </w:p>
        </w:tc>
      </w:tr>
      <w:tr w:rsidR="00784701" w14:paraId="63856F50" w14:textId="77777777">
        <w:trPr>
          <w:jc w:val="center"/>
        </w:trPr>
        <w:tc>
          <w:tcPr>
            <w:tcW w:w="3384" w:type="dxa"/>
            <w:tcMar>
              <w:top w:w="90" w:type="dxa"/>
              <w:left w:w="100" w:type="dxa"/>
              <w:bottom w:w="90" w:type="dxa"/>
              <w:right w:w="100" w:type="dxa"/>
            </w:tcMar>
            <w:vAlign w:val="center"/>
          </w:tcPr>
          <w:p w14:paraId="0F9CAE24" w14:textId="77777777" w:rsidR="00784701" w:rsidRDefault="00ED1A28">
            <w:pPr>
              <w:rPr>
                <w:rFonts w:hint="eastAsia"/>
              </w:rPr>
            </w:pPr>
            <w:r>
              <w:rPr>
                <w:sz w:val="17"/>
              </w:rPr>
              <w:t>Bitlink Resolution Scope</w:t>
            </w:r>
          </w:p>
        </w:tc>
        <w:tc>
          <w:tcPr>
            <w:tcW w:w="6984" w:type="dxa"/>
            <w:tcMar>
              <w:top w:w="90" w:type="dxa"/>
              <w:left w:w="100" w:type="dxa"/>
              <w:bottom w:w="90" w:type="dxa"/>
              <w:right w:w="100" w:type="dxa"/>
            </w:tcMar>
            <w:vAlign w:val="center"/>
          </w:tcPr>
          <w:p w14:paraId="08D16111" w14:textId="77777777" w:rsidR="00784701" w:rsidRDefault="00784701">
            <w:pPr>
              <w:jc w:val="center"/>
              <w:rPr>
                <w:rFonts w:hint="eastAsia"/>
              </w:rPr>
            </w:pPr>
          </w:p>
        </w:tc>
      </w:tr>
      <w:tr w:rsidR="00784701" w14:paraId="57C05EC5" w14:textId="77777777">
        <w:trPr>
          <w:jc w:val="center"/>
        </w:trPr>
        <w:tc>
          <w:tcPr>
            <w:tcW w:w="3384" w:type="dxa"/>
            <w:shd w:val="clear" w:color="auto" w:fill="F8FAFC"/>
            <w:tcMar>
              <w:top w:w="90" w:type="dxa"/>
              <w:left w:w="100" w:type="dxa"/>
              <w:bottom w:w="90" w:type="dxa"/>
              <w:right w:w="100" w:type="dxa"/>
            </w:tcMar>
            <w:vAlign w:val="center"/>
          </w:tcPr>
          <w:p w14:paraId="110C3B5D" w14:textId="77777777" w:rsidR="00784701" w:rsidRDefault="00ED1A28">
            <w:pPr>
              <w:jc w:val="center"/>
              <w:rPr>
                <w:rFonts w:hint="eastAsia"/>
              </w:rPr>
            </w:pPr>
            <w:r>
              <w:rPr>
                <w:sz w:val="17"/>
              </w:rPr>
              <w:t>Fail-Closed Policy</w:t>
            </w:r>
          </w:p>
        </w:tc>
        <w:tc>
          <w:tcPr>
            <w:tcW w:w="6984" w:type="dxa"/>
            <w:shd w:val="clear" w:color="auto" w:fill="F8FAFC"/>
            <w:tcMar>
              <w:top w:w="90" w:type="dxa"/>
              <w:left w:w="100" w:type="dxa"/>
              <w:bottom w:w="90" w:type="dxa"/>
              <w:right w:w="100" w:type="dxa"/>
            </w:tcMar>
            <w:vAlign w:val="center"/>
          </w:tcPr>
          <w:p w14:paraId="1D4E1676" w14:textId="77777777" w:rsidR="00784701" w:rsidRDefault="00784701">
            <w:pPr>
              <w:jc w:val="center"/>
              <w:rPr>
                <w:rFonts w:hint="eastAsia"/>
              </w:rPr>
            </w:pPr>
          </w:p>
        </w:tc>
      </w:tr>
    </w:tbl>
    <w:p w14:paraId="0A00845C" w14:textId="77777777" w:rsidR="00784701" w:rsidRDefault="00784701">
      <w:pPr>
        <w:spacing w:after="40"/>
        <w:rPr>
          <w:rFonts w:hint="eastAsia"/>
        </w:rPr>
      </w:pPr>
    </w:p>
    <w:p w14:paraId="50E27A43" w14:textId="77777777" w:rsidR="00784701" w:rsidRDefault="00ED1A28">
      <w:pPr>
        <w:pStyle w:val="Heading1"/>
        <w:spacing w:before="240" w:after="100"/>
      </w:pPr>
      <w:r>
        <w:t>Glossary</w:t>
      </w:r>
    </w:p>
    <w:tbl>
      <w:tblPr>
        <w:tblStyle w:val="TableGrid"/>
        <w:tblW w:w="0" w:type="auto"/>
        <w:jc w:val="center"/>
        <w:tblLayout w:type="fixed"/>
        <w:tblLook w:val="04A0" w:firstRow="1" w:lastRow="0" w:firstColumn="1" w:lastColumn="0" w:noHBand="0" w:noVBand="1"/>
      </w:tblPr>
      <w:tblGrid>
        <w:gridCol w:w="2880"/>
        <w:gridCol w:w="7488"/>
      </w:tblGrid>
      <w:tr w:rsidR="00784701" w14:paraId="44A24970" w14:textId="77777777">
        <w:trPr>
          <w:tblHeader/>
          <w:jc w:val="center"/>
        </w:trPr>
        <w:tc>
          <w:tcPr>
            <w:tcW w:w="2880" w:type="dxa"/>
            <w:shd w:val="clear" w:color="auto" w:fill="17365D"/>
            <w:tcMar>
              <w:top w:w="90" w:type="dxa"/>
              <w:left w:w="100" w:type="dxa"/>
              <w:bottom w:w="90" w:type="dxa"/>
              <w:right w:w="100" w:type="dxa"/>
            </w:tcMar>
            <w:vAlign w:val="center"/>
          </w:tcPr>
          <w:p w14:paraId="1B794910" w14:textId="77777777" w:rsidR="00784701" w:rsidRDefault="00ED1A28">
            <w:pPr>
              <w:jc w:val="center"/>
              <w:rPr>
                <w:rFonts w:hint="eastAsia"/>
              </w:rPr>
            </w:pPr>
            <w:r>
              <w:rPr>
                <w:b/>
                <w:color w:val="FFFFFF"/>
                <w:sz w:val="18"/>
              </w:rPr>
              <w:t>Term</w:t>
            </w:r>
          </w:p>
        </w:tc>
        <w:tc>
          <w:tcPr>
            <w:tcW w:w="7488" w:type="dxa"/>
            <w:shd w:val="clear" w:color="auto" w:fill="17365D"/>
            <w:tcMar>
              <w:top w:w="90" w:type="dxa"/>
              <w:left w:w="100" w:type="dxa"/>
              <w:bottom w:w="90" w:type="dxa"/>
              <w:right w:w="100" w:type="dxa"/>
            </w:tcMar>
            <w:vAlign w:val="center"/>
          </w:tcPr>
          <w:p w14:paraId="16F4B3CC" w14:textId="77777777" w:rsidR="00784701" w:rsidRDefault="00ED1A28">
            <w:pPr>
              <w:jc w:val="center"/>
              <w:rPr>
                <w:rFonts w:hint="eastAsia"/>
              </w:rPr>
            </w:pPr>
            <w:r>
              <w:rPr>
                <w:b/>
                <w:color w:val="FFFFFF"/>
                <w:sz w:val="18"/>
              </w:rPr>
              <w:t>Definition</w:t>
            </w:r>
          </w:p>
        </w:tc>
      </w:tr>
      <w:tr w:rsidR="00784701" w14:paraId="164AC204" w14:textId="77777777">
        <w:trPr>
          <w:jc w:val="center"/>
        </w:trPr>
        <w:tc>
          <w:tcPr>
            <w:tcW w:w="2880" w:type="dxa"/>
            <w:tcMar>
              <w:top w:w="90" w:type="dxa"/>
              <w:left w:w="100" w:type="dxa"/>
              <w:bottom w:w="90" w:type="dxa"/>
              <w:right w:w="100" w:type="dxa"/>
            </w:tcMar>
            <w:vAlign w:val="center"/>
          </w:tcPr>
          <w:p w14:paraId="20E82D99" w14:textId="77777777" w:rsidR="00784701" w:rsidRDefault="00ED1A28">
            <w:pPr>
              <w:rPr>
                <w:rFonts w:hint="eastAsia"/>
              </w:rPr>
            </w:pPr>
            <w:r>
              <w:rPr>
                <w:sz w:val="17"/>
              </w:rPr>
              <w:t>Append-Only Expansion</w:t>
            </w:r>
          </w:p>
        </w:tc>
        <w:tc>
          <w:tcPr>
            <w:tcW w:w="7488" w:type="dxa"/>
            <w:tcMar>
              <w:top w:w="90" w:type="dxa"/>
              <w:left w:w="100" w:type="dxa"/>
              <w:bottom w:w="90" w:type="dxa"/>
              <w:right w:w="100" w:type="dxa"/>
            </w:tcMar>
            <w:vAlign w:val="center"/>
          </w:tcPr>
          <w:p w14:paraId="062A0D3E" w14:textId="77777777" w:rsidR="00784701" w:rsidRDefault="00ED1A28">
            <w:pPr>
              <w:rPr>
                <w:rFonts w:hint="eastAsia"/>
              </w:rPr>
            </w:pPr>
            <w:r>
              <w:rPr>
                <w:sz w:val="17"/>
              </w:rPr>
              <w:t>Introduction of new semantic addresses after the end of an inherited prefix without moving or reinterpreting prior addresses.</w:t>
            </w:r>
          </w:p>
        </w:tc>
      </w:tr>
      <w:tr w:rsidR="00784701" w14:paraId="5E6CDC68" w14:textId="77777777">
        <w:trPr>
          <w:jc w:val="center"/>
        </w:trPr>
        <w:tc>
          <w:tcPr>
            <w:tcW w:w="2880" w:type="dxa"/>
            <w:shd w:val="clear" w:color="auto" w:fill="F8FAFC"/>
            <w:tcMar>
              <w:top w:w="90" w:type="dxa"/>
              <w:left w:w="100" w:type="dxa"/>
              <w:bottom w:w="90" w:type="dxa"/>
              <w:right w:w="100" w:type="dxa"/>
            </w:tcMar>
            <w:vAlign w:val="center"/>
          </w:tcPr>
          <w:p w14:paraId="4D01D9A9" w14:textId="77777777" w:rsidR="00784701" w:rsidRDefault="00ED1A28">
            <w:pPr>
              <w:jc w:val="center"/>
              <w:rPr>
                <w:rFonts w:hint="eastAsia"/>
              </w:rPr>
            </w:pPr>
            <w:r>
              <w:rPr>
                <w:sz w:val="17"/>
              </w:rPr>
              <w:t>Bit Group</w:t>
            </w:r>
          </w:p>
        </w:tc>
        <w:tc>
          <w:tcPr>
            <w:tcW w:w="7488" w:type="dxa"/>
            <w:shd w:val="clear" w:color="auto" w:fill="F8FAFC"/>
            <w:tcMar>
              <w:top w:w="90" w:type="dxa"/>
              <w:left w:w="100" w:type="dxa"/>
              <w:bottom w:w="90" w:type="dxa"/>
              <w:right w:w="100" w:type="dxa"/>
            </w:tcMar>
            <w:vAlign w:val="center"/>
          </w:tcPr>
          <w:p w14:paraId="5B0809CD" w14:textId="77777777" w:rsidR="00784701" w:rsidRDefault="00ED1A28">
            <w:pPr>
              <w:rPr>
                <w:rFonts w:hint="eastAsia"/>
              </w:rPr>
            </w:pPr>
            <w:r>
              <w:rPr>
                <w:sz w:val="17"/>
              </w:rPr>
              <w:t>A named bit set or bitfield governed by shared semantics such as exclusivity, ordering, masking, or scalar encoding.</w:t>
            </w:r>
          </w:p>
        </w:tc>
      </w:tr>
      <w:tr w:rsidR="00784701" w14:paraId="4DB93DF3" w14:textId="77777777">
        <w:trPr>
          <w:jc w:val="center"/>
        </w:trPr>
        <w:tc>
          <w:tcPr>
            <w:tcW w:w="2880" w:type="dxa"/>
            <w:tcMar>
              <w:top w:w="90" w:type="dxa"/>
              <w:left w:w="100" w:type="dxa"/>
              <w:bottom w:w="90" w:type="dxa"/>
              <w:right w:w="100" w:type="dxa"/>
            </w:tcMar>
            <w:vAlign w:val="center"/>
          </w:tcPr>
          <w:p w14:paraId="115060F1" w14:textId="77777777" w:rsidR="00784701" w:rsidRDefault="00ED1A28">
            <w:pPr>
              <w:jc w:val="center"/>
              <w:rPr>
                <w:rFonts w:hint="eastAsia"/>
              </w:rPr>
            </w:pPr>
            <w:r>
              <w:rPr>
                <w:sz w:val="17"/>
              </w:rPr>
              <w:t>Bitlink</w:t>
            </w:r>
          </w:p>
        </w:tc>
        <w:tc>
          <w:tcPr>
            <w:tcW w:w="7488" w:type="dxa"/>
            <w:tcMar>
              <w:top w:w="90" w:type="dxa"/>
              <w:left w:w="100" w:type="dxa"/>
              <w:bottom w:w="90" w:type="dxa"/>
              <w:right w:w="100" w:type="dxa"/>
            </w:tcMar>
            <w:vAlign w:val="center"/>
          </w:tcPr>
          <w:p w14:paraId="53A3CB40" w14:textId="77777777" w:rsidR="00784701" w:rsidRDefault="00ED1A28">
            <w:pPr>
              <w:rPr>
                <w:rFonts w:hint="eastAsia"/>
              </w:rPr>
            </w:pPr>
            <w:r>
              <w:rPr>
                <w:sz w:val="17"/>
              </w:rPr>
              <w:t>Declared connection from semantic state, state change, Operator event, Rule result, or semantic address to another consumer.</w:t>
            </w:r>
          </w:p>
        </w:tc>
      </w:tr>
      <w:tr w:rsidR="00784701" w14:paraId="21781990" w14:textId="77777777">
        <w:trPr>
          <w:jc w:val="center"/>
        </w:trPr>
        <w:tc>
          <w:tcPr>
            <w:tcW w:w="2880" w:type="dxa"/>
            <w:shd w:val="clear" w:color="auto" w:fill="F8FAFC"/>
            <w:tcMar>
              <w:top w:w="90" w:type="dxa"/>
              <w:left w:w="100" w:type="dxa"/>
              <w:bottom w:w="90" w:type="dxa"/>
              <w:right w:w="100" w:type="dxa"/>
            </w:tcMar>
            <w:vAlign w:val="center"/>
          </w:tcPr>
          <w:p w14:paraId="568A7C1A" w14:textId="77777777" w:rsidR="00784701" w:rsidRDefault="00ED1A28">
            <w:pPr>
              <w:rPr>
                <w:rFonts w:hint="eastAsia"/>
              </w:rPr>
            </w:pPr>
            <w:r>
              <w:rPr>
                <w:sz w:val="17"/>
              </w:rPr>
              <w:t>Compatibility Class</w:t>
            </w:r>
          </w:p>
        </w:tc>
        <w:tc>
          <w:tcPr>
            <w:tcW w:w="7488" w:type="dxa"/>
            <w:shd w:val="clear" w:color="auto" w:fill="F8FAFC"/>
            <w:tcMar>
              <w:top w:w="90" w:type="dxa"/>
              <w:left w:w="100" w:type="dxa"/>
              <w:bottom w:w="90" w:type="dxa"/>
              <w:right w:w="100" w:type="dxa"/>
            </w:tcMar>
            <w:vAlign w:val="center"/>
          </w:tcPr>
          <w:p w14:paraId="19C7CFB5" w14:textId="77777777" w:rsidR="00784701" w:rsidRDefault="00ED1A28">
            <w:pPr>
              <w:rPr>
                <w:rFonts w:hint="eastAsia"/>
              </w:rPr>
            </w:pPr>
            <w:r>
              <w:rPr>
                <w:sz w:val="17"/>
              </w:rPr>
              <w:t>Declared relationship describing whether two Kernel contracts are prefix-compatible, translated, forked, or incompatible.</w:t>
            </w:r>
          </w:p>
        </w:tc>
      </w:tr>
      <w:tr w:rsidR="00784701" w14:paraId="7BED4710" w14:textId="77777777">
        <w:trPr>
          <w:jc w:val="center"/>
        </w:trPr>
        <w:tc>
          <w:tcPr>
            <w:tcW w:w="2880" w:type="dxa"/>
            <w:tcMar>
              <w:top w:w="90" w:type="dxa"/>
              <w:left w:w="100" w:type="dxa"/>
              <w:bottom w:w="90" w:type="dxa"/>
              <w:right w:w="100" w:type="dxa"/>
            </w:tcMar>
            <w:vAlign w:val="center"/>
          </w:tcPr>
          <w:p w14:paraId="177975BE" w14:textId="77777777" w:rsidR="00784701" w:rsidRDefault="00ED1A28">
            <w:pPr>
              <w:jc w:val="center"/>
              <w:rPr>
                <w:rFonts w:hint="eastAsia"/>
              </w:rPr>
            </w:pPr>
            <w:r>
              <w:rPr>
                <w:sz w:val="17"/>
              </w:rPr>
              <w:t>Extension Segment</w:t>
            </w:r>
          </w:p>
        </w:tc>
        <w:tc>
          <w:tcPr>
            <w:tcW w:w="7488" w:type="dxa"/>
            <w:tcMar>
              <w:top w:w="90" w:type="dxa"/>
              <w:left w:w="100" w:type="dxa"/>
              <w:bottom w:w="90" w:type="dxa"/>
              <w:right w:w="100" w:type="dxa"/>
            </w:tcMar>
            <w:vAlign w:val="center"/>
          </w:tcPr>
          <w:p w14:paraId="29A6B7FE" w14:textId="77777777" w:rsidR="00784701" w:rsidRDefault="00ED1A28">
            <w:pPr>
              <w:rPr>
                <w:rFonts w:hint="eastAsia"/>
              </w:rPr>
            </w:pPr>
            <w:r>
              <w:rPr>
                <w:sz w:val="17"/>
              </w:rPr>
              <w:t>New bit range appended by a higher-resolution Kernel.</w:t>
            </w:r>
          </w:p>
        </w:tc>
      </w:tr>
      <w:tr w:rsidR="00784701" w14:paraId="412F1BBA" w14:textId="77777777">
        <w:trPr>
          <w:jc w:val="center"/>
        </w:trPr>
        <w:tc>
          <w:tcPr>
            <w:tcW w:w="2880" w:type="dxa"/>
            <w:shd w:val="clear" w:color="auto" w:fill="F8FAFC"/>
            <w:tcMar>
              <w:top w:w="90" w:type="dxa"/>
              <w:left w:w="100" w:type="dxa"/>
              <w:bottom w:w="90" w:type="dxa"/>
              <w:right w:w="100" w:type="dxa"/>
            </w:tcMar>
            <w:vAlign w:val="center"/>
          </w:tcPr>
          <w:p w14:paraId="58CC2F11" w14:textId="77777777" w:rsidR="00784701" w:rsidRDefault="00ED1A28">
            <w:pPr>
              <w:jc w:val="center"/>
              <w:rPr>
                <w:rFonts w:hint="eastAsia"/>
              </w:rPr>
            </w:pPr>
            <w:r>
              <w:rPr>
                <w:sz w:val="17"/>
              </w:rPr>
              <w:t>Kernel Family</w:t>
            </w:r>
          </w:p>
        </w:tc>
        <w:tc>
          <w:tcPr>
            <w:tcW w:w="7488" w:type="dxa"/>
            <w:shd w:val="clear" w:color="auto" w:fill="F8FAFC"/>
            <w:tcMar>
              <w:top w:w="90" w:type="dxa"/>
              <w:left w:w="100" w:type="dxa"/>
              <w:bottom w:w="90" w:type="dxa"/>
              <w:right w:w="100" w:type="dxa"/>
            </w:tcMar>
            <w:vAlign w:val="center"/>
          </w:tcPr>
          <w:p w14:paraId="2C367B90" w14:textId="77777777" w:rsidR="00784701" w:rsidRDefault="00ED1A28">
            <w:pPr>
              <w:rPr>
                <w:rFonts w:hint="eastAsia"/>
              </w:rPr>
            </w:pPr>
            <w:r>
              <w:rPr>
                <w:sz w:val="17"/>
              </w:rPr>
              <w:t>Lineage of related Semantic Kernels that may include multiple compatible resolutions, versions, or specialist descendants.</w:t>
            </w:r>
          </w:p>
        </w:tc>
      </w:tr>
      <w:tr w:rsidR="00784701" w14:paraId="075A5183" w14:textId="77777777">
        <w:trPr>
          <w:jc w:val="center"/>
        </w:trPr>
        <w:tc>
          <w:tcPr>
            <w:tcW w:w="2880" w:type="dxa"/>
            <w:tcMar>
              <w:top w:w="90" w:type="dxa"/>
              <w:left w:w="100" w:type="dxa"/>
              <w:bottom w:w="90" w:type="dxa"/>
              <w:right w:w="100" w:type="dxa"/>
            </w:tcMar>
            <w:vAlign w:val="center"/>
          </w:tcPr>
          <w:p w14:paraId="4747954C" w14:textId="77777777" w:rsidR="00784701" w:rsidRDefault="00ED1A28">
            <w:pPr>
              <w:rPr>
                <w:rFonts w:hint="eastAsia"/>
              </w:rPr>
            </w:pPr>
            <w:r>
              <w:rPr>
                <w:sz w:val="17"/>
              </w:rPr>
              <w:t>Knowledge Resolution</w:t>
            </w:r>
          </w:p>
        </w:tc>
        <w:tc>
          <w:tcPr>
            <w:tcW w:w="7488" w:type="dxa"/>
            <w:tcMar>
              <w:top w:w="90" w:type="dxa"/>
              <w:left w:w="100" w:type="dxa"/>
              <w:bottom w:w="90" w:type="dxa"/>
              <w:right w:w="100" w:type="dxa"/>
            </w:tcMar>
            <w:vAlign w:val="center"/>
          </w:tcPr>
          <w:p w14:paraId="20375F93" w14:textId="77777777" w:rsidR="00784701" w:rsidRDefault="00ED1A28">
            <w:pPr>
              <w:rPr>
                <w:rFonts w:hint="eastAsia"/>
              </w:rPr>
            </w:pPr>
            <w:r>
              <w:rPr>
                <w:sz w:val="17"/>
              </w:rPr>
              <w:t>Maximum semantic depth available to the system through its registered Kernels, Models, Rules, and relations.</w:t>
            </w:r>
          </w:p>
        </w:tc>
      </w:tr>
      <w:tr w:rsidR="00784701" w14:paraId="67D54E1E" w14:textId="77777777">
        <w:trPr>
          <w:jc w:val="center"/>
        </w:trPr>
        <w:tc>
          <w:tcPr>
            <w:tcW w:w="2880" w:type="dxa"/>
            <w:shd w:val="clear" w:color="auto" w:fill="F8FAFC"/>
            <w:tcMar>
              <w:top w:w="90" w:type="dxa"/>
              <w:left w:w="100" w:type="dxa"/>
              <w:bottom w:w="90" w:type="dxa"/>
              <w:right w:w="100" w:type="dxa"/>
            </w:tcMar>
            <w:vAlign w:val="center"/>
          </w:tcPr>
          <w:p w14:paraId="2EF5D087" w14:textId="77777777" w:rsidR="00784701" w:rsidRDefault="00ED1A28">
            <w:pPr>
              <w:rPr>
                <w:rFonts w:hint="eastAsia"/>
              </w:rPr>
            </w:pPr>
            <w:r>
              <w:rPr>
                <w:sz w:val="17"/>
              </w:rPr>
              <w:t>Minimum Common Resolution</w:t>
            </w:r>
          </w:p>
        </w:tc>
        <w:tc>
          <w:tcPr>
            <w:tcW w:w="7488" w:type="dxa"/>
            <w:shd w:val="clear" w:color="auto" w:fill="F8FAFC"/>
            <w:tcMar>
              <w:top w:w="90" w:type="dxa"/>
              <w:left w:w="100" w:type="dxa"/>
              <w:bottom w:w="90" w:type="dxa"/>
              <w:right w:w="100" w:type="dxa"/>
            </w:tcMar>
            <w:vAlign w:val="center"/>
          </w:tcPr>
          <w:p w14:paraId="274D9EE4" w14:textId="77777777" w:rsidR="00784701" w:rsidRDefault="00ED1A28">
            <w:pPr>
              <w:rPr>
                <w:rFonts w:hint="eastAsia"/>
              </w:rPr>
            </w:pPr>
            <w:r>
              <w:rPr>
                <w:sz w:val="17"/>
              </w:rPr>
              <w:t>Greatest published prefix that both producer and consumer can interpret under the same Kernel family/version.</w:t>
            </w:r>
          </w:p>
        </w:tc>
      </w:tr>
      <w:tr w:rsidR="00784701" w14:paraId="1F0B8BB0" w14:textId="77777777">
        <w:trPr>
          <w:jc w:val="center"/>
        </w:trPr>
        <w:tc>
          <w:tcPr>
            <w:tcW w:w="2880" w:type="dxa"/>
            <w:tcMar>
              <w:top w:w="90" w:type="dxa"/>
              <w:left w:w="100" w:type="dxa"/>
              <w:bottom w:w="90" w:type="dxa"/>
              <w:right w:w="100" w:type="dxa"/>
            </w:tcMar>
            <w:vAlign w:val="center"/>
          </w:tcPr>
          <w:p w14:paraId="7D22C510" w14:textId="77777777" w:rsidR="00784701" w:rsidRDefault="00ED1A28">
            <w:pPr>
              <w:rPr>
                <w:rFonts w:hint="eastAsia"/>
              </w:rPr>
            </w:pPr>
            <w:r>
              <w:rPr>
                <w:sz w:val="17"/>
              </w:rPr>
              <w:t>Minimum Sufficient Resolution Principle</w:t>
            </w:r>
          </w:p>
        </w:tc>
        <w:tc>
          <w:tcPr>
            <w:tcW w:w="7488" w:type="dxa"/>
            <w:tcMar>
              <w:top w:w="90" w:type="dxa"/>
              <w:left w:w="100" w:type="dxa"/>
              <w:bottom w:w="90" w:type="dxa"/>
              <w:right w:w="100" w:type="dxa"/>
            </w:tcMar>
            <w:vAlign w:val="center"/>
          </w:tcPr>
          <w:p w14:paraId="39EEF3CB" w14:textId="77777777" w:rsidR="00784701" w:rsidRDefault="00ED1A28">
            <w:pPr>
              <w:rPr>
                <w:rFonts w:hint="eastAsia"/>
              </w:rPr>
            </w:pPr>
            <w:r>
              <w:rPr>
                <w:sz w:val="17"/>
              </w:rPr>
              <w:t>Rule that an operation should use only the semantic depth required to perform, explain, validate, or reproduce the task.</w:t>
            </w:r>
          </w:p>
        </w:tc>
      </w:tr>
      <w:tr w:rsidR="00784701" w14:paraId="374A6819" w14:textId="77777777">
        <w:trPr>
          <w:jc w:val="center"/>
        </w:trPr>
        <w:tc>
          <w:tcPr>
            <w:tcW w:w="2880" w:type="dxa"/>
            <w:shd w:val="clear" w:color="auto" w:fill="F8FAFC"/>
            <w:tcMar>
              <w:top w:w="90" w:type="dxa"/>
              <w:left w:w="100" w:type="dxa"/>
              <w:bottom w:w="90" w:type="dxa"/>
              <w:right w:w="100" w:type="dxa"/>
            </w:tcMar>
            <w:vAlign w:val="center"/>
          </w:tcPr>
          <w:p w14:paraId="18FAA9B8" w14:textId="77777777" w:rsidR="00784701" w:rsidRDefault="00ED1A28">
            <w:pPr>
              <w:jc w:val="center"/>
              <w:rPr>
                <w:rFonts w:hint="eastAsia"/>
              </w:rPr>
            </w:pPr>
            <w:r>
              <w:rPr>
                <w:sz w:val="17"/>
              </w:rPr>
              <w:t>No-Migration Law</w:t>
            </w:r>
          </w:p>
        </w:tc>
        <w:tc>
          <w:tcPr>
            <w:tcW w:w="7488" w:type="dxa"/>
            <w:shd w:val="clear" w:color="auto" w:fill="F8FAFC"/>
            <w:tcMar>
              <w:top w:w="90" w:type="dxa"/>
              <w:left w:w="100" w:type="dxa"/>
              <w:bottom w:w="90" w:type="dxa"/>
              <w:right w:w="100" w:type="dxa"/>
            </w:tcMar>
            <w:vAlign w:val="center"/>
          </w:tcPr>
          <w:p w14:paraId="634DB5F5" w14:textId="77777777" w:rsidR="00784701" w:rsidRDefault="00ED1A28">
            <w:pPr>
              <w:rPr>
                <w:rFonts w:hint="eastAsia"/>
              </w:rPr>
            </w:pPr>
            <w:r>
              <w:rPr>
                <w:sz w:val="17"/>
              </w:rPr>
              <w:t>Requirement that compatible resolution growth not require renumbering or translating the inherited prefix.</w:t>
            </w:r>
          </w:p>
        </w:tc>
      </w:tr>
      <w:tr w:rsidR="00784701" w14:paraId="6322A10A" w14:textId="77777777">
        <w:trPr>
          <w:jc w:val="center"/>
        </w:trPr>
        <w:tc>
          <w:tcPr>
            <w:tcW w:w="2880" w:type="dxa"/>
            <w:tcMar>
              <w:top w:w="90" w:type="dxa"/>
              <w:left w:w="100" w:type="dxa"/>
              <w:bottom w:w="90" w:type="dxa"/>
              <w:right w:w="100" w:type="dxa"/>
            </w:tcMar>
            <w:vAlign w:val="center"/>
          </w:tcPr>
          <w:p w14:paraId="3C8856BB" w14:textId="77777777" w:rsidR="00784701" w:rsidRDefault="00ED1A28">
            <w:pPr>
              <w:jc w:val="center"/>
              <w:rPr>
                <w:rFonts w:hint="eastAsia"/>
              </w:rPr>
            </w:pPr>
            <w:r>
              <w:rPr>
                <w:sz w:val="17"/>
              </w:rPr>
              <w:t>Opaque Tail</w:t>
            </w:r>
          </w:p>
        </w:tc>
        <w:tc>
          <w:tcPr>
            <w:tcW w:w="7488" w:type="dxa"/>
            <w:tcMar>
              <w:top w:w="90" w:type="dxa"/>
              <w:left w:w="100" w:type="dxa"/>
              <w:bottom w:w="90" w:type="dxa"/>
              <w:right w:w="100" w:type="dxa"/>
            </w:tcMar>
            <w:vAlign w:val="center"/>
          </w:tcPr>
          <w:p w14:paraId="557420FE" w14:textId="77777777" w:rsidR="00784701" w:rsidRDefault="00ED1A28">
            <w:pPr>
              <w:rPr>
                <w:rFonts w:hint="eastAsia"/>
              </w:rPr>
            </w:pPr>
            <w:r>
              <w:rPr>
                <w:sz w:val="17"/>
              </w:rPr>
              <w:t>Higher-resolution bytes preserved by a lower-resolution intermediary without interpretation or mutation.</w:t>
            </w:r>
          </w:p>
        </w:tc>
      </w:tr>
      <w:tr w:rsidR="00784701" w14:paraId="64DF7436" w14:textId="77777777">
        <w:trPr>
          <w:jc w:val="center"/>
        </w:trPr>
        <w:tc>
          <w:tcPr>
            <w:tcW w:w="2880" w:type="dxa"/>
            <w:shd w:val="clear" w:color="auto" w:fill="F8FAFC"/>
            <w:tcMar>
              <w:top w:w="90" w:type="dxa"/>
              <w:left w:w="100" w:type="dxa"/>
              <w:bottom w:w="90" w:type="dxa"/>
              <w:right w:w="100" w:type="dxa"/>
            </w:tcMar>
            <w:vAlign w:val="center"/>
          </w:tcPr>
          <w:p w14:paraId="4288E4A2" w14:textId="77777777" w:rsidR="00784701" w:rsidRDefault="00ED1A28">
            <w:pPr>
              <w:jc w:val="center"/>
              <w:rPr>
                <w:rFonts w:hint="eastAsia"/>
              </w:rPr>
            </w:pPr>
            <w:r>
              <w:rPr>
                <w:sz w:val="17"/>
              </w:rPr>
              <w:t>Prefix Invariance</w:t>
            </w:r>
          </w:p>
        </w:tc>
        <w:tc>
          <w:tcPr>
            <w:tcW w:w="7488" w:type="dxa"/>
            <w:shd w:val="clear" w:color="auto" w:fill="F8FAFC"/>
            <w:tcMar>
              <w:top w:w="90" w:type="dxa"/>
              <w:left w:w="100" w:type="dxa"/>
              <w:bottom w:w="90" w:type="dxa"/>
              <w:right w:w="100" w:type="dxa"/>
            </w:tcMar>
            <w:vAlign w:val="center"/>
          </w:tcPr>
          <w:p w14:paraId="18B7F930" w14:textId="77777777" w:rsidR="00784701" w:rsidRDefault="00ED1A28">
            <w:pPr>
              <w:rPr>
                <w:rFonts w:hint="eastAsia"/>
              </w:rPr>
            </w:pPr>
            <w:r>
              <w:rPr>
                <w:sz w:val="17"/>
              </w:rPr>
              <w:t>Property that inherited leading bits preserve exact addresses and semantics in every conforming extension.</w:t>
            </w:r>
          </w:p>
        </w:tc>
      </w:tr>
      <w:tr w:rsidR="00784701" w14:paraId="6648C457" w14:textId="77777777">
        <w:trPr>
          <w:jc w:val="center"/>
        </w:trPr>
        <w:tc>
          <w:tcPr>
            <w:tcW w:w="2880" w:type="dxa"/>
            <w:tcMar>
              <w:top w:w="90" w:type="dxa"/>
              <w:left w:w="100" w:type="dxa"/>
              <w:bottom w:w="90" w:type="dxa"/>
              <w:right w:w="100" w:type="dxa"/>
            </w:tcMar>
            <w:vAlign w:val="center"/>
          </w:tcPr>
          <w:p w14:paraId="6B7A2A49" w14:textId="77777777" w:rsidR="00784701" w:rsidRDefault="00ED1A28">
            <w:pPr>
              <w:jc w:val="center"/>
              <w:rPr>
                <w:rFonts w:hint="eastAsia"/>
              </w:rPr>
            </w:pPr>
            <w:r>
              <w:rPr>
                <w:sz w:val="17"/>
              </w:rPr>
              <w:t>Prefix Projection</w:t>
            </w:r>
          </w:p>
        </w:tc>
        <w:tc>
          <w:tcPr>
            <w:tcW w:w="7488" w:type="dxa"/>
            <w:tcMar>
              <w:top w:w="90" w:type="dxa"/>
              <w:left w:w="100" w:type="dxa"/>
              <w:bottom w:w="90" w:type="dxa"/>
              <w:right w:w="100" w:type="dxa"/>
            </w:tcMar>
            <w:vAlign w:val="center"/>
          </w:tcPr>
          <w:p w14:paraId="48B51739" w14:textId="77777777" w:rsidR="00784701" w:rsidRDefault="00ED1A28">
            <w:pPr>
              <w:rPr>
                <w:rFonts w:hint="eastAsia"/>
              </w:rPr>
            </w:pPr>
            <w:r>
              <w:rPr>
                <w:sz w:val="17"/>
              </w:rPr>
              <w:t>Reading or exporting only a published lower-resolution prefix from a larger compatible word.</w:t>
            </w:r>
          </w:p>
        </w:tc>
      </w:tr>
      <w:tr w:rsidR="00784701" w14:paraId="6EB6664F" w14:textId="77777777">
        <w:trPr>
          <w:jc w:val="center"/>
        </w:trPr>
        <w:tc>
          <w:tcPr>
            <w:tcW w:w="2880" w:type="dxa"/>
            <w:shd w:val="clear" w:color="auto" w:fill="F8FAFC"/>
            <w:tcMar>
              <w:top w:w="90" w:type="dxa"/>
              <w:left w:w="100" w:type="dxa"/>
              <w:bottom w:w="90" w:type="dxa"/>
              <w:right w:w="100" w:type="dxa"/>
            </w:tcMar>
            <w:vAlign w:val="center"/>
          </w:tcPr>
          <w:p w14:paraId="10A12742" w14:textId="77777777" w:rsidR="00784701" w:rsidRDefault="00ED1A28">
            <w:pPr>
              <w:jc w:val="center"/>
              <w:rPr>
                <w:rFonts w:hint="eastAsia"/>
              </w:rPr>
            </w:pPr>
            <w:r>
              <w:rPr>
                <w:sz w:val="17"/>
              </w:rPr>
              <w:t>Record Resolution</w:t>
            </w:r>
          </w:p>
        </w:tc>
        <w:tc>
          <w:tcPr>
            <w:tcW w:w="7488" w:type="dxa"/>
            <w:shd w:val="clear" w:color="auto" w:fill="F8FAFC"/>
            <w:tcMar>
              <w:top w:w="90" w:type="dxa"/>
              <w:left w:w="100" w:type="dxa"/>
              <w:bottom w:w="90" w:type="dxa"/>
              <w:right w:w="100" w:type="dxa"/>
            </w:tcMar>
            <w:vAlign w:val="center"/>
          </w:tcPr>
          <w:p w14:paraId="116BC6CD" w14:textId="77777777" w:rsidR="00784701" w:rsidRDefault="00ED1A28">
            <w:pPr>
              <w:rPr>
                <w:rFonts w:hint="eastAsia"/>
              </w:rPr>
            </w:pPr>
            <w:r>
              <w:rPr>
                <w:sz w:val="17"/>
              </w:rPr>
              <w:t>Semantic depth actually instantiated for a particular object, event, or observation.</w:t>
            </w:r>
          </w:p>
        </w:tc>
      </w:tr>
      <w:tr w:rsidR="00784701" w14:paraId="1D7E66AD" w14:textId="77777777">
        <w:trPr>
          <w:jc w:val="center"/>
        </w:trPr>
        <w:tc>
          <w:tcPr>
            <w:tcW w:w="2880" w:type="dxa"/>
            <w:tcMar>
              <w:top w:w="90" w:type="dxa"/>
              <w:left w:w="100" w:type="dxa"/>
              <w:bottom w:w="90" w:type="dxa"/>
              <w:right w:w="100" w:type="dxa"/>
            </w:tcMar>
            <w:vAlign w:val="center"/>
          </w:tcPr>
          <w:p w14:paraId="667FDB9C" w14:textId="77777777" w:rsidR="00784701" w:rsidRDefault="00ED1A28">
            <w:pPr>
              <w:jc w:val="center"/>
              <w:rPr>
                <w:rFonts w:hint="eastAsia"/>
              </w:rPr>
            </w:pPr>
            <w:r>
              <w:rPr>
                <w:sz w:val="17"/>
              </w:rPr>
              <w:t>Resolution Level</w:t>
            </w:r>
          </w:p>
        </w:tc>
        <w:tc>
          <w:tcPr>
            <w:tcW w:w="7488" w:type="dxa"/>
            <w:tcMar>
              <w:top w:w="90" w:type="dxa"/>
              <w:left w:w="100" w:type="dxa"/>
              <w:bottom w:w="90" w:type="dxa"/>
              <w:right w:w="100" w:type="dxa"/>
            </w:tcMar>
            <w:vAlign w:val="center"/>
          </w:tcPr>
          <w:p w14:paraId="5218D3B3" w14:textId="77777777" w:rsidR="00784701" w:rsidRDefault="00ED1A28">
            <w:pPr>
              <w:rPr>
                <w:rFonts w:hint="eastAsia"/>
              </w:rPr>
            </w:pPr>
            <w:r>
              <w:rPr>
                <w:sz w:val="17"/>
              </w:rPr>
              <w:t>Published word length and associated semantic depth within a Kernel Family.</w:t>
            </w:r>
          </w:p>
        </w:tc>
      </w:tr>
      <w:tr w:rsidR="00784701" w14:paraId="5EF6F1D4" w14:textId="77777777">
        <w:trPr>
          <w:jc w:val="center"/>
        </w:trPr>
        <w:tc>
          <w:tcPr>
            <w:tcW w:w="2880" w:type="dxa"/>
            <w:shd w:val="clear" w:color="auto" w:fill="F8FAFC"/>
            <w:tcMar>
              <w:top w:w="90" w:type="dxa"/>
              <w:left w:w="100" w:type="dxa"/>
              <w:bottom w:w="90" w:type="dxa"/>
              <w:right w:w="100" w:type="dxa"/>
            </w:tcMar>
            <w:vAlign w:val="center"/>
          </w:tcPr>
          <w:p w14:paraId="1535BCDD" w14:textId="77777777" w:rsidR="00784701" w:rsidRDefault="00ED1A28">
            <w:pPr>
              <w:rPr>
                <w:rFonts w:hint="eastAsia"/>
              </w:rPr>
            </w:pPr>
            <w:r>
              <w:rPr>
                <w:sz w:val="17"/>
              </w:rPr>
              <w:t>Resolution Negotiation</w:t>
            </w:r>
          </w:p>
        </w:tc>
        <w:tc>
          <w:tcPr>
            <w:tcW w:w="7488" w:type="dxa"/>
            <w:shd w:val="clear" w:color="auto" w:fill="F8FAFC"/>
            <w:tcMar>
              <w:top w:w="90" w:type="dxa"/>
              <w:left w:w="100" w:type="dxa"/>
              <w:bottom w:w="90" w:type="dxa"/>
              <w:right w:w="100" w:type="dxa"/>
            </w:tcMar>
            <w:vAlign w:val="center"/>
          </w:tcPr>
          <w:p w14:paraId="499B1EBC" w14:textId="77777777" w:rsidR="00784701" w:rsidRDefault="00ED1A28">
            <w:pPr>
              <w:rPr>
                <w:rFonts w:hint="eastAsia"/>
              </w:rPr>
            </w:pPr>
            <w:r>
              <w:rPr>
                <w:sz w:val="17"/>
              </w:rPr>
              <w:t>Process of selecting the common or required semantic depth between producer, consumer, Operator, and task.</w:t>
            </w:r>
          </w:p>
        </w:tc>
      </w:tr>
      <w:tr w:rsidR="00784701" w14:paraId="58FBFFB1" w14:textId="77777777">
        <w:trPr>
          <w:jc w:val="center"/>
        </w:trPr>
        <w:tc>
          <w:tcPr>
            <w:tcW w:w="2880" w:type="dxa"/>
            <w:tcMar>
              <w:top w:w="90" w:type="dxa"/>
              <w:left w:w="100" w:type="dxa"/>
              <w:bottom w:w="90" w:type="dxa"/>
              <w:right w:w="100" w:type="dxa"/>
            </w:tcMar>
            <w:vAlign w:val="center"/>
          </w:tcPr>
          <w:p w14:paraId="42A8428F" w14:textId="77777777" w:rsidR="00784701" w:rsidRDefault="00ED1A28">
            <w:pPr>
              <w:jc w:val="center"/>
              <w:rPr>
                <w:rFonts w:hint="eastAsia"/>
              </w:rPr>
            </w:pPr>
            <w:r>
              <w:rPr>
                <w:sz w:val="17"/>
              </w:rPr>
              <w:t>Semantic Address</w:t>
            </w:r>
          </w:p>
        </w:tc>
        <w:tc>
          <w:tcPr>
            <w:tcW w:w="7488" w:type="dxa"/>
            <w:tcMar>
              <w:top w:w="90" w:type="dxa"/>
              <w:left w:w="100" w:type="dxa"/>
              <w:bottom w:w="90" w:type="dxa"/>
              <w:right w:w="100" w:type="dxa"/>
            </w:tcMar>
            <w:vAlign w:val="center"/>
          </w:tcPr>
          <w:p w14:paraId="4C0E3B0B" w14:textId="77777777" w:rsidR="00784701" w:rsidRDefault="00ED1A28">
            <w:pPr>
              <w:rPr>
                <w:rFonts w:hint="eastAsia"/>
              </w:rPr>
            </w:pPr>
            <w:r>
              <w:rPr>
                <w:sz w:val="17"/>
              </w:rPr>
              <w:t>Stable Kernel/version/bit or bitfield identity used for linking, mutation, and interpretation.</w:t>
            </w:r>
          </w:p>
        </w:tc>
      </w:tr>
      <w:tr w:rsidR="00784701" w14:paraId="2E249367" w14:textId="77777777">
        <w:trPr>
          <w:jc w:val="center"/>
        </w:trPr>
        <w:tc>
          <w:tcPr>
            <w:tcW w:w="2880" w:type="dxa"/>
            <w:shd w:val="clear" w:color="auto" w:fill="F8FAFC"/>
            <w:tcMar>
              <w:top w:w="90" w:type="dxa"/>
              <w:left w:w="100" w:type="dxa"/>
              <w:bottom w:w="90" w:type="dxa"/>
              <w:right w:w="100" w:type="dxa"/>
            </w:tcMar>
            <w:vAlign w:val="center"/>
          </w:tcPr>
          <w:p w14:paraId="568D1C51" w14:textId="77777777" w:rsidR="00784701" w:rsidRDefault="00ED1A28">
            <w:pPr>
              <w:jc w:val="center"/>
              <w:rPr>
                <w:rFonts w:hint="eastAsia"/>
              </w:rPr>
            </w:pPr>
            <w:r>
              <w:rPr>
                <w:sz w:val="17"/>
              </w:rPr>
              <w:t>Semantic Delta</w:t>
            </w:r>
          </w:p>
        </w:tc>
        <w:tc>
          <w:tcPr>
            <w:tcW w:w="7488" w:type="dxa"/>
            <w:shd w:val="clear" w:color="auto" w:fill="F8FAFC"/>
            <w:tcMar>
              <w:top w:w="90" w:type="dxa"/>
              <w:left w:w="100" w:type="dxa"/>
              <w:bottom w:w="90" w:type="dxa"/>
              <w:right w:w="100" w:type="dxa"/>
            </w:tcMar>
            <w:vAlign w:val="center"/>
          </w:tcPr>
          <w:p w14:paraId="7E84224B" w14:textId="77777777" w:rsidR="00784701" w:rsidRDefault="00ED1A28">
            <w:pPr>
              <w:rPr>
                <w:rFonts w:hint="eastAsia"/>
              </w:rPr>
            </w:pPr>
            <w:r>
              <w:rPr>
                <w:sz w:val="17"/>
              </w:rPr>
              <w:t>Typed difference between a Before and After semantic state.</w:t>
            </w:r>
          </w:p>
        </w:tc>
      </w:tr>
      <w:tr w:rsidR="00784701" w14:paraId="472C87CA" w14:textId="77777777">
        <w:trPr>
          <w:jc w:val="center"/>
        </w:trPr>
        <w:tc>
          <w:tcPr>
            <w:tcW w:w="2880" w:type="dxa"/>
            <w:tcMar>
              <w:top w:w="90" w:type="dxa"/>
              <w:left w:w="100" w:type="dxa"/>
              <w:bottom w:w="90" w:type="dxa"/>
              <w:right w:w="100" w:type="dxa"/>
            </w:tcMar>
            <w:vAlign w:val="center"/>
          </w:tcPr>
          <w:p w14:paraId="4C37AF82" w14:textId="77777777" w:rsidR="00784701" w:rsidRDefault="00ED1A28">
            <w:pPr>
              <w:jc w:val="center"/>
              <w:rPr>
                <w:rFonts w:hint="eastAsia"/>
              </w:rPr>
            </w:pPr>
            <w:r>
              <w:rPr>
                <w:sz w:val="17"/>
              </w:rPr>
              <w:t>Semantic Kernel</w:t>
            </w:r>
          </w:p>
        </w:tc>
        <w:tc>
          <w:tcPr>
            <w:tcW w:w="7488" w:type="dxa"/>
            <w:tcMar>
              <w:top w:w="90" w:type="dxa"/>
              <w:left w:w="100" w:type="dxa"/>
              <w:bottom w:w="90" w:type="dxa"/>
              <w:right w:w="100" w:type="dxa"/>
            </w:tcMar>
            <w:vAlign w:val="center"/>
          </w:tcPr>
          <w:p w14:paraId="0F54E6F2" w14:textId="77777777" w:rsidR="00784701" w:rsidRDefault="00ED1A28">
            <w:pPr>
              <w:rPr>
                <w:rFonts w:hint="eastAsia"/>
              </w:rPr>
            </w:pPr>
            <w:r>
              <w:rPr>
                <w:sz w:val="17"/>
              </w:rPr>
              <w:t>Versioned fixed-width semantic contract assigning meaning, grouping, type, and validity rules to bits or bitfields.</w:t>
            </w:r>
          </w:p>
        </w:tc>
      </w:tr>
      <w:tr w:rsidR="00784701" w14:paraId="0D37FD0C" w14:textId="77777777">
        <w:trPr>
          <w:jc w:val="center"/>
        </w:trPr>
        <w:tc>
          <w:tcPr>
            <w:tcW w:w="2880" w:type="dxa"/>
            <w:shd w:val="clear" w:color="auto" w:fill="F8FAFC"/>
            <w:tcMar>
              <w:top w:w="90" w:type="dxa"/>
              <w:left w:w="100" w:type="dxa"/>
              <w:bottom w:w="90" w:type="dxa"/>
              <w:right w:w="100" w:type="dxa"/>
            </w:tcMar>
            <w:vAlign w:val="center"/>
          </w:tcPr>
          <w:p w14:paraId="12621ADD" w14:textId="77777777" w:rsidR="00784701" w:rsidRDefault="00ED1A28">
            <w:pPr>
              <w:jc w:val="center"/>
              <w:rPr>
                <w:rFonts w:hint="eastAsia"/>
              </w:rPr>
            </w:pPr>
            <w:r>
              <w:rPr>
                <w:sz w:val="17"/>
              </w:rPr>
              <w:t>Semantic Prefix</w:t>
            </w:r>
          </w:p>
        </w:tc>
        <w:tc>
          <w:tcPr>
            <w:tcW w:w="7488" w:type="dxa"/>
            <w:shd w:val="clear" w:color="auto" w:fill="F8FAFC"/>
            <w:tcMar>
              <w:top w:w="90" w:type="dxa"/>
              <w:left w:w="100" w:type="dxa"/>
              <w:bottom w:w="90" w:type="dxa"/>
              <w:right w:w="100" w:type="dxa"/>
            </w:tcMar>
            <w:vAlign w:val="center"/>
          </w:tcPr>
          <w:p w14:paraId="58AD58E4" w14:textId="77777777" w:rsidR="00784701" w:rsidRDefault="00ED1A28">
            <w:pPr>
              <w:rPr>
                <w:rFonts w:hint="eastAsia"/>
              </w:rPr>
            </w:pPr>
            <w:r>
              <w:rPr>
                <w:sz w:val="17"/>
              </w:rPr>
              <w:t>Leading segment of a larger word that is itself a complete previously published Kernel contract.</w:t>
            </w:r>
          </w:p>
        </w:tc>
      </w:tr>
      <w:tr w:rsidR="00784701" w14:paraId="2B1953F5" w14:textId="77777777">
        <w:trPr>
          <w:jc w:val="center"/>
        </w:trPr>
        <w:tc>
          <w:tcPr>
            <w:tcW w:w="2880" w:type="dxa"/>
            <w:tcMar>
              <w:top w:w="90" w:type="dxa"/>
              <w:left w:w="100" w:type="dxa"/>
              <w:bottom w:w="90" w:type="dxa"/>
              <w:right w:w="100" w:type="dxa"/>
            </w:tcMar>
            <w:vAlign w:val="center"/>
          </w:tcPr>
          <w:p w14:paraId="37F35D26" w14:textId="77777777" w:rsidR="00784701" w:rsidRDefault="00ED1A28">
            <w:pPr>
              <w:rPr>
                <w:rFonts w:hint="eastAsia"/>
              </w:rPr>
            </w:pPr>
            <w:r>
              <w:rPr>
                <w:sz w:val="17"/>
              </w:rPr>
              <w:t>Specialist Extension</w:t>
            </w:r>
          </w:p>
        </w:tc>
        <w:tc>
          <w:tcPr>
            <w:tcW w:w="7488" w:type="dxa"/>
            <w:tcMar>
              <w:top w:w="90" w:type="dxa"/>
              <w:left w:w="100" w:type="dxa"/>
              <w:bottom w:w="90" w:type="dxa"/>
              <w:right w:w="100" w:type="dxa"/>
            </w:tcMar>
            <w:vAlign w:val="center"/>
          </w:tcPr>
          <w:p w14:paraId="0E493F98" w14:textId="77777777" w:rsidR="00784701" w:rsidRDefault="00ED1A28">
            <w:pPr>
              <w:rPr>
                <w:rFonts w:hint="eastAsia"/>
              </w:rPr>
            </w:pPr>
            <w:r>
              <w:rPr>
                <w:sz w:val="17"/>
              </w:rPr>
              <w:t>Additional bit range that preserves a general prefix while adding domain-specialist semantics.</w:t>
            </w:r>
          </w:p>
        </w:tc>
      </w:tr>
      <w:tr w:rsidR="00784701" w14:paraId="63D465B7" w14:textId="77777777">
        <w:trPr>
          <w:jc w:val="center"/>
        </w:trPr>
        <w:tc>
          <w:tcPr>
            <w:tcW w:w="2880" w:type="dxa"/>
            <w:shd w:val="clear" w:color="auto" w:fill="F8FAFC"/>
            <w:tcMar>
              <w:top w:w="90" w:type="dxa"/>
              <w:left w:w="100" w:type="dxa"/>
              <w:bottom w:w="90" w:type="dxa"/>
              <w:right w:w="100" w:type="dxa"/>
            </w:tcMar>
            <w:vAlign w:val="center"/>
          </w:tcPr>
          <w:p w14:paraId="05B69827" w14:textId="77777777" w:rsidR="00784701" w:rsidRDefault="00ED1A28">
            <w:pPr>
              <w:jc w:val="center"/>
              <w:rPr>
                <w:rFonts w:hint="eastAsia"/>
              </w:rPr>
            </w:pPr>
            <w:r>
              <w:rPr>
                <w:sz w:val="17"/>
              </w:rPr>
              <w:t>Upward Extension</w:t>
            </w:r>
          </w:p>
        </w:tc>
        <w:tc>
          <w:tcPr>
            <w:tcW w:w="7488" w:type="dxa"/>
            <w:shd w:val="clear" w:color="auto" w:fill="F8FAFC"/>
            <w:tcMar>
              <w:top w:w="90" w:type="dxa"/>
              <w:left w:w="100" w:type="dxa"/>
              <w:bottom w:w="90" w:type="dxa"/>
              <w:right w:w="100" w:type="dxa"/>
            </w:tcMar>
            <w:vAlign w:val="center"/>
          </w:tcPr>
          <w:p w14:paraId="48F7C1D8" w14:textId="77777777" w:rsidR="00784701" w:rsidRDefault="00ED1A28">
            <w:pPr>
              <w:rPr>
                <w:rFonts w:hint="eastAsia"/>
              </w:rPr>
            </w:pPr>
            <w:r>
              <w:rPr>
                <w:sz w:val="17"/>
              </w:rPr>
              <w:t>Creation of a larger compatible word by copying the source word into the prefix and initializing only new tail bits.</w:t>
            </w:r>
          </w:p>
        </w:tc>
      </w:tr>
      <w:tr w:rsidR="00784701" w14:paraId="025E3A8E" w14:textId="77777777">
        <w:trPr>
          <w:jc w:val="center"/>
        </w:trPr>
        <w:tc>
          <w:tcPr>
            <w:tcW w:w="2880" w:type="dxa"/>
            <w:tcMar>
              <w:top w:w="90" w:type="dxa"/>
              <w:left w:w="100" w:type="dxa"/>
              <w:bottom w:w="90" w:type="dxa"/>
              <w:right w:w="100" w:type="dxa"/>
            </w:tcMar>
            <w:vAlign w:val="center"/>
          </w:tcPr>
          <w:p w14:paraId="664F0D0C" w14:textId="77777777" w:rsidR="00784701" w:rsidRDefault="00ED1A28">
            <w:pPr>
              <w:jc w:val="center"/>
              <w:rPr>
                <w:rFonts w:hint="eastAsia"/>
              </w:rPr>
            </w:pPr>
            <w:r>
              <w:rPr>
                <w:sz w:val="17"/>
              </w:rPr>
              <w:t>Version</w:t>
            </w:r>
          </w:p>
        </w:tc>
        <w:tc>
          <w:tcPr>
            <w:tcW w:w="7488" w:type="dxa"/>
            <w:tcMar>
              <w:top w:w="90" w:type="dxa"/>
              <w:left w:w="100" w:type="dxa"/>
              <w:bottom w:w="90" w:type="dxa"/>
              <w:right w:w="100" w:type="dxa"/>
            </w:tcMar>
            <w:vAlign w:val="center"/>
          </w:tcPr>
          <w:p w14:paraId="01B470F6" w14:textId="77777777" w:rsidR="00784701" w:rsidRDefault="00ED1A28">
            <w:pPr>
              <w:rPr>
                <w:rFonts w:hint="eastAsia"/>
              </w:rPr>
            </w:pPr>
            <w:r>
              <w:rPr>
                <w:sz w:val="17"/>
              </w:rPr>
              <w:t>Immutable interpretation contract for a Kernel family at a given lineage point.</w:t>
            </w:r>
          </w:p>
        </w:tc>
      </w:tr>
    </w:tbl>
    <w:p w14:paraId="73F8FB01" w14:textId="77777777" w:rsidR="00784701" w:rsidRDefault="00784701">
      <w:pPr>
        <w:spacing w:after="40"/>
        <w:rPr>
          <w:rFonts w:hint="eastAsia"/>
        </w:rPr>
      </w:pPr>
    </w:p>
    <w:p w14:paraId="31C246A7" w14:textId="77777777" w:rsidR="00784701" w:rsidRDefault="00ED1A28">
      <w:pPr>
        <w:pStyle w:val="Heading1"/>
        <w:spacing w:before="240" w:after="100"/>
      </w:pPr>
      <w:r>
        <w:t>Subject Index</w:t>
      </w:r>
    </w:p>
    <w:tbl>
      <w:tblPr>
        <w:tblStyle w:val="TableGrid"/>
        <w:tblW w:w="0" w:type="auto"/>
        <w:jc w:val="center"/>
        <w:tblLayout w:type="fixed"/>
        <w:tblLook w:val="04A0" w:firstRow="1" w:lastRow="0" w:firstColumn="1" w:lastColumn="0" w:noHBand="0" w:noVBand="1"/>
      </w:tblPr>
      <w:tblGrid>
        <w:gridCol w:w="4320"/>
        <w:gridCol w:w="6048"/>
      </w:tblGrid>
      <w:tr w:rsidR="00784701" w14:paraId="6720DE36" w14:textId="77777777">
        <w:trPr>
          <w:tblHeader/>
          <w:jc w:val="center"/>
        </w:trPr>
        <w:tc>
          <w:tcPr>
            <w:tcW w:w="4320" w:type="dxa"/>
            <w:shd w:val="clear" w:color="auto" w:fill="17365D"/>
            <w:tcMar>
              <w:top w:w="90" w:type="dxa"/>
              <w:left w:w="100" w:type="dxa"/>
              <w:bottom w:w="90" w:type="dxa"/>
              <w:right w:w="100" w:type="dxa"/>
            </w:tcMar>
            <w:vAlign w:val="center"/>
          </w:tcPr>
          <w:p w14:paraId="051D3915" w14:textId="77777777" w:rsidR="00784701" w:rsidRDefault="00ED1A28">
            <w:pPr>
              <w:jc w:val="center"/>
              <w:rPr>
                <w:rFonts w:hint="eastAsia"/>
              </w:rPr>
            </w:pPr>
            <w:r>
              <w:rPr>
                <w:b/>
                <w:color w:val="FFFFFF"/>
                <w:sz w:val="18"/>
              </w:rPr>
              <w:t>Term</w:t>
            </w:r>
          </w:p>
        </w:tc>
        <w:tc>
          <w:tcPr>
            <w:tcW w:w="6048" w:type="dxa"/>
            <w:shd w:val="clear" w:color="auto" w:fill="17365D"/>
            <w:tcMar>
              <w:top w:w="90" w:type="dxa"/>
              <w:left w:w="100" w:type="dxa"/>
              <w:bottom w:w="90" w:type="dxa"/>
              <w:right w:w="100" w:type="dxa"/>
            </w:tcMar>
            <w:vAlign w:val="center"/>
          </w:tcPr>
          <w:p w14:paraId="4D2387E3" w14:textId="77777777" w:rsidR="00784701" w:rsidRDefault="00ED1A28">
            <w:pPr>
              <w:jc w:val="center"/>
              <w:rPr>
                <w:rFonts w:hint="eastAsia"/>
              </w:rPr>
            </w:pPr>
            <w:r>
              <w:rPr>
                <w:b/>
                <w:color w:val="FFFFFF"/>
                <w:sz w:val="18"/>
              </w:rPr>
              <w:t>Primary References</w:t>
            </w:r>
          </w:p>
        </w:tc>
      </w:tr>
      <w:tr w:rsidR="00784701" w14:paraId="1B425C31" w14:textId="77777777">
        <w:trPr>
          <w:jc w:val="center"/>
        </w:trPr>
        <w:tc>
          <w:tcPr>
            <w:tcW w:w="4320" w:type="dxa"/>
            <w:tcMar>
              <w:top w:w="90" w:type="dxa"/>
              <w:left w:w="100" w:type="dxa"/>
              <w:bottom w:w="90" w:type="dxa"/>
              <w:right w:w="100" w:type="dxa"/>
            </w:tcMar>
            <w:vAlign w:val="center"/>
          </w:tcPr>
          <w:p w14:paraId="72F9BA25" w14:textId="77777777" w:rsidR="00784701" w:rsidRDefault="00ED1A28">
            <w:pPr>
              <w:rPr>
                <w:rFonts w:hint="eastAsia"/>
              </w:rPr>
            </w:pPr>
            <w:r>
              <w:rPr>
                <w:sz w:val="17"/>
              </w:rPr>
              <w:t>Anatomical resolution</w:t>
            </w:r>
          </w:p>
        </w:tc>
        <w:tc>
          <w:tcPr>
            <w:tcW w:w="6048" w:type="dxa"/>
            <w:tcMar>
              <w:top w:w="90" w:type="dxa"/>
              <w:left w:w="100" w:type="dxa"/>
              <w:bottom w:w="90" w:type="dxa"/>
              <w:right w:w="100" w:type="dxa"/>
            </w:tcMar>
            <w:vAlign w:val="center"/>
          </w:tcPr>
          <w:p w14:paraId="7167194C" w14:textId="77777777" w:rsidR="00784701" w:rsidRDefault="00ED1A28">
            <w:pPr>
              <w:jc w:val="center"/>
              <w:rPr>
                <w:rFonts w:hint="eastAsia"/>
              </w:rPr>
            </w:pPr>
            <w:r>
              <w:rPr>
                <w:sz w:val="17"/>
              </w:rPr>
              <w:t>§§ 4.4, 10.1</w:t>
            </w:r>
          </w:p>
        </w:tc>
      </w:tr>
      <w:tr w:rsidR="00784701" w14:paraId="22B2D419" w14:textId="77777777">
        <w:trPr>
          <w:jc w:val="center"/>
        </w:trPr>
        <w:tc>
          <w:tcPr>
            <w:tcW w:w="4320" w:type="dxa"/>
            <w:shd w:val="clear" w:color="auto" w:fill="F8FAFC"/>
            <w:tcMar>
              <w:top w:w="90" w:type="dxa"/>
              <w:left w:w="100" w:type="dxa"/>
              <w:bottom w:w="90" w:type="dxa"/>
              <w:right w:w="100" w:type="dxa"/>
            </w:tcMar>
            <w:vAlign w:val="center"/>
          </w:tcPr>
          <w:p w14:paraId="5BD786B6" w14:textId="77777777" w:rsidR="00784701" w:rsidRDefault="00ED1A28">
            <w:pPr>
              <w:rPr>
                <w:rFonts w:hint="eastAsia"/>
              </w:rPr>
            </w:pPr>
            <w:r>
              <w:rPr>
                <w:sz w:val="17"/>
              </w:rPr>
              <w:t>Append-only expansion</w:t>
            </w:r>
          </w:p>
        </w:tc>
        <w:tc>
          <w:tcPr>
            <w:tcW w:w="6048" w:type="dxa"/>
            <w:shd w:val="clear" w:color="auto" w:fill="F8FAFC"/>
            <w:tcMar>
              <w:top w:w="90" w:type="dxa"/>
              <w:left w:w="100" w:type="dxa"/>
              <w:bottom w:w="90" w:type="dxa"/>
              <w:right w:w="100" w:type="dxa"/>
            </w:tcMar>
            <w:vAlign w:val="center"/>
          </w:tcPr>
          <w:p w14:paraId="7657D5D2" w14:textId="77777777" w:rsidR="00784701" w:rsidRDefault="00ED1A28">
            <w:pPr>
              <w:rPr>
                <w:rFonts w:hint="eastAsia"/>
              </w:rPr>
            </w:pPr>
            <w:r>
              <w:rPr>
                <w:sz w:val="17"/>
              </w:rPr>
              <w:t>§§ 3.2, 4.1, 7.1, 15</w:t>
            </w:r>
          </w:p>
        </w:tc>
      </w:tr>
      <w:tr w:rsidR="00784701" w14:paraId="693FC65A" w14:textId="77777777">
        <w:trPr>
          <w:jc w:val="center"/>
        </w:trPr>
        <w:tc>
          <w:tcPr>
            <w:tcW w:w="4320" w:type="dxa"/>
            <w:tcMar>
              <w:top w:w="90" w:type="dxa"/>
              <w:left w:w="100" w:type="dxa"/>
              <w:bottom w:w="90" w:type="dxa"/>
              <w:right w:w="100" w:type="dxa"/>
            </w:tcMar>
            <w:vAlign w:val="center"/>
          </w:tcPr>
          <w:p w14:paraId="417F91D5" w14:textId="77777777" w:rsidR="00784701" w:rsidRDefault="00ED1A28">
            <w:pPr>
              <w:rPr>
                <w:rFonts w:hint="eastAsia"/>
              </w:rPr>
            </w:pPr>
            <w:r>
              <w:rPr>
                <w:sz w:val="17"/>
              </w:rPr>
              <w:t>Bit Group semantics</w:t>
            </w:r>
          </w:p>
        </w:tc>
        <w:tc>
          <w:tcPr>
            <w:tcW w:w="6048" w:type="dxa"/>
            <w:tcMar>
              <w:top w:w="90" w:type="dxa"/>
              <w:left w:w="100" w:type="dxa"/>
              <w:bottom w:w="90" w:type="dxa"/>
              <w:right w:w="100" w:type="dxa"/>
            </w:tcMar>
            <w:vAlign w:val="center"/>
          </w:tcPr>
          <w:p w14:paraId="560A6E8C" w14:textId="77777777" w:rsidR="00784701" w:rsidRDefault="00ED1A28">
            <w:pPr>
              <w:jc w:val="center"/>
              <w:rPr>
                <w:rFonts w:hint="eastAsia"/>
              </w:rPr>
            </w:pPr>
            <w:r>
              <w:rPr>
                <w:sz w:val="17"/>
              </w:rPr>
              <w:t>§§ 2.7, 6.5, 13.1</w:t>
            </w:r>
          </w:p>
        </w:tc>
      </w:tr>
      <w:tr w:rsidR="00784701" w14:paraId="7106DD55" w14:textId="77777777">
        <w:trPr>
          <w:jc w:val="center"/>
        </w:trPr>
        <w:tc>
          <w:tcPr>
            <w:tcW w:w="4320" w:type="dxa"/>
            <w:shd w:val="clear" w:color="auto" w:fill="F8FAFC"/>
            <w:tcMar>
              <w:top w:w="90" w:type="dxa"/>
              <w:left w:w="100" w:type="dxa"/>
              <w:bottom w:w="90" w:type="dxa"/>
              <w:right w:w="100" w:type="dxa"/>
            </w:tcMar>
            <w:vAlign w:val="center"/>
          </w:tcPr>
          <w:p w14:paraId="4EA94E33" w14:textId="77777777" w:rsidR="00784701" w:rsidRDefault="00ED1A28">
            <w:pPr>
              <w:rPr>
                <w:rFonts w:hint="eastAsia"/>
              </w:rPr>
            </w:pPr>
            <w:r>
              <w:rPr>
                <w:sz w:val="17"/>
              </w:rPr>
              <w:t>Bitlink dependency graph</w:t>
            </w:r>
          </w:p>
        </w:tc>
        <w:tc>
          <w:tcPr>
            <w:tcW w:w="6048" w:type="dxa"/>
            <w:shd w:val="clear" w:color="auto" w:fill="F8FAFC"/>
            <w:tcMar>
              <w:top w:w="90" w:type="dxa"/>
              <w:left w:w="100" w:type="dxa"/>
              <w:bottom w:w="90" w:type="dxa"/>
              <w:right w:w="100" w:type="dxa"/>
            </w:tcMar>
            <w:vAlign w:val="center"/>
          </w:tcPr>
          <w:p w14:paraId="5029DCC2" w14:textId="77777777" w:rsidR="00784701" w:rsidRDefault="00ED1A28">
            <w:pPr>
              <w:jc w:val="center"/>
              <w:rPr>
                <w:rFonts w:hint="eastAsia"/>
              </w:rPr>
            </w:pPr>
            <w:r>
              <w:rPr>
                <w:sz w:val="17"/>
              </w:rPr>
              <w:t>§§ 6.7–6.8</w:t>
            </w:r>
          </w:p>
        </w:tc>
      </w:tr>
      <w:tr w:rsidR="00784701" w14:paraId="580D9AA3" w14:textId="77777777">
        <w:trPr>
          <w:jc w:val="center"/>
        </w:trPr>
        <w:tc>
          <w:tcPr>
            <w:tcW w:w="4320" w:type="dxa"/>
            <w:tcMar>
              <w:top w:w="90" w:type="dxa"/>
              <w:left w:w="100" w:type="dxa"/>
              <w:bottom w:w="90" w:type="dxa"/>
              <w:right w:w="100" w:type="dxa"/>
            </w:tcMar>
            <w:vAlign w:val="center"/>
          </w:tcPr>
          <w:p w14:paraId="2F66046F" w14:textId="77777777" w:rsidR="00784701" w:rsidRDefault="00ED1A28">
            <w:pPr>
              <w:rPr>
                <w:rFonts w:hint="eastAsia"/>
              </w:rPr>
            </w:pPr>
            <w:r>
              <w:rPr>
                <w:sz w:val="17"/>
              </w:rPr>
              <w:t>Bitlink inheritance</w:t>
            </w:r>
          </w:p>
        </w:tc>
        <w:tc>
          <w:tcPr>
            <w:tcW w:w="6048" w:type="dxa"/>
            <w:tcMar>
              <w:top w:w="90" w:type="dxa"/>
              <w:left w:w="100" w:type="dxa"/>
              <w:bottom w:w="90" w:type="dxa"/>
              <w:right w:w="100" w:type="dxa"/>
            </w:tcMar>
            <w:vAlign w:val="center"/>
          </w:tcPr>
          <w:p w14:paraId="77C4E838" w14:textId="77777777" w:rsidR="00784701" w:rsidRDefault="00ED1A28">
            <w:pPr>
              <w:rPr>
                <w:rFonts w:hint="eastAsia"/>
              </w:rPr>
            </w:pPr>
            <w:r>
              <w:rPr>
                <w:sz w:val="17"/>
              </w:rPr>
              <w:t>§§ 3.8, 6.1, 10.5, 13.3</w:t>
            </w:r>
          </w:p>
        </w:tc>
      </w:tr>
      <w:tr w:rsidR="00784701" w14:paraId="706419DF" w14:textId="77777777">
        <w:trPr>
          <w:jc w:val="center"/>
        </w:trPr>
        <w:tc>
          <w:tcPr>
            <w:tcW w:w="4320" w:type="dxa"/>
            <w:shd w:val="clear" w:color="auto" w:fill="F8FAFC"/>
            <w:tcMar>
              <w:top w:w="90" w:type="dxa"/>
              <w:left w:w="100" w:type="dxa"/>
              <w:bottom w:w="90" w:type="dxa"/>
              <w:right w:w="100" w:type="dxa"/>
            </w:tcMar>
            <w:vAlign w:val="center"/>
          </w:tcPr>
          <w:p w14:paraId="1CF24771" w14:textId="77777777" w:rsidR="00784701" w:rsidRDefault="00ED1A28">
            <w:pPr>
              <w:jc w:val="center"/>
              <w:rPr>
                <w:rFonts w:hint="eastAsia"/>
              </w:rPr>
            </w:pPr>
            <w:r>
              <w:rPr>
                <w:sz w:val="17"/>
              </w:rPr>
              <w:t>BODY-128</w:t>
            </w:r>
          </w:p>
        </w:tc>
        <w:tc>
          <w:tcPr>
            <w:tcW w:w="6048" w:type="dxa"/>
            <w:shd w:val="clear" w:color="auto" w:fill="F8FAFC"/>
            <w:tcMar>
              <w:top w:w="90" w:type="dxa"/>
              <w:left w:w="100" w:type="dxa"/>
              <w:bottom w:w="90" w:type="dxa"/>
              <w:right w:w="100" w:type="dxa"/>
            </w:tcMar>
            <w:vAlign w:val="center"/>
          </w:tcPr>
          <w:p w14:paraId="15AB86EE" w14:textId="77777777" w:rsidR="00784701" w:rsidRDefault="00ED1A28">
            <w:pPr>
              <w:jc w:val="center"/>
              <w:rPr>
                <w:rFonts w:hint="eastAsia"/>
              </w:rPr>
            </w:pPr>
            <w:r>
              <w:rPr>
                <w:sz w:val="17"/>
              </w:rPr>
              <w:t>§§ 4.4, 10.1</w:t>
            </w:r>
          </w:p>
        </w:tc>
      </w:tr>
      <w:tr w:rsidR="00784701" w14:paraId="2DB73D01" w14:textId="77777777">
        <w:trPr>
          <w:jc w:val="center"/>
        </w:trPr>
        <w:tc>
          <w:tcPr>
            <w:tcW w:w="4320" w:type="dxa"/>
            <w:tcMar>
              <w:top w:w="90" w:type="dxa"/>
              <w:left w:w="100" w:type="dxa"/>
              <w:bottom w:w="90" w:type="dxa"/>
              <w:right w:w="100" w:type="dxa"/>
            </w:tcMar>
            <w:vAlign w:val="center"/>
          </w:tcPr>
          <w:p w14:paraId="4B416FCE" w14:textId="77777777" w:rsidR="00784701" w:rsidRDefault="00ED1A28">
            <w:pPr>
              <w:jc w:val="center"/>
              <w:rPr>
                <w:rFonts w:hint="eastAsia"/>
              </w:rPr>
            </w:pPr>
            <w:r>
              <w:rPr>
                <w:sz w:val="17"/>
              </w:rPr>
              <w:t>BODY-256</w:t>
            </w:r>
          </w:p>
        </w:tc>
        <w:tc>
          <w:tcPr>
            <w:tcW w:w="6048" w:type="dxa"/>
            <w:tcMar>
              <w:top w:w="90" w:type="dxa"/>
              <w:left w:w="100" w:type="dxa"/>
              <w:bottom w:w="90" w:type="dxa"/>
              <w:right w:w="100" w:type="dxa"/>
            </w:tcMar>
            <w:vAlign w:val="center"/>
          </w:tcPr>
          <w:p w14:paraId="286B0BFA" w14:textId="77777777" w:rsidR="00784701" w:rsidRDefault="00ED1A28">
            <w:pPr>
              <w:jc w:val="center"/>
              <w:rPr>
                <w:rFonts w:hint="eastAsia"/>
              </w:rPr>
            </w:pPr>
            <w:r>
              <w:rPr>
                <w:sz w:val="17"/>
              </w:rPr>
              <w:t>§§ 4.4, 10.1</w:t>
            </w:r>
          </w:p>
        </w:tc>
      </w:tr>
      <w:tr w:rsidR="00784701" w14:paraId="500ECF69" w14:textId="77777777">
        <w:trPr>
          <w:jc w:val="center"/>
        </w:trPr>
        <w:tc>
          <w:tcPr>
            <w:tcW w:w="4320" w:type="dxa"/>
            <w:shd w:val="clear" w:color="auto" w:fill="F8FAFC"/>
            <w:tcMar>
              <w:top w:w="90" w:type="dxa"/>
              <w:left w:w="100" w:type="dxa"/>
              <w:bottom w:w="90" w:type="dxa"/>
              <w:right w:w="100" w:type="dxa"/>
            </w:tcMar>
            <w:vAlign w:val="center"/>
          </w:tcPr>
          <w:p w14:paraId="69AC1844" w14:textId="77777777" w:rsidR="00784701" w:rsidRDefault="00ED1A28">
            <w:pPr>
              <w:rPr>
                <w:rFonts w:hint="eastAsia"/>
              </w:rPr>
            </w:pPr>
            <w:r>
              <w:rPr>
                <w:sz w:val="17"/>
              </w:rPr>
              <w:t>Capability negotiation</w:t>
            </w:r>
          </w:p>
        </w:tc>
        <w:tc>
          <w:tcPr>
            <w:tcW w:w="6048" w:type="dxa"/>
            <w:shd w:val="clear" w:color="auto" w:fill="F8FAFC"/>
            <w:tcMar>
              <w:top w:w="90" w:type="dxa"/>
              <w:left w:w="100" w:type="dxa"/>
              <w:bottom w:w="90" w:type="dxa"/>
              <w:right w:w="100" w:type="dxa"/>
            </w:tcMar>
            <w:vAlign w:val="center"/>
          </w:tcPr>
          <w:p w14:paraId="0A2BDECB" w14:textId="77777777" w:rsidR="00784701" w:rsidRDefault="00ED1A28">
            <w:pPr>
              <w:jc w:val="center"/>
              <w:rPr>
                <w:rFonts w:hint="eastAsia"/>
              </w:rPr>
            </w:pPr>
            <w:r>
              <w:rPr>
                <w:sz w:val="17"/>
              </w:rPr>
              <w:t>§§ 9.1–9.5</w:t>
            </w:r>
          </w:p>
        </w:tc>
      </w:tr>
      <w:tr w:rsidR="00784701" w14:paraId="6B11394A" w14:textId="77777777">
        <w:trPr>
          <w:jc w:val="center"/>
        </w:trPr>
        <w:tc>
          <w:tcPr>
            <w:tcW w:w="4320" w:type="dxa"/>
            <w:tcMar>
              <w:top w:w="90" w:type="dxa"/>
              <w:left w:w="100" w:type="dxa"/>
              <w:bottom w:w="90" w:type="dxa"/>
              <w:right w:w="100" w:type="dxa"/>
            </w:tcMar>
            <w:vAlign w:val="center"/>
          </w:tcPr>
          <w:p w14:paraId="6337DBCA" w14:textId="77777777" w:rsidR="00784701" w:rsidRDefault="00ED1A28">
            <w:pPr>
              <w:jc w:val="center"/>
              <w:rPr>
                <w:rFonts w:hint="eastAsia"/>
              </w:rPr>
            </w:pPr>
            <w:r>
              <w:rPr>
                <w:sz w:val="17"/>
              </w:rPr>
              <w:t>Causal Chain ID</w:t>
            </w:r>
          </w:p>
        </w:tc>
        <w:tc>
          <w:tcPr>
            <w:tcW w:w="6048" w:type="dxa"/>
            <w:tcMar>
              <w:top w:w="90" w:type="dxa"/>
              <w:left w:w="100" w:type="dxa"/>
              <w:bottom w:w="90" w:type="dxa"/>
              <w:right w:w="100" w:type="dxa"/>
            </w:tcMar>
            <w:vAlign w:val="center"/>
          </w:tcPr>
          <w:p w14:paraId="70F7BCC1" w14:textId="77777777" w:rsidR="00784701" w:rsidRDefault="00ED1A28">
            <w:pPr>
              <w:jc w:val="center"/>
              <w:rPr>
                <w:rFonts w:hint="eastAsia"/>
              </w:rPr>
            </w:pPr>
            <w:r>
              <w:rPr>
                <w:sz w:val="17"/>
              </w:rPr>
              <w:t>§ 6.8</w:t>
            </w:r>
          </w:p>
        </w:tc>
      </w:tr>
      <w:tr w:rsidR="00784701" w14:paraId="43288FB0" w14:textId="77777777">
        <w:trPr>
          <w:jc w:val="center"/>
        </w:trPr>
        <w:tc>
          <w:tcPr>
            <w:tcW w:w="4320" w:type="dxa"/>
            <w:shd w:val="clear" w:color="auto" w:fill="F8FAFC"/>
            <w:tcMar>
              <w:top w:w="90" w:type="dxa"/>
              <w:left w:w="100" w:type="dxa"/>
              <w:bottom w:w="90" w:type="dxa"/>
              <w:right w:w="100" w:type="dxa"/>
            </w:tcMar>
            <w:vAlign w:val="center"/>
          </w:tcPr>
          <w:p w14:paraId="0ECFAB6B" w14:textId="77777777" w:rsidR="00784701" w:rsidRDefault="00ED1A28">
            <w:pPr>
              <w:rPr>
                <w:rFonts w:hint="eastAsia"/>
              </w:rPr>
            </w:pPr>
            <w:r>
              <w:rPr>
                <w:sz w:val="17"/>
              </w:rPr>
              <w:t>Compatibility classes</w:t>
            </w:r>
          </w:p>
        </w:tc>
        <w:tc>
          <w:tcPr>
            <w:tcW w:w="6048" w:type="dxa"/>
            <w:shd w:val="clear" w:color="auto" w:fill="F8FAFC"/>
            <w:tcMar>
              <w:top w:w="90" w:type="dxa"/>
              <w:left w:w="100" w:type="dxa"/>
              <w:bottom w:w="90" w:type="dxa"/>
              <w:right w:w="100" w:type="dxa"/>
            </w:tcMar>
            <w:vAlign w:val="center"/>
          </w:tcPr>
          <w:p w14:paraId="4FEFF220" w14:textId="77777777" w:rsidR="00784701" w:rsidRDefault="00ED1A28">
            <w:pPr>
              <w:jc w:val="center"/>
              <w:rPr>
                <w:rFonts w:hint="eastAsia"/>
              </w:rPr>
            </w:pPr>
            <w:r>
              <w:rPr>
                <w:sz w:val="17"/>
              </w:rPr>
              <w:t>§ 8.2</w:t>
            </w:r>
          </w:p>
        </w:tc>
      </w:tr>
      <w:tr w:rsidR="00784701" w14:paraId="3306F189" w14:textId="77777777">
        <w:trPr>
          <w:jc w:val="center"/>
        </w:trPr>
        <w:tc>
          <w:tcPr>
            <w:tcW w:w="4320" w:type="dxa"/>
            <w:tcMar>
              <w:top w:w="90" w:type="dxa"/>
              <w:left w:w="100" w:type="dxa"/>
              <w:bottom w:w="90" w:type="dxa"/>
              <w:right w:w="100" w:type="dxa"/>
            </w:tcMar>
            <w:vAlign w:val="center"/>
          </w:tcPr>
          <w:p w14:paraId="061D3985" w14:textId="77777777" w:rsidR="00784701" w:rsidRDefault="00ED1A28">
            <w:pPr>
              <w:rPr>
                <w:rFonts w:hint="eastAsia"/>
              </w:rPr>
            </w:pPr>
            <w:r>
              <w:rPr>
                <w:sz w:val="17"/>
              </w:rPr>
              <w:t>Cross-Kernel translation</w:t>
            </w:r>
          </w:p>
        </w:tc>
        <w:tc>
          <w:tcPr>
            <w:tcW w:w="6048" w:type="dxa"/>
            <w:tcMar>
              <w:top w:w="90" w:type="dxa"/>
              <w:left w:w="100" w:type="dxa"/>
              <w:bottom w:w="90" w:type="dxa"/>
              <w:right w:w="100" w:type="dxa"/>
            </w:tcMar>
            <w:vAlign w:val="center"/>
          </w:tcPr>
          <w:p w14:paraId="2A3449FB" w14:textId="77777777" w:rsidR="00784701" w:rsidRDefault="00ED1A28">
            <w:pPr>
              <w:jc w:val="center"/>
              <w:rPr>
                <w:rFonts w:hint="eastAsia"/>
              </w:rPr>
            </w:pPr>
            <w:r>
              <w:rPr>
                <w:sz w:val="17"/>
              </w:rPr>
              <w:t>§ 6.6</w:t>
            </w:r>
          </w:p>
        </w:tc>
      </w:tr>
      <w:tr w:rsidR="00784701" w14:paraId="7D6AFB54" w14:textId="77777777">
        <w:trPr>
          <w:jc w:val="center"/>
        </w:trPr>
        <w:tc>
          <w:tcPr>
            <w:tcW w:w="4320" w:type="dxa"/>
            <w:shd w:val="clear" w:color="auto" w:fill="F8FAFC"/>
            <w:tcMar>
              <w:top w:w="90" w:type="dxa"/>
              <w:left w:w="100" w:type="dxa"/>
              <w:bottom w:w="90" w:type="dxa"/>
              <w:right w:w="100" w:type="dxa"/>
            </w:tcMar>
            <w:vAlign w:val="center"/>
          </w:tcPr>
          <w:p w14:paraId="2C6CD5F5" w14:textId="77777777" w:rsidR="00784701" w:rsidRDefault="00ED1A28">
            <w:pPr>
              <w:rPr>
                <w:rFonts w:hint="eastAsia"/>
              </w:rPr>
            </w:pPr>
            <w:r>
              <w:rPr>
                <w:sz w:val="17"/>
              </w:rPr>
              <w:t>Cross-segment Rules</w:t>
            </w:r>
          </w:p>
        </w:tc>
        <w:tc>
          <w:tcPr>
            <w:tcW w:w="6048" w:type="dxa"/>
            <w:shd w:val="clear" w:color="auto" w:fill="F8FAFC"/>
            <w:tcMar>
              <w:top w:w="90" w:type="dxa"/>
              <w:left w:w="100" w:type="dxa"/>
              <w:bottom w:w="90" w:type="dxa"/>
              <w:right w:w="100" w:type="dxa"/>
            </w:tcMar>
            <w:vAlign w:val="center"/>
          </w:tcPr>
          <w:p w14:paraId="6658F2E4" w14:textId="77777777" w:rsidR="00784701" w:rsidRDefault="00ED1A28">
            <w:pPr>
              <w:jc w:val="center"/>
              <w:rPr>
                <w:rFonts w:hint="eastAsia"/>
              </w:rPr>
            </w:pPr>
            <w:r>
              <w:rPr>
                <w:sz w:val="17"/>
              </w:rPr>
              <w:t>§§ 9.3, 13.1</w:t>
            </w:r>
          </w:p>
        </w:tc>
      </w:tr>
      <w:tr w:rsidR="00784701" w14:paraId="3C0E4F14" w14:textId="77777777">
        <w:trPr>
          <w:jc w:val="center"/>
        </w:trPr>
        <w:tc>
          <w:tcPr>
            <w:tcW w:w="4320" w:type="dxa"/>
            <w:tcMar>
              <w:top w:w="90" w:type="dxa"/>
              <w:left w:w="100" w:type="dxa"/>
              <w:bottom w:w="90" w:type="dxa"/>
              <w:right w:w="100" w:type="dxa"/>
            </w:tcMar>
            <w:vAlign w:val="center"/>
          </w:tcPr>
          <w:p w14:paraId="0C38B1F1" w14:textId="77777777" w:rsidR="00784701" w:rsidRDefault="00ED1A28">
            <w:pPr>
              <w:jc w:val="center"/>
              <w:rPr>
                <w:rFonts w:hint="eastAsia"/>
              </w:rPr>
            </w:pPr>
            <w:r>
              <w:rPr>
                <w:sz w:val="17"/>
              </w:rPr>
              <w:t>Deep Guidance</w:t>
            </w:r>
          </w:p>
        </w:tc>
        <w:tc>
          <w:tcPr>
            <w:tcW w:w="6048" w:type="dxa"/>
            <w:tcMar>
              <w:top w:w="90" w:type="dxa"/>
              <w:left w:w="100" w:type="dxa"/>
              <w:bottom w:w="90" w:type="dxa"/>
              <w:right w:w="100" w:type="dxa"/>
            </w:tcMar>
            <w:vAlign w:val="center"/>
          </w:tcPr>
          <w:p w14:paraId="760F17BB" w14:textId="77777777" w:rsidR="00784701" w:rsidRDefault="00ED1A28">
            <w:pPr>
              <w:jc w:val="center"/>
              <w:rPr>
                <w:rFonts w:hint="eastAsia"/>
              </w:rPr>
            </w:pPr>
            <w:r>
              <w:rPr>
                <w:sz w:val="17"/>
              </w:rPr>
              <w:t>§§ 5.4, 10.3</w:t>
            </w:r>
          </w:p>
        </w:tc>
      </w:tr>
      <w:tr w:rsidR="00784701" w14:paraId="5759F86A" w14:textId="77777777">
        <w:trPr>
          <w:jc w:val="center"/>
        </w:trPr>
        <w:tc>
          <w:tcPr>
            <w:tcW w:w="4320" w:type="dxa"/>
            <w:shd w:val="clear" w:color="auto" w:fill="F8FAFC"/>
            <w:tcMar>
              <w:top w:w="90" w:type="dxa"/>
              <w:left w:w="100" w:type="dxa"/>
              <w:bottom w:w="90" w:type="dxa"/>
              <w:right w:w="100" w:type="dxa"/>
            </w:tcMar>
            <w:vAlign w:val="center"/>
          </w:tcPr>
          <w:p w14:paraId="0BFC8C8F" w14:textId="77777777" w:rsidR="00784701" w:rsidRDefault="00ED1A28">
            <w:pPr>
              <w:jc w:val="center"/>
              <w:rPr>
                <w:rFonts w:hint="eastAsia"/>
              </w:rPr>
            </w:pPr>
            <w:r>
              <w:rPr>
                <w:sz w:val="17"/>
              </w:rPr>
              <w:t>Delta routing</w:t>
            </w:r>
          </w:p>
        </w:tc>
        <w:tc>
          <w:tcPr>
            <w:tcW w:w="6048" w:type="dxa"/>
            <w:shd w:val="clear" w:color="auto" w:fill="F8FAFC"/>
            <w:tcMar>
              <w:top w:w="90" w:type="dxa"/>
              <w:left w:w="100" w:type="dxa"/>
              <w:bottom w:w="90" w:type="dxa"/>
              <w:right w:w="100" w:type="dxa"/>
            </w:tcMar>
            <w:vAlign w:val="center"/>
          </w:tcPr>
          <w:p w14:paraId="72A8F8B4" w14:textId="77777777" w:rsidR="00784701" w:rsidRDefault="00ED1A28">
            <w:pPr>
              <w:jc w:val="center"/>
              <w:rPr>
                <w:rFonts w:hint="eastAsia"/>
              </w:rPr>
            </w:pPr>
            <w:r>
              <w:rPr>
                <w:sz w:val="17"/>
              </w:rPr>
              <w:t>§§ 6.4, 6.8</w:t>
            </w:r>
          </w:p>
        </w:tc>
      </w:tr>
      <w:tr w:rsidR="00784701" w14:paraId="23137955" w14:textId="77777777">
        <w:trPr>
          <w:jc w:val="center"/>
        </w:trPr>
        <w:tc>
          <w:tcPr>
            <w:tcW w:w="4320" w:type="dxa"/>
            <w:tcMar>
              <w:top w:w="90" w:type="dxa"/>
              <w:left w:w="100" w:type="dxa"/>
              <w:bottom w:w="90" w:type="dxa"/>
              <w:right w:w="100" w:type="dxa"/>
            </w:tcMar>
            <w:vAlign w:val="center"/>
          </w:tcPr>
          <w:p w14:paraId="319BF16C" w14:textId="77777777" w:rsidR="00784701" w:rsidRDefault="00ED1A28">
            <w:pPr>
              <w:jc w:val="center"/>
              <w:rPr>
                <w:rFonts w:hint="eastAsia"/>
              </w:rPr>
            </w:pPr>
            <w:r>
              <w:rPr>
                <w:sz w:val="17"/>
              </w:rPr>
              <w:t>Direct transfer</w:t>
            </w:r>
          </w:p>
        </w:tc>
        <w:tc>
          <w:tcPr>
            <w:tcW w:w="6048" w:type="dxa"/>
            <w:tcMar>
              <w:top w:w="90" w:type="dxa"/>
              <w:left w:w="100" w:type="dxa"/>
              <w:bottom w:w="90" w:type="dxa"/>
              <w:right w:w="100" w:type="dxa"/>
            </w:tcMar>
            <w:vAlign w:val="center"/>
          </w:tcPr>
          <w:p w14:paraId="468979D3" w14:textId="77777777" w:rsidR="00784701" w:rsidRDefault="00ED1A28">
            <w:pPr>
              <w:jc w:val="center"/>
              <w:rPr>
                <w:rFonts w:hint="eastAsia"/>
              </w:rPr>
            </w:pPr>
            <w:r>
              <w:rPr>
                <w:sz w:val="17"/>
              </w:rPr>
              <w:t>§ 7.2</w:t>
            </w:r>
          </w:p>
        </w:tc>
      </w:tr>
      <w:tr w:rsidR="00784701" w14:paraId="630C4F19" w14:textId="77777777">
        <w:trPr>
          <w:jc w:val="center"/>
        </w:trPr>
        <w:tc>
          <w:tcPr>
            <w:tcW w:w="4320" w:type="dxa"/>
            <w:shd w:val="clear" w:color="auto" w:fill="F8FAFC"/>
            <w:tcMar>
              <w:top w:w="90" w:type="dxa"/>
              <w:left w:w="100" w:type="dxa"/>
              <w:bottom w:w="90" w:type="dxa"/>
              <w:right w:w="100" w:type="dxa"/>
            </w:tcMar>
            <w:vAlign w:val="center"/>
          </w:tcPr>
          <w:p w14:paraId="3D227803" w14:textId="77777777" w:rsidR="00784701" w:rsidRDefault="00ED1A28">
            <w:pPr>
              <w:jc w:val="center"/>
              <w:rPr>
                <w:rFonts w:hint="eastAsia"/>
              </w:rPr>
            </w:pPr>
            <w:r>
              <w:rPr>
                <w:sz w:val="17"/>
              </w:rPr>
              <w:t>Domain validation</w:t>
            </w:r>
          </w:p>
        </w:tc>
        <w:tc>
          <w:tcPr>
            <w:tcW w:w="6048" w:type="dxa"/>
            <w:shd w:val="clear" w:color="auto" w:fill="F8FAFC"/>
            <w:tcMar>
              <w:top w:w="90" w:type="dxa"/>
              <w:left w:w="100" w:type="dxa"/>
              <w:bottom w:w="90" w:type="dxa"/>
              <w:right w:w="100" w:type="dxa"/>
            </w:tcMar>
            <w:vAlign w:val="center"/>
          </w:tcPr>
          <w:p w14:paraId="6E62E587" w14:textId="77777777" w:rsidR="00784701" w:rsidRDefault="00ED1A28">
            <w:pPr>
              <w:jc w:val="center"/>
              <w:rPr>
                <w:rFonts w:hint="eastAsia"/>
              </w:rPr>
            </w:pPr>
            <w:r>
              <w:rPr>
                <w:sz w:val="17"/>
              </w:rPr>
              <w:t>§ 14.2</w:t>
            </w:r>
          </w:p>
        </w:tc>
      </w:tr>
      <w:tr w:rsidR="00784701" w14:paraId="22F3B1F5" w14:textId="77777777">
        <w:trPr>
          <w:jc w:val="center"/>
        </w:trPr>
        <w:tc>
          <w:tcPr>
            <w:tcW w:w="4320" w:type="dxa"/>
            <w:tcMar>
              <w:top w:w="90" w:type="dxa"/>
              <w:left w:w="100" w:type="dxa"/>
              <w:bottom w:w="90" w:type="dxa"/>
              <w:right w:w="100" w:type="dxa"/>
            </w:tcMar>
            <w:vAlign w:val="center"/>
          </w:tcPr>
          <w:p w14:paraId="6A4350DD" w14:textId="77777777" w:rsidR="00784701" w:rsidRDefault="00ED1A28">
            <w:pPr>
              <w:rPr>
                <w:rFonts w:hint="eastAsia"/>
              </w:rPr>
            </w:pPr>
            <w:r>
              <w:rPr>
                <w:sz w:val="17"/>
              </w:rPr>
              <w:t>Extension optionality</w:t>
            </w:r>
          </w:p>
        </w:tc>
        <w:tc>
          <w:tcPr>
            <w:tcW w:w="6048" w:type="dxa"/>
            <w:tcMar>
              <w:top w:w="90" w:type="dxa"/>
              <w:left w:w="100" w:type="dxa"/>
              <w:bottom w:w="90" w:type="dxa"/>
              <w:right w:w="100" w:type="dxa"/>
            </w:tcMar>
            <w:vAlign w:val="center"/>
          </w:tcPr>
          <w:p w14:paraId="338225DF" w14:textId="77777777" w:rsidR="00784701" w:rsidRDefault="00ED1A28">
            <w:pPr>
              <w:jc w:val="center"/>
              <w:rPr>
                <w:rFonts w:hint="eastAsia"/>
              </w:rPr>
            </w:pPr>
            <w:r>
              <w:rPr>
                <w:sz w:val="17"/>
              </w:rPr>
              <w:t>§ 3.6</w:t>
            </w:r>
          </w:p>
        </w:tc>
      </w:tr>
      <w:tr w:rsidR="00784701" w14:paraId="5A2FCE63" w14:textId="77777777">
        <w:trPr>
          <w:jc w:val="center"/>
        </w:trPr>
        <w:tc>
          <w:tcPr>
            <w:tcW w:w="4320" w:type="dxa"/>
            <w:shd w:val="clear" w:color="auto" w:fill="F8FAFC"/>
            <w:tcMar>
              <w:top w:w="90" w:type="dxa"/>
              <w:left w:w="100" w:type="dxa"/>
              <w:bottom w:w="90" w:type="dxa"/>
              <w:right w:w="100" w:type="dxa"/>
            </w:tcMar>
            <w:vAlign w:val="center"/>
          </w:tcPr>
          <w:p w14:paraId="79FEC497" w14:textId="77777777" w:rsidR="00784701" w:rsidRDefault="00ED1A28">
            <w:pPr>
              <w:jc w:val="center"/>
              <w:rPr>
                <w:rFonts w:hint="eastAsia"/>
              </w:rPr>
            </w:pPr>
            <w:r>
              <w:rPr>
                <w:sz w:val="17"/>
              </w:rPr>
              <w:t>Extension segment</w:t>
            </w:r>
          </w:p>
        </w:tc>
        <w:tc>
          <w:tcPr>
            <w:tcW w:w="6048" w:type="dxa"/>
            <w:shd w:val="clear" w:color="auto" w:fill="F8FAFC"/>
            <w:tcMar>
              <w:top w:w="90" w:type="dxa"/>
              <w:left w:w="100" w:type="dxa"/>
              <w:bottom w:w="90" w:type="dxa"/>
              <w:right w:w="100" w:type="dxa"/>
            </w:tcMar>
            <w:vAlign w:val="center"/>
          </w:tcPr>
          <w:p w14:paraId="3DC8C4B9" w14:textId="77777777" w:rsidR="00784701" w:rsidRDefault="00ED1A28">
            <w:pPr>
              <w:jc w:val="center"/>
              <w:rPr>
                <w:rFonts w:hint="eastAsia"/>
              </w:rPr>
            </w:pPr>
            <w:r>
              <w:rPr>
                <w:sz w:val="17"/>
              </w:rPr>
              <w:t>§§ 2.4, 4.3</w:t>
            </w:r>
          </w:p>
        </w:tc>
      </w:tr>
      <w:tr w:rsidR="00784701" w14:paraId="4EB832C8" w14:textId="77777777">
        <w:trPr>
          <w:jc w:val="center"/>
        </w:trPr>
        <w:tc>
          <w:tcPr>
            <w:tcW w:w="4320" w:type="dxa"/>
            <w:tcMar>
              <w:top w:w="90" w:type="dxa"/>
              <w:left w:w="100" w:type="dxa"/>
              <w:bottom w:w="90" w:type="dxa"/>
              <w:right w:w="100" w:type="dxa"/>
            </w:tcMar>
            <w:vAlign w:val="center"/>
          </w:tcPr>
          <w:p w14:paraId="770D9C5B" w14:textId="77777777" w:rsidR="00784701" w:rsidRDefault="00ED1A28">
            <w:pPr>
              <w:rPr>
                <w:rFonts w:hint="eastAsia"/>
              </w:rPr>
            </w:pPr>
            <w:r>
              <w:rPr>
                <w:sz w:val="17"/>
              </w:rPr>
              <w:t>Fail-closed behavior</w:t>
            </w:r>
          </w:p>
        </w:tc>
        <w:tc>
          <w:tcPr>
            <w:tcW w:w="6048" w:type="dxa"/>
            <w:tcMar>
              <w:top w:w="90" w:type="dxa"/>
              <w:left w:w="100" w:type="dxa"/>
              <w:bottom w:w="90" w:type="dxa"/>
              <w:right w:w="100" w:type="dxa"/>
            </w:tcMar>
            <w:vAlign w:val="center"/>
          </w:tcPr>
          <w:p w14:paraId="60343A94" w14:textId="77777777" w:rsidR="00784701" w:rsidRDefault="00ED1A28">
            <w:pPr>
              <w:jc w:val="center"/>
              <w:rPr>
                <w:rFonts w:hint="eastAsia"/>
              </w:rPr>
            </w:pPr>
            <w:r>
              <w:rPr>
                <w:sz w:val="17"/>
              </w:rPr>
              <w:t>§ 9.5</w:t>
            </w:r>
          </w:p>
        </w:tc>
      </w:tr>
      <w:tr w:rsidR="00784701" w14:paraId="66B117C1" w14:textId="77777777">
        <w:trPr>
          <w:jc w:val="center"/>
        </w:trPr>
        <w:tc>
          <w:tcPr>
            <w:tcW w:w="4320" w:type="dxa"/>
            <w:shd w:val="clear" w:color="auto" w:fill="F8FAFC"/>
            <w:tcMar>
              <w:top w:w="90" w:type="dxa"/>
              <w:left w:w="100" w:type="dxa"/>
              <w:bottom w:w="90" w:type="dxa"/>
              <w:right w:w="100" w:type="dxa"/>
            </w:tcMar>
            <w:vAlign w:val="center"/>
          </w:tcPr>
          <w:p w14:paraId="0B80F588" w14:textId="77777777" w:rsidR="00784701" w:rsidRDefault="00ED1A28">
            <w:pPr>
              <w:jc w:val="center"/>
              <w:rPr>
                <w:rFonts w:hint="eastAsia"/>
              </w:rPr>
            </w:pPr>
            <w:r>
              <w:rPr>
                <w:sz w:val="17"/>
              </w:rPr>
              <w:t>FIT-128</w:t>
            </w:r>
          </w:p>
        </w:tc>
        <w:tc>
          <w:tcPr>
            <w:tcW w:w="6048" w:type="dxa"/>
            <w:shd w:val="clear" w:color="auto" w:fill="F8FAFC"/>
            <w:tcMar>
              <w:top w:w="90" w:type="dxa"/>
              <w:left w:w="100" w:type="dxa"/>
              <w:bottom w:w="90" w:type="dxa"/>
              <w:right w:w="100" w:type="dxa"/>
            </w:tcMar>
            <w:vAlign w:val="center"/>
          </w:tcPr>
          <w:p w14:paraId="6D5811D5" w14:textId="77777777" w:rsidR="00784701" w:rsidRDefault="00ED1A28">
            <w:pPr>
              <w:jc w:val="center"/>
              <w:rPr>
                <w:rFonts w:hint="eastAsia"/>
              </w:rPr>
            </w:pPr>
            <w:r>
              <w:rPr>
                <w:sz w:val="17"/>
              </w:rPr>
              <w:t>§ 10.3</w:t>
            </w:r>
          </w:p>
        </w:tc>
      </w:tr>
      <w:tr w:rsidR="00784701" w14:paraId="4D5EAC48" w14:textId="77777777">
        <w:trPr>
          <w:jc w:val="center"/>
        </w:trPr>
        <w:tc>
          <w:tcPr>
            <w:tcW w:w="4320" w:type="dxa"/>
            <w:tcMar>
              <w:top w:w="90" w:type="dxa"/>
              <w:left w:w="100" w:type="dxa"/>
              <w:bottom w:w="90" w:type="dxa"/>
              <w:right w:w="100" w:type="dxa"/>
            </w:tcMar>
            <w:vAlign w:val="center"/>
          </w:tcPr>
          <w:p w14:paraId="32E93F39" w14:textId="77777777" w:rsidR="00784701" w:rsidRDefault="00ED1A28">
            <w:pPr>
              <w:jc w:val="center"/>
              <w:rPr>
                <w:rFonts w:hint="eastAsia"/>
              </w:rPr>
            </w:pPr>
            <w:r>
              <w:rPr>
                <w:sz w:val="17"/>
              </w:rPr>
              <w:t>Kernel Family</w:t>
            </w:r>
          </w:p>
        </w:tc>
        <w:tc>
          <w:tcPr>
            <w:tcW w:w="6048" w:type="dxa"/>
            <w:tcMar>
              <w:top w:w="90" w:type="dxa"/>
              <w:left w:w="100" w:type="dxa"/>
              <w:bottom w:w="90" w:type="dxa"/>
              <w:right w:w="100" w:type="dxa"/>
            </w:tcMar>
            <w:vAlign w:val="center"/>
          </w:tcPr>
          <w:p w14:paraId="392B4E11" w14:textId="77777777" w:rsidR="00784701" w:rsidRDefault="00ED1A28">
            <w:pPr>
              <w:jc w:val="center"/>
              <w:rPr>
                <w:rFonts w:hint="eastAsia"/>
              </w:rPr>
            </w:pPr>
            <w:r>
              <w:rPr>
                <w:sz w:val="17"/>
              </w:rPr>
              <w:t>§§ 2.2, 12.1</w:t>
            </w:r>
          </w:p>
        </w:tc>
      </w:tr>
      <w:tr w:rsidR="00784701" w14:paraId="4E9C3D19" w14:textId="77777777">
        <w:trPr>
          <w:jc w:val="center"/>
        </w:trPr>
        <w:tc>
          <w:tcPr>
            <w:tcW w:w="4320" w:type="dxa"/>
            <w:shd w:val="clear" w:color="auto" w:fill="F8FAFC"/>
            <w:tcMar>
              <w:top w:w="90" w:type="dxa"/>
              <w:left w:w="100" w:type="dxa"/>
              <w:bottom w:w="90" w:type="dxa"/>
              <w:right w:w="100" w:type="dxa"/>
            </w:tcMar>
            <w:vAlign w:val="center"/>
          </w:tcPr>
          <w:p w14:paraId="44041249" w14:textId="77777777" w:rsidR="00784701" w:rsidRDefault="00ED1A28">
            <w:pPr>
              <w:rPr>
                <w:rFonts w:hint="eastAsia"/>
              </w:rPr>
            </w:pPr>
            <w:r>
              <w:rPr>
                <w:sz w:val="17"/>
              </w:rPr>
              <w:t>Knowledge Resolution</w:t>
            </w:r>
          </w:p>
        </w:tc>
        <w:tc>
          <w:tcPr>
            <w:tcW w:w="6048" w:type="dxa"/>
            <w:shd w:val="clear" w:color="auto" w:fill="F8FAFC"/>
            <w:tcMar>
              <w:top w:w="90" w:type="dxa"/>
              <w:left w:w="100" w:type="dxa"/>
              <w:bottom w:w="90" w:type="dxa"/>
              <w:right w:w="100" w:type="dxa"/>
            </w:tcMar>
            <w:vAlign w:val="center"/>
          </w:tcPr>
          <w:p w14:paraId="6B3E42F9" w14:textId="77777777" w:rsidR="00784701" w:rsidRDefault="00ED1A28">
            <w:pPr>
              <w:jc w:val="center"/>
              <w:rPr>
                <w:rFonts w:hint="eastAsia"/>
              </w:rPr>
            </w:pPr>
            <w:r>
              <w:rPr>
                <w:sz w:val="17"/>
              </w:rPr>
              <w:t>§ 5.1</w:t>
            </w:r>
          </w:p>
        </w:tc>
      </w:tr>
      <w:tr w:rsidR="00784701" w14:paraId="19E50434" w14:textId="77777777">
        <w:trPr>
          <w:jc w:val="center"/>
        </w:trPr>
        <w:tc>
          <w:tcPr>
            <w:tcW w:w="4320" w:type="dxa"/>
            <w:tcMar>
              <w:top w:w="90" w:type="dxa"/>
              <w:left w:w="100" w:type="dxa"/>
              <w:bottom w:w="90" w:type="dxa"/>
              <w:right w:w="100" w:type="dxa"/>
            </w:tcMar>
            <w:vAlign w:val="center"/>
          </w:tcPr>
          <w:p w14:paraId="5AE0BE79" w14:textId="77777777" w:rsidR="00784701" w:rsidRDefault="00ED1A28">
            <w:pPr>
              <w:jc w:val="center"/>
              <w:rPr>
                <w:rFonts w:hint="eastAsia"/>
              </w:rPr>
            </w:pPr>
            <w:r>
              <w:rPr>
                <w:sz w:val="17"/>
              </w:rPr>
              <w:t>LIBERTY</w:t>
            </w:r>
          </w:p>
        </w:tc>
        <w:tc>
          <w:tcPr>
            <w:tcW w:w="6048" w:type="dxa"/>
            <w:tcMar>
              <w:top w:w="90" w:type="dxa"/>
              <w:left w:w="100" w:type="dxa"/>
              <w:bottom w:w="90" w:type="dxa"/>
              <w:right w:w="100" w:type="dxa"/>
            </w:tcMar>
            <w:vAlign w:val="center"/>
          </w:tcPr>
          <w:p w14:paraId="7AF8125A" w14:textId="77777777" w:rsidR="00784701" w:rsidRDefault="00ED1A28">
            <w:pPr>
              <w:jc w:val="center"/>
              <w:rPr>
                <w:rFonts w:hint="eastAsia"/>
              </w:rPr>
            </w:pPr>
            <w:r>
              <w:rPr>
                <w:sz w:val="17"/>
              </w:rPr>
              <w:t>§ 11.3</w:t>
            </w:r>
          </w:p>
        </w:tc>
      </w:tr>
      <w:tr w:rsidR="00784701" w14:paraId="342730B0" w14:textId="77777777">
        <w:trPr>
          <w:jc w:val="center"/>
        </w:trPr>
        <w:tc>
          <w:tcPr>
            <w:tcW w:w="4320" w:type="dxa"/>
            <w:shd w:val="clear" w:color="auto" w:fill="F8FAFC"/>
            <w:tcMar>
              <w:top w:w="90" w:type="dxa"/>
              <w:left w:w="100" w:type="dxa"/>
              <w:bottom w:w="90" w:type="dxa"/>
              <w:right w:w="100" w:type="dxa"/>
            </w:tcMar>
            <w:vAlign w:val="center"/>
          </w:tcPr>
          <w:p w14:paraId="01DEFBF6" w14:textId="77777777" w:rsidR="00784701" w:rsidRDefault="00ED1A28">
            <w:pPr>
              <w:rPr>
                <w:rFonts w:hint="eastAsia"/>
              </w:rPr>
            </w:pPr>
            <w:r>
              <w:rPr>
                <w:sz w:val="17"/>
              </w:rPr>
              <w:t>Minimum common resolution</w:t>
            </w:r>
          </w:p>
        </w:tc>
        <w:tc>
          <w:tcPr>
            <w:tcW w:w="6048" w:type="dxa"/>
            <w:shd w:val="clear" w:color="auto" w:fill="F8FAFC"/>
            <w:tcMar>
              <w:top w:w="90" w:type="dxa"/>
              <w:left w:w="100" w:type="dxa"/>
              <w:bottom w:w="90" w:type="dxa"/>
              <w:right w:w="100" w:type="dxa"/>
            </w:tcMar>
            <w:vAlign w:val="center"/>
          </w:tcPr>
          <w:p w14:paraId="6274C144" w14:textId="77777777" w:rsidR="00784701" w:rsidRDefault="00ED1A28">
            <w:pPr>
              <w:jc w:val="center"/>
              <w:rPr>
                <w:rFonts w:hint="eastAsia"/>
              </w:rPr>
            </w:pPr>
            <w:r>
              <w:rPr>
                <w:sz w:val="17"/>
              </w:rPr>
              <w:t>§ 9.2</w:t>
            </w:r>
          </w:p>
        </w:tc>
      </w:tr>
      <w:tr w:rsidR="00784701" w14:paraId="5E35CE7C" w14:textId="77777777">
        <w:trPr>
          <w:jc w:val="center"/>
        </w:trPr>
        <w:tc>
          <w:tcPr>
            <w:tcW w:w="4320" w:type="dxa"/>
            <w:tcMar>
              <w:top w:w="90" w:type="dxa"/>
              <w:left w:w="100" w:type="dxa"/>
              <w:bottom w:w="90" w:type="dxa"/>
              <w:right w:w="100" w:type="dxa"/>
            </w:tcMar>
            <w:vAlign w:val="center"/>
          </w:tcPr>
          <w:p w14:paraId="5E839864" w14:textId="77777777" w:rsidR="00784701" w:rsidRDefault="00ED1A28">
            <w:pPr>
              <w:rPr>
                <w:rFonts w:hint="eastAsia"/>
              </w:rPr>
            </w:pPr>
            <w:r>
              <w:rPr>
                <w:sz w:val="17"/>
              </w:rPr>
              <w:t>Minimum Sufficient Resolution</w:t>
            </w:r>
          </w:p>
        </w:tc>
        <w:tc>
          <w:tcPr>
            <w:tcW w:w="6048" w:type="dxa"/>
            <w:tcMar>
              <w:top w:w="90" w:type="dxa"/>
              <w:left w:w="100" w:type="dxa"/>
              <w:bottom w:w="90" w:type="dxa"/>
              <w:right w:w="100" w:type="dxa"/>
            </w:tcMar>
            <w:vAlign w:val="center"/>
          </w:tcPr>
          <w:p w14:paraId="797A26F7" w14:textId="77777777" w:rsidR="00784701" w:rsidRDefault="00ED1A28">
            <w:pPr>
              <w:jc w:val="center"/>
              <w:rPr>
                <w:rFonts w:hint="eastAsia"/>
              </w:rPr>
            </w:pPr>
            <w:r>
              <w:rPr>
                <w:sz w:val="17"/>
              </w:rPr>
              <w:t>§§ 3.10, 5</w:t>
            </w:r>
          </w:p>
        </w:tc>
      </w:tr>
      <w:tr w:rsidR="00784701" w14:paraId="4BCA0DD5" w14:textId="77777777">
        <w:trPr>
          <w:jc w:val="center"/>
        </w:trPr>
        <w:tc>
          <w:tcPr>
            <w:tcW w:w="4320" w:type="dxa"/>
            <w:shd w:val="clear" w:color="auto" w:fill="F8FAFC"/>
            <w:tcMar>
              <w:top w:w="90" w:type="dxa"/>
              <w:left w:w="100" w:type="dxa"/>
              <w:bottom w:w="90" w:type="dxa"/>
              <w:right w:w="100" w:type="dxa"/>
            </w:tcMar>
            <w:vAlign w:val="center"/>
          </w:tcPr>
          <w:p w14:paraId="513F5585" w14:textId="77777777" w:rsidR="00784701" w:rsidRDefault="00ED1A28">
            <w:pPr>
              <w:jc w:val="center"/>
              <w:rPr>
                <w:rFonts w:hint="eastAsia"/>
              </w:rPr>
            </w:pPr>
            <w:r>
              <w:rPr>
                <w:sz w:val="17"/>
              </w:rPr>
              <w:t>MUSCLE-512</w:t>
            </w:r>
          </w:p>
        </w:tc>
        <w:tc>
          <w:tcPr>
            <w:tcW w:w="6048" w:type="dxa"/>
            <w:shd w:val="clear" w:color="auto" w:fill="F8FAFC"/>
            <w:tcMar>
              <w:top w:w="90" w:type="dxa"/>
              <w:left w:w="100" w:type="dxa"/>
              <w:bottom w:w="90" w:type="dxa"/>
              <w:right w:w="100" w:type="dxa"/>
            </w:tcMar>
            <w:vAlign w:val="center"/>
          </w:tcPr>
          <w:p w14:paraId="05C0AD6E" w14:textId="77777777" w:rsidR="00784701" w:rsidRDefault="00ED1A28">
            <w:pPr>
              <w:jc w:val="center"/>
              <w:rPr>
                <w:rFonts w:hint="eastAsia"/>
              </w:rPr>
            </w:pPr>
            <w:r>
              <w:rPr>
                <w:sz w:val="17"/>
              </w:rPr>
              <w:t>§§ 4.4, 10.1</w:t>
            </w:r>
          </w:p>
        </w:tc>
      </w:tr>
      <w:tr w:rsidR="00784701" w14:paraId="497D7463" w14:textId="77777777">
        <w:trPr>
          <w:jc w:val="center"/>
        </w:trPr>
        <w:tc>
          <w:tcPr>
            <w:tcW w:w="4320" w:type="dxa"/>
            <w:tcMar>
              <w:top w:w="90" w:type="dxa"/>
              <w:left w:w="100" w:type="dxa"/>
              <w:bottom w:w="90" w:type="dxa"/>
              <w:right w:w="100" w:type="dxa"/>
            </w:tcMar>
            <w:vAlign w:val="center"/>
          </w:tcPr>
          <w:p w14:paraId="2181790D" w14:textId="77777777" w:rsidR="00784701" w:rsidRDefault="00ED1A28">
            <w:pPr>
              <w:rPr>
                <w:rFonts w:hint="eastAsia"/>
              </w:rPr>
            </w:pPr>
            <w:r>
              <w:rPr>
                <w:sz w:val="17"/>
              </w:rPr>
              <w:t>Mutation boundaries</w:t>
            </w:r>
          </w:p>
        </w:tc>
        <w:tc>
          <w:tcPr>
            <w:tcW w:w="6048" w:type="dxa"/>
            <w:tcMar>
              <w:top w:w="90" w:type="dxa"/>
              <w:left w:w="100" w:type="dxa"/>
              <w:bottom w:w="90" w:type="dxa"/>
              <w:right w:w="100" w:type="dxa"/>
            </w:tcMar>
            <w:vAlign w:val="center"/>
          </w:tcPr>
          <w:p w14:paraId="7F0DA4F0" w14:textId="77777777" w:rsidR="00784701" w:rsidRDefault="00ED1A28">
            <w:pPr>
              <w:jc w:val="center"/>
              <w:rPr>
                <w:rFonts w:hint="eastAsia"/>
              </w:rPr>
            </w:pPr>
            <w:r>
              <w:rPr>
                <w:sz w:val="17"/>
              </w:rPr>
              <w:t>§ 9.3</w:t>
            </w:r>
          </w:p>
        </w:tc>
      </w:tr>
      <w:tr w:rsidR="00784701" w14:paraId="796EE64D" w14:textId="77777777">
        <w:trPr>
          <w:jc w:val="center"/>
        </w:trPr>
        <w:tc>
          <w:tcPr>
            <w:tcW w:w="4320" w:type="dxa"/>
            <w:shd w:val="clear" w:color="auto" w:fill="F8FAFC"/>
            <w:tcMar>
              <w:top w:w="90" w:type="dxa"/>
              <w:left w:w="100" w:type="dxa"/>
              <w:bottom w:w="90" w:type="dxa"/>
              <w:right w:w="100" w:type="dxa"/>
            </w:tcMar>
            <w:vAlign w:val="center"/>
          </w:tcPr>
          <w:p w14:paraId="6CE6D4B3" w14:textId="77777777" w:rsidR="00784701" w:rsidRDefault="00ED1A28">
            <w:pPr>
              <w:jc w:val="center"/>
              <w:rPr>
                <w:rFonts w:hint="eastAsia"/>
              </w:rPr>
            </w:pPr>
            <w:r>
              <w:rPr>
                <w:sz w:val="17"/>
              </w:rPr>
              <w:t>No-Migration Law</w:t>
            </w:r>
          </w:p>
        </w:tc>
        <w:tc>
          <w:tcPr>
            <w:tcW w:w="6048" w:type="dxa"/>
            <w:shd w:val="clear" w:color="auto" w:fill="F8FAFC"/>
            <w:tcMar>
              <w:top w:w="90" w:type="dxa"/>
              <w:left w:w="100" w:type="dxa"/>
              <w:bottom w:w="90" w:type="dxa"/>
              <w:right w:w="100" w:type="dxa"/>
            </w:tcMar>
            <w:vAlign w:val="center"/>
          </w:tcPr>
          <w:p w14:paraId="6E7AD5F4" w14:textId="77777777" w:rsidR="00784701" w:rsidRDefault="00ED1A28">
            <w:pPr>
              <w:jc w:val="center"/>
              <w:rPr>
                <w:rFonts w:hint="eastAsia"/>
              </w:rPr>
            </w:pPr>
            <w:r>
              <w:rPr>
                <w:sz w:val="17"/>
              </w:rPr>
              <w:t>§ 3.4</w:t>
            </w:r>
          </w:p>
        </w:tc>
      </w:tr>
      <w:tr w:rsidR="00784701" w14:paraId="49B1BF5B" w14:textId="77777777">
        <w:trPr>
          <w:jc w:val="center"/>
        </w:trPr>
        <w:tc>
          <w:tcPr>
            <w:tcW w:w="4320" w:type="dxa"/>
            <w:tcMar>
              <w:top w:w="90" w:type="dxa"/>
              <w:left w:w="100" w:type="dxa"/>
              <w:bottom w:w="90" w:type="dxa"/>
              <w:right w:w="100" w:type="dxa"/>
            </w:tcMar>
            <w:vAlign w:val="center"/>
          </w:tcPr>
          <w:p w14:paraId="2E861122" w14:textId="77777777" w:rsidR="00784701" w:rsidRDefault="00ED1A28">
            <w:pPr>
              <w:rPr>
                <w:rFonts w:hint="eastAsia"/>
              </w:rPr>
            </w:pPr>
            <w:r>
              <w:rPr>
                <w:sz w:val="17"/>
              </w:rPr>
              <w:t>Opaque tail preservation</w:t>
            </w:r>
          </w:p>
        </w:tc>
        <w:tc>
          <w:tcPr>
            <w:tcW w:w="6048" w:type="dxa"/>
            <w:tcMar>
              <w:top w:w="90" w:type="dxa"/>
              <w:left w:w="100" w:type="dxa"/>
              <w:bottom w:w="90" w:type="dxa"/>
              <w:right w:w="100" w:type="dxa"/>
            </w:tcMar>
            <w:vAlign w:val="center"/>
          </w:tcPr>
          <w:p w14:paraId="684C1440" w14:textId="77777777" w:rsidR="00784701" w:rsidRDefault="00ED1A28">
            <w:pPr>
              <w:jc w:val="center"/>
              <w:rPr>
                <w:rFonts w:hint="eastAsia"/>
              </w:rPr>
            </w:pPr>
            <w:r>
              <w:rPr>
                <w:sz w:val="17"/>
              </w:rPr>
              <w:t>§§ 6.3, 7.4, 9.2</w:t>
            </w:r>
          </w:p>
        </w:tc>
      </w:tr>
      <w:tr w:rsidR="00784701" w14:paraId="35EBA8D4" w14:textId="77777777">
        <w:trPr>
          <w:jc w:val="center"/>
        </w:trPr>
        <w:tc>
          <w:tcPr>
            <w:tcW w:w="4320" w:type="dxa"/>
            <w:shd w:val="clear" w:color="auto" w:fill="F8FAFC"/>
            <w:tcMar>
              <w:top w:w="90" w:type="dxa"/>
              <w:left w:w="100" w:type="dxa"/>
              <w:bottom w:w="90" w:type="dxa"/>
              <w:right w:w="100" w:type="dxa"/>
            </w:tcMar>
            <w:vAlign w:val="center"/>
          </w:tcPr>
          <w:p w14:paraId="4306D34F" w14:textId="77777777" w:rsidR="00784701" w:rsidRDefault="00ED1A28">
            <w:pPr>
              <w:jc w:val="center"/>
              <w:rPr>
                <w:rFonts w:hint="eastAsia"/>
              </w:rPr>
            </w:pPr>
            <w:r>
              <w:rPr>
                <w:sz w:val="17"/>
              </w:rPr>
              <w:t>Operators</w:t>
            </w:r>
          </w:p>
        </w:tc>
        <w:tc>
          <w:tcPr>
            <w:tcW w:w="6048" w:type="dxa"/>
            <w:shd w:val="clear" w:color="auto" w:fill="F8FAFC"/>
            <w:tcMar>
              <w:top w:w="90" w:type="dxa"/>
              <w:left w:w="100" w:type="dxa"/>
              <w:bottom w:w="90" w:type="dxa"/>
              <w:right w:w="100" w:type="dxa"/>
            </w:tcMar>
            <w:vAlign w:val="center"/>
          </w:tcPr>
          <w:p w14:paraId="77E561F3" w14:textId="77777777" w:rsidR="00784701" w:rsidRDefault="00ED1A28">
            <w:pPr>
              <w:jc w:val="center"/>
              <w:rPr>
                <w:rFonts w:hint="eastAsia"/>
              </w:rPr>
            </w:pPr>
            <w:r>
              <w:rPr>
                <w:sz w:val="17"/>
              </w:rPr>
              <w:t>§§ 9.3–9.4, 12.1</w:t>
            </w:r>
          </w:p>
        </w:tc>
      </w:tr>
      <w:tr w:rsidR="00784701" w14:paraId="76A4A68A" w14:textId="77777777">
        <w:trPr>
          <w:jc w:val="center"/>
        </w:trPr>
        <w:tc>
          <w:tcPr>
            <w:tcW w:w="4320" w:type="dxa"/>
            <w:tcMar>
              <w:top w:w="90" w:type="dxa"/>
              <w:left w:w="100" w:type="dxa"/>
              <w:bottom w:w="90" w:type="dxa"/>
              <w:right w:w="100" w:type="dxa"/>
            </w:tcMar>
            <w:vAlign w:val="center"/>
          </w:tcPr>
          <w:p w14:paraId="2CB8A91B" w14:textId="77777777" w:rsidR="00784701" w:rsidRDefault="00ED1A28">
            <w:pPr>
              <w:rPr>
                <w:rFonts w:hint="eastAsia"/>
              </w:rPr>
            </w:pPr>
            <w:r>
              <w:rPr>
                <w:sz w:val="17"/>
              </w:rPr>
              <w:t>Prefix equality testing</w:t>
            </w:r>
          </w:p>
        </w:tc>
        <w:tc>
          <w:tcPr>
            <w:tcW w:w="6048" w:type="dxa"/>
            <w:tcMar>
              <w:top w:w="90" w:type="dxa"/>
              <w:left w:w="100" w:type="dxa"/>
              <w:bottom w:w="90" w:type="dxa"/>
              <w:right w:w="100" w:type="dxa"/>
            </w:tcMar>
            <w:vAlign w:val="center"/>
          </w:tcPr>
          <w:p w14:paraId="433C2D5A" w14:textId="77777777" w:rsidR="00784701" w:rsidRDefault="00ED1A28">
            <w:pPr>
              <w:jc w:val="center"/>
              <w:rPr>
                <w:rFonts w:hint="eastAsia"/>
              </w:rPr>
            </w:pPr>
            <w:r>
              <w:rPr>
                <w:sz w:val="17"/>
              </w:rPr>
              <w:t>§ 13.2</w:t>
            </w:r>
          </w:p>
        </w:tc>
      </w:tr>
      <w:tr w:rsidR="00784701" w14:paraId="5EAD18F1" w14:textId="77777777">
        <w:trPr>
          <w:jc w:val="center"/>
        </w:trPr>
        <w:tc>
          <w:tcPr>
            <w:tcW w:w="4320" w:type="dxa"/>
            <w:shd w:val="clear" w:color="auto" w:fill="F8FAFC"/>
            <w:tcMar>
              <w:top w:w="90" w:type="dxa"/>
              <w:left w:w="100" w:type="dxa"/>
              <w:bottom w:w="90" w:type="dxa"/>
              <w:right w:w="100" w:type="dxa"/>
            </w:tcMar>
            <w:vAlign w:val="center"/>
          </w:tcPr>
          <w:p w14:paraId="2595FBF6" w14:textId="77777777" w:rsidR="00784701" w:rsidRDefault="00ED1A28">
            <w:pPr>
              <w:rPr>
                <w:rFonts w:hint="eastAsia"/>
              </w:rPr>
            </w:pPr>
            <w:r>
              <w:rPr>
                <w:sz w:val="17"/>
              </w:rPr>
              <w:t>Prefix Invariance Law</w:t>
            </w:r>
          </w:p>
        </w:tc>
        <w:tc>
          <w:tcPr>
            <w:tcW w:w="6048" w:type="dxa"/>
            <w:shd w:val="clear" w:color="auto" w:fill="F8FAFC"/>
            <w:tcMar>
              <w:top w:w="90" w:type="dxa"/>
              <w:left w:w="100" w:type="dxa"/>
              <w:bottom w:w="90" w:type="dxa"/>
              <w:right w:w="100" w:type="dxa"/>
            </w:tcMar>
            <w:vAlign w:val="center"/>
          </w:tcPr>
          <w:p w14:paraId="05EFE191" w14:textId="77777777" w:rsidR="00784701" w:rsidRDefault="00ED1A28">
            <w:pPr>
              <w:jc w:val="center"/>
              <w:rPr>
                <w:rFonts w:hint="eastAsia"/>
              </w:rPr>
            </w:pPr>
            <w:r>
              <w:rPr>
                <w:sz w:val="17"/>
              </w:rPr>
              <w:t>§ 3.1</w:t>
            </w:r>
          </w:p>
        </w:tc>
      </w:tr>
      <w:tr w:rsidR="00784701" w14:paraId="3CFA6A17" w14:textId="77777777">
        <w:trPr>
          <w:jc w:val="center"/>
        </w:trPr>
        <w:tc>
          <w:tcPr>
            <w:tcW w:w="4320" w:type="dxa"/>
            <w:tcMar>
              <w:top w:w="90" w:type="dxa"/>
              <w:left w:w="100" w:type="dxa"/>
              <w:bottom w:w="90" w:type="dxa"/>
              <w:right w:w="100" w:type="dxa"/>
            </w:tcMar>
            <w:vAlign w:val="center"/>
          </w:tcPr>
          <w:p w14:paraId="31A2C844" w14:textId="77777777" w:rsidR="00784701" w:rsidRDefault="00ED1A28">
            <w:pPr>
              <w:jc w:val="center"/>
              <w:rPr>
                <w:rFonts w:hint="eastAsia"/>
              </w:rPr>
            </w:pPr>
            <w:r>
              <w:rPr>
                <w:sz w:val="17"/>
              </w:rPr>
              <w:t>Prefix projection</w:t>
            </w:r>
          </w:p>
        </w:tc>
        <w:tc>
          <w:tcPr>
            <w:tcW w:w="6048" w:type="dxa"/>
            <w:tcMar>
              <w:top w:w="90" w:type="dxa"/>
              <w:left w:w="100" w:type="dxa"/>
              <w:bottom w:w="90" w:type="dxa"/>
              <w:right w:w="100" w:type="dxa"/>
            </w:tcMar>
            <w:vAlign w:val="center"/>
          </w:tcPr>
          <w:p w14:paraId="4CE9B610" w14:textId="77777777" w:rsidR="00784701" w:rsidRDefault="00ED1A28">
            <w:pPr>
              <w:jc w:val="center"/>
              <w:rPr>
                <w:rFonts w:hint="eastAsia"/>
              </w:rPr>
            </w:pPr>
            <w:r>
              <w:rPr>
                <w:sz w:val="17"/>
              </w:rPr>
              <w:t>§§ 2.6, 3.7, 7.3</w:t>
            </w:r>
          </w:p>
        </w:tc>
      </w:tr>
      <w:tr w:rsidR="00784701" w14:paraId="485C8999" w14:textId="77777777">
        <w:trPr>
          <w:jc w:val="center"/>
        </w:trPr>
        <w:tc>
          <w:tcPr>
            <w:tcW w:w="4320" w:type="dxa"/>
            <w:shd w:val="clear" w:color="auto" w:fill="F8FAFC"/>
            <w:tcMar>
              <w:top w:w="90" w:type="dxa"/>
              <w:left w:w="100" w:type="dxa"/>
              <w:bottom w:w="90" w:type="dxa"/>
              <w:right w:w="100" w:type="dxa"/>
            </w:tcMar>
            <w:vAlign w:val="center"/>
          </w:tcPr>
          <w:p w14:paraId="6DC4CBDF" w14:textId="77777777" w:rsidR="00784701" w:rsidRDefault="00ED1A28">
            <w:pPr>
              <w:jc w:val="center"/>
              <w:rPr>
                <w:rFonts w:hint="eastAsia"/>
              </w:rPr>
            </w:pPr>
            <w:r>
              <w:rPr>
                <w:sz w:val="17"/>
              </w:rPr>
              <w:t>Record Resolution</w:t>
            </w:r>
          </w:p>
        </w:tc>
        <w:tc>
          <w:tcPr>
            <w:tcW w:w="6048" w:type="dxa"/>
            <w:shd w:val="clear" w:color="auto" w:fill="F8FAFC"/>
            <w:tcMar>
              <w:top w:w="90" w:type="dxa"/>
              <w:left w:w="100" w:type="dxa"/>
              <w:bottom w:w="90" w:type="dxa"/>
              <w:right w:w="100" w:type="dxa"/>
            </w:tcMar>
            <w:vAlign w:val="center"/>
          </w:tcPr>
          <w:p w14:paraId="31CE09D9" w14:textId="77777777" w:rsidR="00784701" w:rsidRDefault="00ED1A28">
            <w:pPr>
              <w:jc w:val="center"/>
              <w:rPr>
                <w:rFonts w:hint="eastAsia"/>
              </w:rPr>
            </w:pPr>
            <w:r>
              <w:rPr>
                <w:sz w:val="17"/>
              </w:rPr>
              <w:t>§ 5.1</w:t>
            </w:r>
          </w:p>
        </w:tc>
      </w:tr>
      <w:tr w:rsidR="00784701" w14:paraId="1AE1C766" w14:textId="77777777">
        <w:trPr>
          <w:jc w:val="center"/>
        </w:trPr>
        <w:tc>
          <w:tcPr>
            <w:tcW w:w="4320" w:type="dxa"/>
            <w:tcMar>
              <w:top w:w="90" w:type="dxa"/>
              <w:left w:w="100" w:type="dxa"/>
              <w:bottom w:w="90" w:type="dxa"/>
              <w:right w:w="100" w:type="dxa"/>
            </w:tcMar>
            <w:vAlign w:val="center"/>
          </w:tcPr>
          <w:p w14:paraId="21177C2A" w14:textId="77777777" w:rsidR="00784701" w:rsidRDefault="00ED1A28">
            <w:pPr>
              <w:jc w:val="center"/>
              <w:rPr>
                <w:rFonts w:hint="eastAsia"/>
              </w:rPr>
            </w:pPr>
            <w:r>
              <w:rPr>
                <w:sz w:val="17"/>
              </w:rPr>
              <w:t>Reserved bits</w:t>
            </w:r>
          </w:p>
        </w:tc>
        <w:tc>
          <w:tcPr>
            <w:tcW w:w="6048" w:type="dxa"/>
            <w:tcMar>
              <w:top w:w="90" w:type="dxa"/>
              <w:left w:w="100" w:type="dxa"/>
              <w:bottom w:w="90" w:type="dxa"/>
              <w:right w:w="100" w:type="dxa"/>
            </w:tcMar>
            <w:vAlign w:val="center"/>
          </w:tcPr>
          <w:p w14:paraId="1D0318F9" w14:textId="77777777" w:rsidR="00784701" w:rsidRDefault="00ED1A28">
            <w:pPr>
              <w:jc w:val="center"/>
              <w:rPr>
                <w:rFonts w:hint="eastAsia"/>
              </w:rPr>
            </w:pPr>
            <w:r>
              <w:rPr>
                <w:sz w:val="17"/>
              </w:rPr>
              <w:t>§ 8.3</w:t>
            </w:r>
          </w:p>
        </w:tc>
      </w:tr>
      <w:tr w:rsidR="00784701" w14:paraId="4A018E4B" w14:textId="77777777">
        <w:trPr>
          <w:jc w:val="center"/>
        </w:trPr>
        <w:tc>
          <w:tcPr>
            <w:tcW w:w="4320" w:type="dxa"/>
            <w:shd w:val="clear" w:color="auto" w:fill="F8FAFC"/>
            <w:tcMar>
              <w:top w:w="90" w:type="dxa"/>
              <w:left w:w="100" w:type="dxa"/>
              <w:bottom w:w="90" w:type="dxa"/>
              <w:right w:w="100" w:type="dxa"/>
            </w:tcMar>
            <w:vAlign w:val="center"/>
          </w:tcPr>
          <w:p w14:paraId="62AB5DB5" w14:textId="77777777" w:rsidR="00784701" w:rsidRDefault="00ED1A28">
            <w:pPr>
              <w:jc w:val="center"/>
              <w:rPr>
                <w:rFonts w:hint="eastAsia"/>
              </w:rPr>
            </w:pPr>
            <w:r>
              <w:rPr>
                <w:sz w:val="17"/>
              </w:rPr>
              <w:t>Resolution classes</w:t>
            </w:r>
          </w:p>
        </w:tc>
        <w:tc>
          <w:tcPr>
            <w:tcW w:w="6048" w:type="dxa"/>
            <w:shd w:val="clear" w:color="auto" w:fill="F8FAFC"/>
            <w:tcMar>
              <w:top w:w="90" w:type="dxa"/>
              <w:left w:w="100" w:type="dxa"/>
              <w:bottom w:w="90" w:type="dxa"/>
              <w:right w:w="100" w:type="dxa"/>
            </w:tcMar>
            <w:vAlign w:val="center"/>
          </w:tcPr>
          <w:p w14:paraId="6336D7CC" w14:textId="77777777" w:rsidR="00784701" w:rsidRDefault="00ED1A28">
            <w:pPr>
              <w:jc w:val="center"/>
              <w:rPr>
                <w:rFonts w:hint="eastAsia"/>
              </w:rPr>
            </w:pPr>
            <w:r>
              <w:rPr>
                <w:sz w:val="17"/>
              </w:rPr>
              <w:t>§ 5.2</w:t>
            </w:r>
          </w:p>
        </w:tc>
      </w:tr>
      <w:tr w:rsidR="00784701" w14:paraId="5B226A37" w14:textId="77777777">
        <w:trPr>
          <w:jc w:val="center"/>
        </w:trPr>
        <w:tc>
          <w:tcPr>
            <w:tcW w:w="4320" w:type="dxa"/>
            <w:tcMar>
              <w:top w:w="90" w:type="dxa"/>
              <w:left w:w="100" w:type="dxa"/>
              <w:bottom w:w="90" w:type="dxa"/>
              <w:right w:w="100" w:type="dxa"/>
            </w:tcMar>
            <w:vAlign w:val="center"/>
          </w:tcPr>
          <w:p w14:paraId="38BC9D47" w14:textId="77777777" w:rsidR="00784701" w:rsidRDefault="00ED1A28">
            <w:pPr>
              <w:rPr>
                <w:rFonts w:hint="eastAsia"/>
              </w:rPr>
            </w:pPr>
            <w:r>
              <w:rPr>
                <w:sz w:val="17"/>
              </w:rPr>
              <w:t>Resolution independence</w:t>
            </w:r>
          </w:p>
        </w:tc>
        <w:tc>
          <w:tcPr>
            <w:tcW w:w="6048" w:type="dxa"/>
            <w:tcMar>
              <w:top w:w="90" w:type="dxa"/>
              <w:left w:w="100" w:type="dxa"/>
              <w:bottom w:w="90" w:type="dxa"/>
              <w:right w:w="100" w:type="dxa"/>
            </w:tcMar>
            <w:vAlign w:val="center"/>
          </w:tcPr>
          <w:p w14:paraId="36EA71F4" w14:textId="77777777" w:rsidR="00784701" w:rsidRDefault="00ED1A28">
            <w:pPr>
              <w:jc w:val="center"/>
              <w:rPr>
                <w:rFonts w:hint="eastAsia"/>
              </w:rPr>
            </w:pPr>
            <w:r>
              <w:rPr>
                <w:sz w:val="17"/>
              </w:rPr>
              <w:t>§ 3.5</w:t>
            </w:r>
          </w:p>
        </w:tc>
      </w:tr>
      <w:tr w:rsidR="00784701" w14:paraId="01CF351E" w14:textId="77777777">
        <w:trPr>
          <w:jc w:val="center"/>
        </w:trPr>
        <w:tc>
          <w:tcPr>
            <w:tcW w:w="4320" w:type="dxa"/>
            <w:shd w:val="clear" w:color="auto" w:fill="F8FAFC"/>
            <w:tcMar>
              <w:top w:w="90" w:type="dxa"/>
              <w:left w:w="100" w:type="dxa"/>
              <w:bottom w:w="90" w:type="dxa"/>
              <w:right w:w="100" w:type="dxa"/>
            </w:tcMar>
            <w:vAlign w:val="center"/>
          </w:tcPr>
          <w:p w14:paraId="5251B23F" w14:textId="77777777" w:rsidR="00784701" w:rsidRDefault="00ED1A28">
            <w:pPr>
              <w:rPr>
                <w:rFonts w:hint="eastAsia"/>
              </w:rPr>
            </w:pPr>
            <w:r>
              <w:rPr>
                <w:sz w:val="17"/>
              </w:rPr>
              <w:t>Resolution-specific Bitlinks</w:t>
            </w:r>
          </w:p>
        </w:tc>
        <w:tc>
          <w:tcPr>
            <w:tcW w:w="6048" w:type="dxa"/>
            <w:shd w:val="clear" w:color="auto" w:fill="F8FAFC"/>
            <w:tcMar>
              <w:top w:w="90" w:type="dxa"/>
              <w:left w:w="100" w:type="dxa"/>
              <w:bottom w:w="90" w:type="dxa"/>
              <w:right w:w="100" w:type="dxa"/>
            </w:tcMar>
            <w:vAlign w:val="center"/>
          </w:tcPr>
          <w:p w14:paraId="232FF4CE" w14:textId="77777777" w:rsidR="00784701" w:rsidRDefault="00ED1A28">
            <w:pPr>
              <w:jc w:val="center"/>
              <w:rPr>
                <w:rFonts w:hint="eastAsia"/>
              </w:rPr>
            </w:pPr>
            <w:r>
              <w:rPr>
                <w:sz w:val="17"/>
              </w:rPr>
              <w:t>§ 6.2</w:t>
            </w:r>
          </w:p>
        </w:tc>
      </w:tr>
      <w:tr w:rsidR="00784701" w14:paraId="10D2DEEB" w14:textId="77777777">
        <w:trPr>
          <w:jc w:val="center"/>
        </w:trPr>
        <w:tc>
          <w:tcPr>
            <w:tcW w:w="4320" w:type="dxa"/>
            <w:tcMar>
              <w:top w:w="90" w:type="dxa"/>
              <w:left w:w="100" w:type="dxa"/>
              <w:bottom w:w="90" w:type="dxa"/>
              <w:right w:w="100" w:type="dxa"/>
            </w:tcMar>
            <w:vAlign w:val="center"/>
          </w:tcPr>
          <w:p w14:paraId="05356ECF" w14:textId="77777777" w:rsidR="00784701" w:rsidRDefault="00ED1A28">
            <w:pPr>
              <w:jc w:val="center"/>
              <w:rPr>
                <w:rFonts w:hint="eastAsia"/>
              </w:rPr>
            </w:pPr>
            <w:r>
              <w:rPr>
                <w:sz w:val="17"/>
              </w:rPr>
              <w:t>Semantic Address</w:t>
            </w:r>
          </w:p>
        </w:tc>
        <w:tc>
          <w:tcPr>
            <w:tcW w:w="6048" w:type="dxa"/>
            <w:tcMar>
              <w:top w:w="90" w:type="dxa"/>
              <w:left w:w="100" w:type="dxa"/>
              <w:bottom w:w="90" w:type="dxa"/>
              <w:right w:w="100" w:type="dxa"/>
            </w:tcMar>
            <w:vAlign w:val="center"/>
          </w:tcPr>
          <w:p w14:paraId="6DE8A370" w14:textId="77777777" w:rsidR="00784701" w:rsidRDefault="00ED1A28">
            <w:pPr>
              <w:jc w:val="center"/>
              <w:rPr>
                <w:rFonts w:hint="eastAsia"/>
              </w:rPr>
            </w:pPr>
            <w:r>
              <w:rPr>
                <w:sz w:val="17"/>
              </w:rPr>
              <w:t>§ 2.7</w:t>
            </w:r>
          </w:p>
        </w:tc>
      </w:tr>
      <w:tr w:rsidR="00784701" w14:paraId="615CF2DC" w14:textId="77777777">
        <w:trPr>
          <w:jc w:val="center"/>
        </w:trPr>
        <w:tc>
          <w:tcPr>
            <w:tcW w:w="4320" w:type="dxa"/>
            <w:shd w:val="clear" w:color="auto" w:fill="F8FAFC"/>
            <w:tcMar>
              <w:top w:w="90" w:type="dxa"/>
              <w:left w:w="100" w:type="dxa"/>
              <w:bottom w:w="90" w:type="dxa"/>
              <w:right w:w="100" w:type="dxa"/>
            </w:tcMar>
            <w:vAlign w:val="center"/>
          </w:tcPr>
          <w:p w14:paraId="04BEAA7A" w14:textId="77777777" w:rsidR="00784701" w:rsidRDefault="00ED1A28">
            <w:pPr>
              <w:rPr>
                <w:rFonts w:hint="eastAsia"/>
              </w:rPr>
            </w:pPr>
            <w:r>
              <w:rPr>
                <w:sz w:val="17"/>
              </w:rPr>
              <w:t>Semantic Kernel Bitlinking</w:t>
            </w:r>
          </w:p>
        </w:tc>
        <w:tc>
          <w:tcPr>
            <w:tcW w:w="6048" w:type="dxa"/>
            <w:shd w:val="clear" w:color="auto" w:fill="F8FAFC"/>
            <w:tcMar>
              <w:top w:w="90" w:type="dxa"/>
              <w:left w:w="100" w:type="dxa"/>
              <w:bottom w:w="90" w:type="dxa"/>
              <w:right w:w="100" w:type="dxa"/>
            </w:tcMar>
            <w:vAlign w:val="center"/>
          </w:tcPr>
          <w:p w14:paraId="219EBA47" w14:textId="77777777" w:rsidR="00784701" w:rsidRDefault="00ED1A28">
            <w:pPr>
              <w:jc w:val="center"/>
              <w:rPr>
                <w:rFonts w:hint="eastAsia"/>
              </w:rPr>
            </w:pPr>
            <w:r>
              <w:rPr>
                <w:sz w:val="17"/>
              </w:rPr>
              <w:t>§ 11.4</w:t>
            </w:r>
          </w:p>
        </w:tc>
      </w:tr>
      <w:tr w:rsidR="00784701" w14:paraId="7942CBE6" w14:textId="77777777">
        <w:trPr>
          <w:jc w:val="center"/>
        </w:trPr>
        <w:tc>
          <w:tcPr>
            <w:tcW w:w="4320" w:type="dxa"/>
            <w:tcMar>
              <w:top w:w="90" w:type="dxa"/>
              <w:left w:w="100" w:type="dxa"/>
              <w:bottom w:w="90" w:type="dxa"/>
              <w:right w:w="100" w:type="dxa"/>
            </w:tcMar>
            <w:vAlign w:val="center"/>
          </w:tcPr>
          <w:p w14:paraId="45DDBD2F" w14:textId="77777777" w:rsidR="00784701" w:rsidRDefault="00ED1A28">
            <w:pPr>
              <w:rPr>
                <w:rFonts w:hint="eastAsia"/>
              </w:rPr>
            </w:pPr>
            <w:r>
              <w:rPr>
                <w:sz w:val="17"/>
              </w:rPr>
              <w:t>Semantic Modality Instance</w:t>
            </w:r>
          </w:p>
        </w:tc>
        <w:tc>
          <w:tcPr>
            <w:tcW w:w="6048" w:type="dxa"/>
            <w:tcMar>
              <w:top w:w="90" w:type="dxa"/>
              <w:left w:w="100" w:type="dxa"/>
              <w:bottom w:w="90" w:type="dxa"/>
              <w:right w:w="100" w:type="dxa"/>
            </w:tcMar>
            <w:vAlign w:val="center"/>
          </w:tcPr>
          <w:p w14:paraId="66AF970D" w14:textId="77777777" w:rsidR="00784701" w:rsidRDefault="00ED1A28">
            <w:pPr>
              <w:jc w:val="center"/>
              <w:rPr>
                <w:rFonts w:hint="eastAsia"/>
              </w:rPr>
            </w:pPr>
            <w:r>
              <w:rPr>
                <w:sz w:val="17"/>
              </w:rPr>
              <w:t>§ 12.2</w:t>
            </w:r>
          </w:p>
        </w:tc>
      </w:tr>
      <w:tr w:rsidR="00784701" w14:paraId="62A9D3A0" w14:textId="77777777">
        <w:trPr>
          <w:jc w:val="center"/>
        </w:trPr>
        <w:tc>
          <w:tcPr>
            <w:tcW w:w="4320" w:type="dxa"/>
            <w:shd w:val="clear" w:color="auto" w:fill="F8FAFC"/>
            <w:tcMar>
              <w:top w:w="90" w:type="dxa"/>
              <w:left w:w="100" w:type="dxa"/>
              <w:bottom w:w="90" w:type="dxa"/>
              <w:right w:w="100" w:type="dxa"/>
            </w:tcMar>
            <w:vAlign w:val="center"/>
          </w:tcPr>
          <w:p w14:paraId="12953244" w14:textId="77777777" w:rsidR="00784701" w:rsidRDefault="00ED1A28">
            <w:pPr>
              <w:jc w:val="center"/>
              <w:rPr>
                <w:rFonts w:hint="eastAsia"/>
              </w:rPr>
            </w:pPr>
            <w:r>
              <w:rPr>
                <w:sz w:val="17"/>
              </w:rPr>
              <w:t>Specialization</w:t>
            </w:r>
          </w:p>
        </w:tc>
        <w:tc>
          <w:tcPr>
            <w:tcW w:w="6048" w:type="dxa"/>
            <w:shd w:val="clear" w:color="auto" w:fill="F8FAFC"/>
            <w:tcMar>
              <w:top w:w="90" w:type="dxa"/>
              <w:left w:w="100" w:type="dxa"/>
              <w:bottom w:w="90" w:type="dxa"/>
              <w:right w:w="100" w:type="dxa"/>
            </w:tcMar>
            <w:vAlign w:val="center"/>
          </w:tcPr>
          <w:p w14:paraId="00B609FD" w14:textId="77777777" w:rsidR="00784701" w:rsidRDefault="00ED1A28">
            <w:pPr>
              <w:jc w:val="center"/>
              <w:rPr>
                <w:rFonts w:hint="eastAsia"/>
              </w:rPr>
            </w:pPr>
            <w:r>
              <w:rPr>
                <w:sz w:val="17"/>
              </w:rPr>
              <w:t>§§ 4.4, 8.2</w:t>
            </w:r>
          </w:p>
        </w:tc>
      </w:tr>
      <w:tr w:rsidR="00784701" w14:paraId="2FF313CE" w14:textId="77777777">
        <w:trPr>
          <w:jc w:val="center"/>
        </w:trPr>
        <w:tc>
          <w:tcPr>
            <w:tcW w:w="4320" w:type="dxa"/>
            <w:tcMar>
              <w:top w:w="90" w:type="dxa"/>
              <w:left w:w="100" w:type="dxa"/>
              <w:bottom w:w="90" w:type="dxa"/>
              <w:right w:w="100" w:type="dxa"/>
            </w:tcMar>
            <w:vAlign w:val="center"/>
          </w:tcPr>
          <w:p w14:paraId="28287B1E" w14:textId="77777777" w:rsidR="00784701" w:rsidRDefault="00ED1A28">
            <w:pPr>
              <w:jc w:val="center"/>
              <w:rPr>
                <w:rFonts w:hint="eastAsia"/>
              </w:rPr>
            </w:pPr>
            <w:r>
              <w:rPr>
                <w:sz w:val="17"/>
              </w:rPr>
              <w:t>TIME-128</w:t>
            </w:r>
          </w:p>
        </w:tc>
        <w:tc>
          <w:tcPr>
            <w:tcW w:w="6048" w:type="dxa"/>
            <w:tcMar>
              <w:top w:w="90" w:type="dxa"/>
              <w:left w:w="100" w:type="dxa"/>
              <w:bottom w:w="90" w:type="dxa"/>
              <w:right w:w="100" w:type="dxa"/>
            </w:tcMar>
            <w:vAlign w:val="center"/>
          </w:tcPr>
          <w:p w14:paraId="3407F29C" w14:textId="77777777" w:rsidR="00784701" w:rsidRDefault="00ED1A28">
            <w:pPr>
              <w:jc w:val="center"/>
              <w:rPr>
                <w:rFonts w:hint="eastAsia"/>
              </w:rPr>
            </w:pPr>
            <w:r>
              <w:rPr>
                <w:sz w:val="17"/>
              </w:rPr>
              <w:t>§§ 10.2–10.4</w:t>
            </w:r>
          </w:p>
        </w:tc>
      </w:tr>
      <w:tr w:rsidR="00784701" w14:paraId="16F26CF2" w14:textId="77777777">
        <w:trPr>
          <w:jc w:val="center"/>
        </w:trPr>
        <w:tc>
          <w:tcPr>
            <w:tcW w:w="4320" w:type="dxa"/>
            <w:shd w:val="clear" w:color="auto" w:fill="F8FAFC"/>
            <w:tcMar>
              <w:top w:w="90" w:type="dxa"/>
              <w:left w:w="100" w:type="dxa"/>
              <w:bottom w:w="90" w:type="dxa"/>
              <w:right w:w="100" w:type="dxa"/>
            </w:tcMar>
            <w:vAlign w:val="center"/>
          </w:tcPr>
          <w:p w14:paraId="1B4B841B" w14:textId="77777777" w:rsidR="00784701" w:rsidRDefault="00ED1A28">
            <w:pPr>
              <w:jc w:val="center"/>
              <w:rPr>
                <w:rFonts w:hint="eastAsia"/>
              </w:rPr>
            </w:pPr>
            <w:r>
              <w:rPr>
                <w:sz w:val="17"/>
              </w:rPr>
              <w:t>TIME-256</w:t>
            </w:r>
          </w:p>
        </w:tc>
        <w:tc>
          <w:tcPr>
            <w:tcW w:w="6048" w:type="dxa"/>
            <w:shd w:val="clear" w:color="auto" w:fill="F8FAFC"/>
            <w:tcMar>
              <w:top w:w="90" w:type="dxa"/>
              <w:left w:w="100" w:type="dxa"/>
              <w:bottom w:w="90" w:type="dxa"/>
              <w:right w:w="100" w:type="dxa"/>
            </w:tcMar>
            <w:vAlign w:val="center"/>
          </w:tcPr>
          <w:p w14:paraId="3B17B11D" w14:textId="77777777" w:rsidR="00784701" w:rsidRDefault="00ED1A28">
            <w:pPr>
              <w:jc w:val="center"/>
              <w:rPr>
                <w:rFonts w:hint="eastAsia"/>
              </w:rPr>
            </w:pPr>
            <w:r>
              <w:rPr>
                <w:sz w:val="17"/>
              </w:rPr>
              <w:t>§§ 10.2, 10.4</w:t>
            </w:r>
          </w:p>
        </w:tc>
      </w:tr>
      <w:tr w:rsidR="00784701" w14:paraId="0D37A6AC" w14:textId="77777777">
        <w:trPr>
          <w:jc w:val="center"/>
        </w:trPr>
        <w:tc>
          <w:tcPr>
            <w:tcW w:w="4320" w:type="dxa"/>
            <w:tcMar>
              <w:top w:w="90" w:type="dxa"/>
              <w:left w:w="100" w:type="dxa"/>
              <w:bottom w:w="90" w:type="dxa"/>
              <w:right w:w="100" w:type="dxa"/>
            </w:tcMar>
            <w:vAlign w:val="center"/>
          </w:tcPr>
          <w:p w14:paraId="6D4A375C" w14:textId="77777777" w:rsidR="00784701" w:rsidRDefault="00ED1A28">
            <w:pPr>
              <w:rPr>
                <w:rFonts w:hint="eastAsia"/>
              </w:rPr>
            </w:pPr>
            <w:r>
              <w:rPr>
                <w:sz w:val="17"/>
              </w:rPr>
              <w:t>Transfer and round trip</w:t>
            </w:r>
          </w:p>
        </w:tc>
        <w:tc>
          <w:tcPr>
            <w:tcW w:w="6048" w:type="dxa"/>
            <w:tcMar>
              <w:top w:w="90" w:type="dxa"/>
              <w:left w:w="100" w:type="dxa"/>
              <w:bottom w:w="90" w:type="dxa"/>
              <w:right w:w="100" w:type="dxa"/>
            </w:tcMar>
            <w:vAlign w:val="center"/>
          </w:tcPr>
          <w:p w14:paraId="533AAE25" w14:textId="77777777" w:rsidR="00784701" w:rsidRDefault="00ED1A28">
            <w:pPr>
              <w:jc w:val="center"/>
              <w:rPr>
                <w:rFonts w:hint="eastAsia"/>
              </w:rPr>
            </w:pPr>
            <w:r>
              <w:rPr>
                <w:sz w:val="17"/>
              </w:rPr>
              <w:t>§§ 7.2, 13.4</w:t>
            </w:r>
          </w:p>
        </w:tc>
      </w:tr>
      <w:tr w:rsidR="00784701" w14:paraId="5B3B22D3" w14:textId="77777777">
        <w:trPr>
          <w:jc w:val="center"/>
        </w:trPr>
        <w:tc>
          <w:tcPr>
            <w:tcW w:w="4320" w:type="dxa"/>
            <w:shd w:val="clear" w:color="auto" w:fill="F8FAFC"/>
            <w:tcMar>
              <w:top w:w="90" w:type="dxa"/>
              <w:left w:w="100" w:type="dxa"/>
              <w:bottom w:w="90" w:type="dxa"/>
              <w:right w:w="100" w:type="dxa"/>
            </w:tcMar>
            <w:vAlign w:val="center"/>
          </w:tcPr>
          <w:p w14:paraId="2B01D72C" w14:textId="77777777" w:rsidR="00784701" w:rsidRDefault="00ED1A28">
            <w:pPr>
              <w:jc w:val="center"/>
              <w:rPr>
                <w:rFonts w:hint="eastAsia"/>
              </w:rPr>
            </w:pPr>
            <w:r>
              <w:rPr>
                <w:sz w:val="17"/>
              </w:rPr>
              <w:t>Upward extension</w:t>
            </w:r>
          </w:p>
        </w:tc>
        <w:tc>
          <w:tcPr>
            <w:tcW w:w="6048" w:type="dxa"/>
            <w:shd w:val="clear" w:color="auto" w:fill="F8FAFC"/>
            <w:tcMar>
              <w:top w:w="90" w:type="dxa"/>
              <w:left w:w="100" w:type="dxa"/>
              <w:bottom w:w="90" w:type="dxa"/>
              <w:right w:w="100" w:type="dxa"/>
            </w:tcMar>
            <w:vAlign w:val="center"/>
          </w:tcPr>
          <w:p w14:paraId="00A87FCA" w14:textId="77777777" w:rsidR="00784701" w:rsidRDefault="00ED1A28">
            <w:pPr>
              <w:jc w:val="center"/>
              <w:rPr>
                <w:rFonts w:hint="eastAsia"/>
              </w:rPr>
            </w:pPr>
            <w:r>
              <w:rPr>
                <w:sz w:val="17"/>
              </w:rPr>
              <w:t>§§ 7.1, 12.3</w:t>
            </w:r>
          </w:p>
        </w:tc>
      </w:tr>
      <w:tr w:rsidR="00784701" w14:paraId="46DD95F8" w14:textId="77777777">
        <w:trPr>
          <w:jc w:val="center"/>
        </w:trPr>
        <w:tc>
          <w:tcPr>
            <w:tcW w:w="4320" w:type="dxa"/>
            <w:tcMar>
              <w:top w:w="90" w:type="dxa"/>
              <w:left w:w="100" w:type="dxa"/>
              <w:bottom w:w="90" w:type="dxa"/>
              <w:right w:w="100" w:type="dxa"/>
            </w:tcMar>
            <w:vAlign w:val="center"/>
          </w:tcPr>
          <w:p w14:paraId="06B3EC92" w14:textId="77777777" w:rsidR="00784701" w:rsidRDefault="00ED1A28">
            <w:pPr>
              <w:jc w:val="center"/>
              <w:rPr>
                <w:rFonts w:hint="eastAsia"/>
              </w:rPr>
            </w:pPr>
            <w:r>
              <w:rPr>
                <w:sz w:val="17"/>
              </w:rPr>
              <w:t>Versioning</w:t>
            </w:r>
          </w:p>
        </w:tc>
        <w:tc>
          <w:tcPr>
            <w:tcW w:w="6048" w:type="dxa"/>
            <w:tcMar>
              <w:top w:w="90" w:type="dxa"/>
              <w:left w:w="100" w:type="dxa"/>
              <w:bottom w:w="90" w:type="dxa"/>
              <w:right w:w="100" w:type="dxa"/>
            </w:tcMar>
            <w:vAlign w:val="center"/>
          </w:tcPr>
          <w:p w14:paraId="3F875BE7" w14:textId="77777777" w:rsidR="00784701" w:rsidRDefault="00ED1A28">
            <w:pPr>
              <w:jc w:val="center"/>
              <w:rPr>
                <w:rFonts w:hint="eastAsia"/>
              </w:rPr>
            </w:pPr>
            <w:r>
              <w:rPr>
                <w:sz w:val="17"/>
              </w:rPr>
              <w:t>§§ 8, 13.5</w:t>
            </w:r>
          </w:p>
        </w:tc>
      </w:tr>
      <w:tr w:rsidR="00784701" w14:paraId="1132068E" w14:textId="77777777">
        <w:trPr>
          <w:jc w:val="center"/>
        </w:trPr>
        <w:tc>
          <w:tcPr>
            <w:tcW w:w="4320" w:type="dxa"/>
            <w:shd w:val="clear" w:color="auto" w:fill="F8FAFC"/>
            <w:tcMar>
              <w:top w:w="90" w:type="dxa"/>
              <w:left w:w="100" w:type="dxa"/>
              <w:bottom w:w="90" w:type="dxa"/>
              <w:right w:w="100" w:type="dxa"/>
            </w:tcMar>
            <w:vAlign w:val="center"/>
          </w:tcPr>
          <w:p w14:paraId="3DCF17E5" w14:textId="77777777" w:rsidR="00784701" w:rsidRDefault="00ED1A28">
            <w:pPr>
              <w:jc w:val="center"/>
              <w:rPr>
                <w:rFonts w:hint="eastAsia"/>
              </w:rPr>
            </w:pPr>
            <w:r>
              <w:rPr>
                <w:sz w:val="17"/>
              </w:rPr>
              <w:t>Workout example</w:t>
            </w:r>
          </w:p>
        </w:tc>
        <w:tc>
          <w:tcPr>
            <w:tcW w:w="6048" w:type="dxa"/>
            <w:shd w:val="clear" w:color="auto" w:fill="F8FAFC"/>
            <w:tcMar>
              <w:top w:w="90" w:type="dxa"/>
              <w:left w:w="100" w:type="dxa"/>
              <w:bottom w:w="90" w:type="dxa"/>
              <w:right w:w="100" w:type="dxa"/>
            </w:tcMar>
            <w:vAlign w:val="center"/>
          </w:tcPr>
          <w:p w14:paraId="4CD48D00" w14:textId="77777777" w:rsidR="00784701" w:rsidRDefault="00ED1A28">
            <w:pPr>
              <w:jc w:val="center"/>
              <w:rPr>
                <w:rFonts w:hint="eastAsia"/>
              </w:rPr>
            </w:pPr>
            <w:r>
              <w:rPr>
                <w:sz w:val="17"/>
              </w:rPr>
              <w:t>§ 10.3</w:t>
            </w:r>
          </w:p>
        </w:tc>
      </w:tr>
      <w:tr w:rsidR="00784701" w14:paraId="4931308C" w14:textId="77777777">
        <w:trPr>
          <w:jc w:val="center"/>
        </w:trPr>
        <w:tc>
          <w:tcPr>
            <w:tcW w:w="4320" w:type="dxa"/>
            <w:tcMar>
              <w:top w:w="90" w:type="dxa"/>
              <w:left w:w="100" w:type="dxa"/>
              <w:bottom w:w="90" w:type="dxa"/>
              <w:right w:w="100" w:type="dxa"/>
            </w:tcMar>
            <w:vAlign w:val="center"/>
          </w:tcPr>
          <w:p w14:paraId="473228FD" w14:textId="77777777" w:rsidR="00784701" w:rsidRDefault="00ED1A28">
            <w:pPr>
              <w:rPr>
                <w:rFonts w:hint="eastAsia"/>
              </w:rPr>
            </w:pPr>
            <w:r>
              <w:rPr>
                <w:sz w:val="17"/>
              </w:rPr>
              <w:t>Zero-loss extension</w:t>
            </w:r>
          </w:p>
        </w:tc>
        <w:tc>
          <w:tcPr>
            <w:tcW w:w="6048" w:type="dxa"/>
            <w:tcMar>
              <w:top w:w="90" w:type="dxa"/>
              <w:left w:w="100" w:type="dxa"/>
              <w:bottom w:w="90" w:type="dxa"/>
              <w:right w:w="100" w:type="dxa"/>
            </w:tcMar>
            <w:vAlign w:val="center"/>
          </w:tcPr>
          <w:p w14:paraId="6A5B3C9D" w14:textId="77777777" w:rsidR="00784701" w:rsidRDefault="00ED1A28">
            <w:pPr>
              <w:jc w:val="center"/>
              <w:rPr>
                <w:rFonts w:hint="eastAsia"/>
              </w:rPr>
            </w:pPr>
            <w:r>
              <w:rPr>
                <w:sz w:val="17"/>
              </w:rPr>
              <w:t>§ 7.1</w:t>
            </w:r>
          </w:p>
        </w:tc>
      </w:tr>
    </w:tbl>
    <w:p w14:paraId="7F2038B5" w14:textId="77777777" w:rsidR="00784701" w:rsidRDefault="00784701">
      <w:pPr>
        <w:spacing w:after="40"/>
        <w:rPr>
          <w:rFonts w:hint="eastAsia"/>
        </w:rPr>
      </w:pPr>
    </w:p>
    <w:p w14:paraId="122C6D65" w14:textId="77777777" w:rsidR="00784701" w:rsidRDefault="00ED1A28">
      <w:pPr>
        <w:spacing w:before="360"/>
        <w:jc w:val="center"/>
        <w:rPr>
          <w:rFonts w:hint="eastAsia"/>
        </w:rPr>
      </w:pPr>
      <w:r>
        <w:rPr>
          <w:b/>
          <w:color w:val="0F6B78"/>
          <w:sz w:val="20"/>
        </w:rPr>
        <w:t>END OF SPECIFICATION</w:t>
      </w:r>
    </w:p>
    <w:sectPr w:rsidR="00784701" w:rsidSect="00034616">
      <w:headerReference w:type="default" r:id="rId8"/>
      <w:footerReference w:type="default" r:id="rId9"/>
      <w:pgSz w:w="12240" w:h="15840"/>
      <w:pgMar w:top="1080"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64327" w14:textId="77777777" w:rsidR="00ED1A28" w:rsidRDefault="00ED1A28">
      <w:pPr>
        <w:spacing w:after="0" w:line="240" w:lineRule="auto"/>
        <w:rPr>
          <w:rFonts w:hint="eastAsia"/>
        </w:rPr>
      </w:pPr>
      <w:r>
        <w:separator/>
      </w:r>
    </w:p>
  </w:endnote>
  <w:endnote w:type="continuationSeparator" w:id="0">
    <w:p w14:paraId="5F288395" w14:textId="77777777" w:rsidR="00ED1A28" w:rsidRDefault="00ED1A2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 w:name="Consola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0ED7" w14:textId="77777777" w:rsidR="00784701" w:rsidRDefault="00ED1A28">
    <w:pPr>
      <w:pStyle w:val="Footer"/>
      <w:rPr>
        <w:rFonts w:hint="eastAsia"/>
      </w:rPr>
    </w:pPr>
    <w:r>
      <w:rPr>
        <w:color w:val="6B7280"/>
        <w:sz w:val="17"/>
      </w:rPr>
      <w:t>Formal System Specification</w:t>
    </w:r>
  </w:p>
  <w:p w14:paraId="42332F70" w14:textId="77777777" w:rsidR="00784701" w:rsidRDefault="00ED1A28">
    <w:pPr>
      <w:jc w:val="right"/>
      <w:rPr>
        <w:rFonts w:hint="eastAsia"/>
      </w:rPr>
    </w:pPr>
    <w:r>
      <w:rPr>
        <w:sz w:val="18"/>
      </w:rPr>
      <w:t xml:space="preserve">Page </w:t>
    </w:r>
    <w:r>
      <w:rPr>
        <w:sz w:val="18"/>
      </w:rPr>
      <w:fldChar w:fldCharType="begin"/>
    </w:r>
    <w:r>
      <w:rPr>
        <w:sz w:val="18"/>
      </w:rPr>
      <w:instrText xml:space="preserve"> PAGE </w:instrTex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14AA6" w14:textId="77777777" w:rsidR="00ED1A28" w:rsidRDefault="00ED1A28">
      <w:pPr>
        <w:spacing w:after="0" w:line="240" w:lineRule="auto"/>
        <w:rPr>
          <w:rFonts w:hint="eastAsia"/>
        </w:rPr>
      </w:pPr>
      <w:r>
        <w:separator/>
      </w:r>
    </w:p>
  </w:footnote>
  <w:footnote w:type="continuationSeparator" w:id="0">
    <w:p w14:paraId="256F31C4" w14:textId="77777777" w:rsidR="00ED1A28" w:rsidRDefault="00ED1A28">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90A86" w14:textId="77777777" w:rsidR="00784701" w:rsidRDefault="00ED1A28">
    <w:pPr>
      <w:pStyle w:val="Header"/>
      <w:jc w:val="right"/>
      <w:rPr>
        <w:rFonts w:hint="eastAsia"/>
      </w:rPr>
    </w:pPr>
    <w:r>
      <w:rPr>
        <w:color w:val="6B7280"/>
        <w:sz w:val="17"/>
      </w:rPr>
      <w:t>CERBERUS Semantic Kernel Architecture  •  Semantic Prefix Invariance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57486899">
    <w:abstractNumId w:val="8"/>
  </w:num>
  <w:num w:numId="2" w16cid:durableId="1791582477">
    <w:abstractNumId w:val="6"/>
  </w:num>
  <w:num w:numId="3" w16cid:durableId="124855411">
    <w:abstractNumId w:val="5"/>
  </w:num>
  <w:num w:numId="4" w16cid:durableId="402528772">
    <w:abstractNumId w:val="4"/>
  </w:num>
  <w:num w:numId="5" w16cid:durableId="2086756163">
    <w:abstractNumId w:val="7"/>
  </w:num>
  <w:num w:numId="6" w16cid:durableId="996419013">
    <w:abstractNumId w:val="3"/>
  </w:num>
  <w:num w:numId="7" w16cid:durableId="1813522591">
    <w:abstractNumId w:val="2"/>
  </w:num>
  <w:num w:numId="8" w16cid:durableId="2068413355">
    <w:abstractNumId w:val="1"/>
  </w:num>
  <w:num w:numId="9" w16cid:durableId="3127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84701"/>
    <w:rsid w:val="00784940"/>
    <w:rsid w:val="00AA1D8D"/>
    <w:rsid w:val="00B47730"/>
    <w:rsid w:val="00CB0664"/>
    <w:rsid w:val="00ED1A2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81E13C"/>
  <w14:defaultImageDpi w14:val="300"/>
  <w15:docId w15:val="{0C402A5E-37B9-A840-A8CD-0CEA50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1F2933"/>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F6B78"/>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7365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pecCaption">
    <w:name w:val="Spec Caption"/>
    <w:rPr>
      <w:rFonts w:ascii="Aptos" w:hAnsi="Aptos"/>
      <w:i/>
      <w:color w:val="5B647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6474</Words>
  <Characters>36907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2026-08-13T00:38:00Z</dcterms:created>
  <dcterms:modified xsi:type="dcterms:W3CDTF">2026-08-13T00:38:00Z</dcterms:modified>
  <cp:category/>
</cp:coreProperties>
</file>