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43EDD" w14:textId="77777777" w:rsidR="0002766A" w:rsidRDefault="00A96132">
      <w:pPr>
        <w:spacing w:before="900"/>
        <w:rPr>
          <w:rFonts w:hint="eastAsia"/>
        </w:rPr>
      </w:pPr>
      <w:r>
        <w:rPr>
          <w:b/>
          <w:color w:val="1E8D8D"/>
          <w:sz w:val="24"/>
        </w:rPr>
        <w:t>CERBERUS</w:t>
      </w:r>
    </w:p>
    <w:p w14:paraId="5B0CA23D" w14:textId="77777777" w:rsidR="0002766A" w:rsidRDefault="00A96132">
      <w:pPr>
        <w:pStyle w:val="Title"/>
        <w:spacing w:before="240" w:after="160"/>
      </w:pPr>
      <w:r>
        <w:t>RESIDUAL Architecture</w:t>
      </w:r>
    </w:p>
    <w:p w14:paraId="0EB8E50A" w14:textId="77777777" w:rsidR="0002766A" w:rsidRDefault="00A96132">
      <w:pPr>
        <w:spacing w:after="200"/>
        <w:rPr>
          <w:rFonts w:hint="eastAsia"/>
        </w:rPr>
      </w:pPr>
      <w:r>
        <w:rPr>
          <w:b/>
          <w:color w:val="9A5B3A"/>
          <w:sz w:val="30"/>
        </w:rPr>
        <w:t>Recorded Experimental Statistics Informing Dynamic Utilization Across Lenses</w:t>
      </w:r>
    </w:p>
    <w:p w14:paraId="6637732B" w14:textId="77777777" w:rsidR="0002766A" w:rsidRDefault="00A96132">
      <w:pPr>
        <w:rPr>
          <w:rFonts w:hint="eastAsia"/>
        </w:rPr>
      </w:pPr>
      <w:r>
        <w:rPr>
          <w:i/>
          <w:color w:val="5B6874"/>
          <w:sz w:val="23"/>
        </w:rPr>
        <w:t>Governed Quantitative Evidence, Scientific Provenance, and Reality-Anchored Value Resolution</w:t>
      </w:r>
    </w:p>
    <w:tbl>
      <w:tblPr>
        <w:tblW w:w="0" w:type="auto"/>
        <w:jc w:val="center"/>
        <w:tblLayout w:type="fixed"/>
        <w:tblLook w:val="04A0" w:firstRow="1" w:lastRow="0" w:firstColumn="1" w:lastColumn="0" w:noHBand="0" w:noVBand="1"/>
      </w:tblPr>
      <w:tblGrid>
        <w:gridCol w:w="10166"/>
      </w:tblGrid>
      <w:tr w:rsidR="0002766A" w14:paraId="057708E8" w14:textId="77777777">
        <w:trPr>
          <w:jc w:val="center"/>
        </w:trPr>
        <w:tc>
          <w:tcPr>
            <w:tcW w:w="10166" w:type="dxa"/>
            <w:shd w:val="clear" w:color="auto" w:fill="F2EAE4"/>
            <w:tcMar>
              <w:top w:w="140" w:type="dxa"/>
              <w:left w:w="180" w:type="dxa"/>
              <w:bottom w:w="140" w:type="dxa"/>
              <w:right w:w="180" w:type="dxa"/>
            </w:tcMar>
          </w:tcPr>
          <w:p w14:paraId="784A1DD9" w14:textId="77777777" w:rsidR="0002766A" w:rsidRDefault="00A96132">
            <w:pPr>
              <w:spacing w:after="40"/>
              <w:rPr>
                <w:rFonts w:hint="eastAsia"/>
              </w:rPr>
            </w:pPr>
            <w:r>
              <w:rPr>
                <w:b/>
                <w:color w:val="9A5B3A"/>
                <w:sz w:val="18"/>
              </w:rPr>
              <w:t>CORE SPECIFICATION STATEMENT</w:t>
            </w:r>
          </w:p>
          <w:p w14:paraId="4E67F6E2" w14:textId="77777777" w:rsidR="0002766A" w:rsidRDefault="00A96132">
            <w:pPr>
              <w:spacing w:after="0" w:line="252" w:lineRule="auto"/>
              <w:rPr>
                <w:rFonts w:hint="eastAsia"/>
              </w:rPr>
            </w:pPr>
            <w:r>
              <w:t>RESIDUAL records humanity’s measured, observed, calculated, defined, or statistically characterized access to quantitative reality. The property exists independently of the record. RESIDUAL preserves the quantitative claim, its unit, context, provenance, and status so Models and Lenses can reuse evidence without confusing the measurement with the thing measured.</w:t>
            </w:r>
          </w:p>
        </w:tc>
      </w:tr>
    </w:tbl>
    <w:p w14:paraId="429D66BA" w14:textId="77777777" w:rsidR="0002766A" w:rsidRDefault="0002766A">
      <w:pPr>
        <w:spacing w:after="40"/>
        <w:rPr>
          <w:rFonts w:hint="eastAsia"/>
        </w:rPr>
      </w:pPr>
    </w:p>
    <w:tbl>
      <w:tblPr>
        <w:tblW w:w="0" w:type="auto"/>
        <w:jc w:val="center"/>
        <w:tblLayout w:type="fixed"/>
        <w:tblLook w:val="04A0" w:firstRow="1" w:lastRow="0" w:firstColumn="1" w:lastColumn="0" w:noHBand="0" w:noVBand="1"/>
      </w:tblPr>
      <w:tblGrid>
        <w:gridCol w:w="2232"/>
        <w:gridCol w:w="7272"/>
      </w:tblGrid>
      <w:tr w:rsidR="0002766A" w14:paraId="4DAECD3F" w14:textId="77777777">
        <w:trPr>
          <w:tblHeader/>
          <w:jc w:val="center"/>
        </w:trPr>
        <w:tc>
          <w:tcPr>
            <w:tcW w:w="2232" w:type="dxa"/>
            <w:shd w:val="clear" w:color="auto" w:fill="102C43"/>
            <w:tcMar>
              <w:top w:w="110" w:type="dxa"/>
              <w:left w:w="110" w:type="dxa"/>
              <w:bottom w:w="110" w:type="dxa"/>
              <w:right w:w="110" w:type="dxa"/>
            </w:tcMar>
            <w:vAlign w:val="center"/>
          </w:tcPr>
          <w:p w14:paraId="2B7ABB1F" w14:textId="77777777" w:rsidR="0002766A" w:rsidRDefault="00A96132">
            <w:pPr>
              <w:jc w:val="center"/>
              <w:rPr>
                <w:rFonts w:hint="eastAsia"/>
              </w:rPr>
            </w:pPr>
            <w:r>
              <w:rPr>
                <w:b/>
                <w:color w:val="FFFFFF"/>
                <w:sz w:val="17"/>
              </w:rPr>
              <w:t>Field</w:t>
            </w:r>
          </w:p>
        </w:tc>
        <w:tc>
          <w:tcPr>
            <w:tcW w:w="7272" w:type="dxa"/>
            <w:shd w:val="clear" w:color="auto" w:fill="102C43"/>
            <w:tcMar>
              <w:top w:w="110" w:type="dxa"/>
              <w:left w:w="110" w:type="dxa"/>
              <w:bottom w:w="110" w:type="dxa"/>
              <w:right w:w="110" w:type="dxa"/>
            </w:tcMar>
            <w:vAlign w:val="center"/>
          </w:tcPr>
          <w:p w14:paraId="1E696E07" w14:textId="77777777" w:rsidR="0002766A" w:rsidRDefault="00A96132">
            <w:pPr>
              <w:jc w:val="center"/>
              <w:rPr>
                <w:rFonts w:hint="eastAsia"/>
              </w:rPr>
            </w:pPr>
            <w:r>
              <w:rPr>
                <w:b/>
                <w:color w:val="FFFFFF"/>
                <w:sz w:val="17"/>
              </w:rPr>
              <w:t>Specification</w:t>
            </w:r>
          </w:p>
        </w:tc>
      </w:tr>
      <w:tr w:rsidR="0002766A" w14:paraId="1952D08F" w14:textId="77777777">
        <w:trPr>
          <w:jc w:val="center"/>
        </w:trPr>
        <w:tc>
          <w:tcPr>
            <w:tcW w:w="2232" w:type="dxa"/>
            <w:shd w:val="clear" w:color="auto" w:fill="F7F9FA"/>
            <w:tcMar>
              <w:top w:w="100" w:type="dxa"/>
              <w:left w:w="110" w:type="dxa"/>
              <w:bottom w:w="100" w:type="dxa"/>
              <w:right w:w="110" w:type="dxa"/>
            </w:tcMar>
            <w:vAlign w:val="center"/>
          </w:tcPr>
          <w:p w14:paraId="4604C766" w14:textId="77777777" w:rsidR="0002766A" w:rsidRDefault="00A96132">
            <w:pPr>
              <w:jc w:val="center"/>
              <w:rPr>
                <w:rFonts w:hint="eastAsia"/>
              </w:rPr>
            </w:pPr>
            <w:r>
              <w:rPr>
                <w:sz w:val="17"/>
              </w:rPr>
              <w:t>Document</w:t>
            </w:r>
          </w:p>
        </w:tc>
        <w:tc>
          <w:tcPr>
            <w:tcW w:w="7272" w:type="dxa"/>
            <w:shd w:val="clear" w:color="auto" w:fill="F7F9FA"/>
            <w:tcMar>
              <w:top w:w="100" w:type="dxa"/>
              <w:left w:w="110" w:type="dxa"/>
              <w:bottom w:w="100" w:type="dxa"/>
              <w:right w:w="110" w:type="dxa"/>
            </w:tcMar>
            <w:vAlign w:val="center"/>
          </w:tcPr>
          <w:p w14:paraId="406261E8" w14:textId="77777777" w:rsidR="0002766A" w:rsidRDefault="00A96132">
            <w:pPr>
              <w:rPr>
                <w:rFonts w:hint="eastAsia"/>
              </w:rPr>
            </w:pPr>
            <w:r>
              <w:rPr>
                <w:sz w:val="17"/>
              </w:rPr>
              <w:t>CERBERUS RESIDUAL Architecture</w:t>
            </w:r>
          </w:p>
        </w:tc>
      </w:tr>
      <w:tr w:rsidR="0002766A" w14:paraId="4D808E9D" w14:textId="77777777">
        <w:trPr>
          <w:jc w:val="center"/>
        </w:trPr>
        <w:tc>
          <w:tcPr>
            <w:tcW w:w="2232" w:type="dxa"/>
            <w:shd w:val="clear" w:color="auto" w:fill="F7F9FA"/>
            <w:tcMar>
              <w:top w:w="100" w:type="dxa"/>
              <w:left w:w="110" w:type="dxa"/>
              <w:bottom w:w="100" w:type="dxa"/>
              <w:right w:w="110" w:type="dxa"/>
            </w:tcMar>
            <w:vAlign w:val="center"/>
          </w:tcPr>
          <w:p w14:paraId="1917B82C" w14:textId="77777777" w:rsidR="0002766A" w:rsidRDefault="00A96132">
            <w:pPr>
              <w:jc w:val="center"/>
              <w:rPr>
                <w:rFonts w:hint="eastAsia"/>
              </w:rPr>
            </w:pPr>
            <w:r>
              <w:rPr>
                <w:sz w:val="17"/>
              </w:rPr>
              <w:t>Expansion</w:t>
            </w:r>
          </w:p>
        </w:tc>
        <w:tc>
          <w:tcPr>
            <w:tcW w:w="7272" w:type="dxa"/>
            <w:shd w:val="clear" w:color="auto" w:fill="F7F9FA"/>
            <w:tcMar>
              <w:top w:w="100" w:type="dxa"/>
              <w:left w:w="110" w:type="dxa"/>
              <w:bottom w:w="100" w:type="dxa"/>
              <w:right w:w="110" w:type="dxa"/>
            </w:tcMar>
            <w:vAlign w:val="center"/>
          </w:tcPr>
          <w:p w14:paraId="3E0128A1" w14:textId="77777777" w:rsidR="0002766A" w:rsidRDefault="00A96132">
            <w:pPr>
              <w:rPr>
                <w:rFonts w:hint="eastAsia"/>
              </w:rPr>
            </w:pPr>
            <w:r>
              <w:rPr>
                <w:sz w:val="17"/>
              </w:rPr>
              <w:t>Recorded Experimental Statistics Informing Dynamic Utilization Across Lenses</w:t>
            </w:r>
          </w:p>
        </w:tc>
      </w:tr>
      <w:tr w:rsidR="0002766A" w14:paraId="37A0C87F" w14:textId="77777777">
        <w:trPr>
          <w:jc w:val="center"/>
        </w:trPr>
        <w:tc>
          <w:tcPr>
            <w:tcW w:w="2232" w:type="dxa"/>
            <w:shd w:val="clear" w:color="auto" w:fill="F7F9FA"/>
            <w:tcMar>
              <w:top w:w="100" w:type="dxa"/>
              <w:left w:w="110" w:type="dxa"/>
              <w:bottom w:w="100" w:type="dxa"/>
              <w:right w:w="110" w:type="dxa"/>
            </w:tcMar>
            <w:vAlign w:val="center"/>
          </w:tcPr>
          <w:p w14:paraId="57EC0CFA" w14:textId="77777777" w:rsidR="0002766A" w:rsidRDefault="00A96132">
            <w:pPr>
              <w:jc w:val="center"/>
              <w:rPr>
                <w:rFonts w:hint="eastAsia"/>
              </w:rPr>
            </w:pPr>
            <w:r>
              <w:rPr>
                <w:sz w:val="17"/>
              </w:rPr>
              <w:t>Version</w:t>
            </w:r>
          </w:p>
        </w:tc>
        <w:tc>
          <w:tcPr>
            <w:tcW w:w="7272" w:type="dxa"/>
            <w:shd w:val="clear" w:color="auto" w:fill="F7F9FA"/>
            <w:tcMar>
              <w:top w:w="100" w:type="dxa"/>
              <w:left w:w="110" w:type="dxa"/>
              <w:bottom w:w="100" w:type="dxa"/>
              <w:right w:w="110" w:type="dxa"/>
            </w:tcMar>
            <w:vAlign w:val="center"/>
          </w:tcPr>
          <w:p w14:paraId="15BABAE6" w14:textId="77777777" w:rsidR="0002766A" w:rsidRDefault="00A96132">
            <w:pPr>
              <w:jc w:val="center"/>
              <w:rPr>
                <w:rFonts w:hint="eastAsia"/>
              </w:rPr>
            </w:pPr>
            <w:r>
              <w:rPr>
                <w:sz w:val="17"/>
              </w:rPr>
              <w:t>v0.1</w:t>
            </w:r>
          </w:p>
        </w:tc>
      </w:tr>
      <w:tr w:rsidR="0002766A" w14:paraId="26331BC8" w14:textId="77777777">
        <w:trPr>
          <w:jc w:val="center"/>
        </w:trPr>
        <w:tc>
          <w:tcPr>
            <w:tcW w:w="2232" w:type="dxa"/>
            <w:shd w:val="clear" w:color="auto" w:fill="F7F9FA"/>
            <w:tcMar>
              <w:top w:w="100" w:type="dxa"/>
              <w:left w:w="110" w:type="dxa"/>
              <w:bottom w:w="100" w:type="dxa"/>
              <w:right w:w="110" w:type="dxa"/>
            </w:tcMar>
            <w:vAlign w:val="center"/>
          </w:tcPr>
          <w:p w14:paraId="2E3879CB" w14:textId="77777777" w:rsidR="0002766A" w:rsidRDefault="00A96132">
            <w:pPr>
              <w:jc w:val="center"/>
              <w:rPr>
                <w:rFonts w:hint="eastAsia"/>
              </w:rPr>
            </w:pPr>
            <w:r>
              <w:rPr>
                <w:sz w:val="17"/>
              </w:rPr>
              <w:t>Date</w:t>
            </w:r>
          </w:p>
        </w:tc>
        <w:tc>
          <w:tcPr>
            <w:tcW w:w="7272" w:type="dxa"/>
            <w:shd w:val="clear" w:color="auto" w:fill="F7F9FA"/>
            <w:tcMar>
              <w:top w:w="100" w:type="dxa"/>
              <w:left w:w="110" w:type="dxa"/>
              <w:bottom w:w="100" w:type="dxa"/>
              <w:right w:w="110" w:type="dxa"/>
            </w:tcMar>
            <w:vAlign w:val="center"/>
          </w:tcPr>
          <w:p w14:paraId="47A5296D" w14:textId="77777777" w:rsidR="0002766A" w:rsidRDefault="00A96132">
            <w:pPr>
              <w:jc w:val="center"/>
              <w:rPr>
                <w:rFonts w:hint="eastAsia"/>
              </w:rPr>
            </w:pPr>
            <w:r>
              <w:rPr>
                <w:sz w:val="17"/>
              </w:rPr>
              <w:t>August 2026</w:t>
            </w:r>
          </w:p>
        </w:tc>
      </w:tr>
      <w:tr w:rsidR="0002766A" w14:paraId="58AAD5A8" w14:textId="77777777">
        <w:trPr>
          <w:jc w:val="center"/>
        </w:trPr>
        <w:tc>
          <w:tcPr>
            <w:tcW w:w="2232" w:type="dxa"/>
            <w:shd w:val="clear" w:color="auto" w:fill="F7F9FA"/>
            <w:tcMar>
              <w:top w:w="100" w:type="dxa"/>
              <w:left w:w="110" w:type="dxa"/>
              <w:bottom w:w="100" w:type="dxa"/>
              <w:right w:w="110" w:type="dxa"/>
            </w:tcMar>
            <w:vAlign w:val="center"/>
          </w:tcPr>
          <w:p w14:paraId="11BD91B0" w14:textId="77777777" w:rsidR="0002766A" w:rsidRDefault="00A96132">
            <w:pPr>
              <w:jc w:val="center"/>
              <w:rPr>
                <w:rFonts w:hint="eastAsia"/>
              </w:rPr>
            </w:pPr>
            <w:r>
              <w:rPr>
                <w:sz w:val="17"/>
              </w:rPr>
              <w:t>Primary hierarchy</w:t>
            </w:r>
          </w:p>
        </w:tc>
        <w:tc>
          <w:tcPr>
            <w:tcW w:w="7272" w:type="dxa"/>
            <w:shd w:val="clear" w:color="auto" w:fill="F7F9FA"/>
            <w:tcMar>
              <w:top w:w="100" w:type="dxa"/>
              <w:left w:w="110" w:type="dxa"/>
              <w:bottom w:w="100" w:type="dxa"/>
              <w:right w:w="110" w:type="dxa"/>
            </w:tcMar>
            <w:vAlign w:val="center"/>
          </w:tcPr>
          <w:p w14:paraId="308AD219" w14:textId="77777777" w:rsidR="0002766A" w:rsidRDefault="00A96132">
            <w:pPr>
              <w:rPr>
                <w:rFonts w:hint="eastAsia"/>
              </w:rPr>
            </w:pPr>
            <w:r>
              <w:rPr>
                <w:sz w:val="17"/>
              </w:rPr>
              <w:t>Constant → Family → Community → World</w:t>
            </w:r>
          </w:p>
        </w:tc>
      </w:tr>
      <w:tr w:rsidR="0002766A" w14:paraId="638C9651" w14:textId="77777777">
        <w:trPr>
          <w:jc w:val="center"/>
        </w:trPr>
        <w:tc>
          <w:tcPr>
            <w:tcW w:w="2232" w:type="dxa"/>
            <w:shd w:val="clear" w:color="auto" w:fill="F7F9FA"/>
            <w:tcMar>
              <w:top w:w="100" w:type="dxa"/>
              <w:left w:w="110" w:type="dxa"/>
              <w:bottom w:w="100" w:type="dxa"/>
              <w:right w:w="110" w:type="dxa"/>
            </w:tcMar>
            <w:vAlign w:val="center"/>
          </w:tcPr>
          <w:p w14:paraId="2CD3804C" w14:textId="77777777" w:rsidR="0002766A" w:rsidRDefault="00A96132">
            <w:pPr>
              <w:rPr>
                <w:rFonts w:hint="eastAsia"/>
              </w:rPr>
            </w:pPr>
            <w:r>
              <w:rPr>
                <w:sz w:val="17"/>
              </w:rPr>
              <w:t>Primary World example</w:t>
            </w:r>
          </w:p>
        </w:tc>
        <w:tc>
          <w:tcPr>
            <w:tcW w:w="7272" w:type="dxa"/>
            <w:shd w:val="clear" w:color="auto" w:fill="F7F9FA"/>
            <w:tcMar>
              <w:top w:w="100" w:type="dxa"/>
              <w:left w:w="110" w:type="dxa"/>
              <w:bottom w:w="100" w:type="dxa"/>
              <w:right w:w="110" w:type="dxa"/>
            </w:tcMar>
            <w:vAlign w:val="center"/>
          </w:tcPr>
          <w:p w14:paraId="48EDBD86" w14:textId="77777777" w:rsidR="0002766A" w:rsidRDefault="00A96132">
            <w:pPr>
              <w:jc w:val="center"/>
              <w:rPr>
                <w:rFonts w:hint="eastAsia"/>
              </w:rPr>
            </w:pPr>
            <w:r>
              <w:rPr>
                <w:sz w:val="17"/>
              </w:rPr>
              <w:t>Science</w:t>
            </w:r>
          </w:p>
        </w:tc>
      </w:tr>
      <w:tr w:rsidR="0002766A" w14:paraId="082615F5" w14:textId="77777777">
        <w:trPr>
          <w:jc w:val="center"/>
        </w:trPr>
        <w:tc>
          <w:tcPr>
            <w:tcW w:w="2232" w:type="dxa"/>
            <w:shd w:val="clear" w:color="auto" w:fill="F7F9FA"/>
            <w:tcMar>
              <w:top w:w="100" w:type="dxa"/>
              <w:left w:w="110" w:type="dxa"/>
              <w:bottom w:w="100" w:type="dxa"/>
              <w:right w:w="110" w:type="dxa"/>
            </w:tcMar>
            <w:vAlign w:val="center"/>
          </w:tcPr>
          <w:p w14:paraId="236F9D0F" w14:textId="77777777" w:rsidR="0002766A" w:rsidRDefault="00A96132">
            <w:pPr>
              <w:jc w:val="center"/>
              <w:rPr>
                <w:rFonts w:hint="eastAsia"/>
              </w:rPr>
            </w:pPr>
            <w:r>
              <w:rPr>
                <w:sz w:val="17"/>
              </w:rPr>
              <w:t>Flagship Community</w:t>
            </w:r>
          </w:p>
        </w:tc>
        <w:tc>
          <w:tcPr>
            <w:tcW w:w="7272" w:type="dxa"/>
            <w:shd w:val="clear" w:color="auto" w:fill="F7F9FA"/>
            <w:tcMar>
              <w:top w:w="100" w:type="dxa"/>
              <w:left w:w="110" w:type="dxa"/>
              <w:bottom w:w="100" w:type="dxa"/>
              <w:right w:w="110" w:type="dxa"/>
            </w:tcMar>
            <w:vAlign w:val="center"/>
          </w:tcPr>
          <w:p w14:paraId="0BE9170D" w14:textId="77777777" w:rsidR="0002766A" w:rsidRDefault="00A96132">
            <w:pPr>
              <w:jc w:val="center"/>
              <w:rPr>
                <w:rFonts w:hint="eastAsia"/>
              </w:rPr>
            </w:pPr>
            <w:r>
              <w:rPr>
                <w:sz w:val="17"/>
              </w:rPr>
              <w:t>Material Science</w:t>
            </w:r>
          </w:p>
        </w:tc>
      </w:tr>
      <w:tr w:rsidR="0002766A" w14:paraId="2276E1C4" w14:textId="77777777">
        <w:trPr>
          <w:jc w:val="center"/>
        </w:trPr>
        <w:tc>
          <w:tcPr>
            <w:tcW w:w="2232" w:type="dxa"/>
            <w:shd w:val="clear" w:color="auto" w:fill="F7F9FA"/>
            <w:tcMar>
              <w:top w:w="100" w:type="dxa"/>
              <w:left w:w="110" w:type="dxa"/>
              <w:bottom w:w="100" w:type="dxa"/>
              <w:right w:w="110" w:type="dxa"/>
            </w:tcMar>
            <w:vAlign w:val="center"/>
          </w:tcPr>
          <w:p w14:paraId="38250F60" w14:textId="77777777" w:rsidR="0002766A" w:rsidRDefault="00A96132">
            <w:pPr>
              <w:jc w:val="center"/>
              <w:rPr>
                <w:rFonts w:hint="eastAsia"/>
              </w:rPr>
            </w:pPr>
            <w:r>
              <w:rPr>
                <w:sz w:val="17"/>
              </w:rPr>
              <w:t>Status</w:t>
            </w:r>
          </w:p>
        </w:tc>
        <w:tc>
          <w:tcPr>
            <w:tcW w:w="7272" w:type="dxa"/>
            <w:shd w:val="clear" w:color="auto" w:fill="F7F9FA"/>
            <w:tcMar>
              <w:top w:w="100" w:type="dxa"/>
              <w:left w:w="110" w:type="dxa"/>
              <w:bottom w:w="100" w:type="dxa"/>
              <w:right w:w="110" w:type="dxa"/>
            </w:tcMar>
            <w:vAlign w:val="center"/>
          </w:tcPr>
          <w:p w14:paraId="00CBB8A2" w14:textId="77777777" w:rsidR="0002766A" w:rsidRDefault="00A96132">
            <w:pPr>
              <w:rPr>
                <w:rFonts w:hint="eastAsia"/>
              </w:rPr>
            </w:pPr>
            <w:r>
              <w:rPr>
                <w:sz w:val="17"/>
              </w:rPr>
              <w:t>Foundational architecture / implementation blueprint</w:t>
            </w:r>
          </w:p>
        </w:tc>
      </w:tr>
    </w:tbl>
    <w:p w14:paraId="45BFD78C" w14:textId="77777777" w:rsidR="0002766A" w:rsidRDefault="0002766A">
      <w:pPr>
        <w:spacing w:after="60"/>
        <w:rPr>
          <w:rFonts w:hint="eastAsia"/>
        </w:rPr>
      </w:pPr>
    </w:p>
    <w:p w14:paraId="6BBCF5CD" w14:textId="77777777" w:rsidR="0002766A" w:rsidRDefault="00A96132">
      <w:pPr>
        <w:spacing w:before="160"/>
        <w:jc w:val="center"/>
        <w:rPr>
          <w:rFonts w:hint="eastAsia"/>
        </w:rPr>
      </w:pPr>
      <w:r>
        <w:rPr>
          <w:i/>
          <w:color w:val="102C43"/>
          <w:sz w:val="23"/>
        </w:rPr>
        <w:t>“RESIDUAL does not tell reality what its values are. It preserves what people discovered when they went looking.”</w:t>
      </w:r>
    </w:p>
    <w:p w14:paraId="4B2EBD32" w14:textId="77777777" w:rsidR="0002766A" w:rsidRDefault="00A96132">
      <w:pPr>
        <w:rPr>
          <w:rFonts w:hint="eastAsia"/>
        </w:rPr>
      </w:pPr>
      <w:r>
        <w:br w:type="page"/>
      </w:r>
    </w:p>
    <w:p w14:paraId="5B1D0D71" w14:textId="77777777" w:rsidR="0002766A" w:rsidRDefault="00A96132">
      <w:pPr>
        <w:pStyle w:val="Heading1"/>
      </w:pPr>
      <w:r>
        <w:t>Executive Summary</w:t>
      </w:r>
    </w:p>
    <w:p w14:paraId="04997F92" w14:textId="77777777" w:rsidR="0002766A" w:rsidRDefault="00A96132">
      <w:pPr>
        <w:rPr>
          <w:rFonts w:hint="eastAsia"/>
        </w:rPr>
      </w:pPr>
      <w:r>
        <w:t>RESIDUAL is CERBERUS’s quantitative evidence architecture. It gives the system a governed place for singular numerical values while preserving a hard boundary between external reality, human observation, the recorded result, and the later Models or Lenses that interpret that result. A girder has whatever physical strength it has whether anyone measures it, names the property, publishes a textbook, or records a value in Airtable. RESIDUAL therefore treats the database as a record of quantitative access to re</w:t>
      </w:r>
      <w:r>
        <w:t>ality, not as the creator of reality.</w:t>
      </w:r>
    </w:p>
    <w:p w14:paraId="0FBFBD83" w14:textId="77777777" w:rsidR="0002766A" w:rsidRDefault="00A96132">
      <w:pPr>
        <w:rPr>
          <w:rFonts w:hint="eastAsia"/>
        </w:rPr>
      </w:pPr>
      <w:r>
        <w:t xml:space="preserve">The system mirrors the zoom grammar already used by CERBERUS Semiotics. One Constant is a singular addressable value. Constants are grouped into Families; Families resolve into Communities; Communities resolve into Worlds. A Science World may contain Material Science, Cybernetics, Chemistry, Physics, Biology, and other quantitative Communities. Material Science may use property-centered Families such as Tensile Strength, Compression Strength, and Shear Strength, while Chemistry may organize Families around </w:t>
      </w:r>
      <w:r>
        <w:t>coherent quantitative subdomains such as Organic Chemistry or Biochemistry. The hierarchy is governed but extensible rather than pretending to be a final ontology of nature.</w:t>
      </w:r>
    </w:p>
    <w:p w14:paraId="49D60A47" w14:textId="77777777" w:rsidR="0002766A" w:rsidRDefault="00A96132">
      <w:pPr>
        <w:rPr>
          <w:rFonts w:hint="eastAsia"/>
        </w:rPr>
      </w:pPr>
      <w:r>
        <w:t>Families are designed to become dense Airtable quantitative surfaces. When quantities use different units, value and unit fields can operate in pairs. A 500-field table can therefore hold 250 value/unit pairs per record. When an entire Family shares a unit contract, such as a Tensile Strength table governed in MPa, every value field can carry quantitative data without repeating the unit. Five hundred value fields across one hundred records can expose fifty thousand addressable quantitative cells. The unit c</w:t>
      </w:r>
      <w:r>
        <w:t>ontract remains explicit even when it is not redundantly repeated in every cell.</w:t>
      </w:r>
    </w:p>
    <w:p w14:paraId="33552EC5" w14:textId="77777777" w:rsidR="0002766A" w:rsidRDefault="00A96132">
      <w:pPr>
        <w:rPr>
          <w:rFonts w:hint="eastAsia"/>
        </w:rPr>
      </w:pPr>
      <w:r>
        <w:t>RESIDUAL is deliberately parallel to, but separate from, Semiotics. Semiotics answers what a concept means and where it belongs conceptually. RESIDUAL answers what quantitative values have been recorded, under what conditions, by what source or method, and with what status. Explicit links connect the two. Models and Lenses then dynamically utilize those values for aerospace design, simulation, medical applications, manufacturing, comparison, prediction, or other purposes without silently rewriting the sourc</w:t>
      </w:r>
      <w:r>
        <w:t>e evidence.</w:t>
      </w:r>
    </w:p>
    <w:tbl>
      <w:tblPr>
        <w:tblW w:w="0" w:type="auto"/>
        <w:jc w:val="center"/>
        <w:tblLayout w:type="fixed"/>
        <w:tblLook w:val="04A0" w:firstRow="1" w:lastRow="0" w:firstColumn="1" w:lastColumn="0" w:noHBand="0" w:noVBand="1"/>
      </w:tblPr>
      <w:tblGrid>
        <w:gridCol w:w="10166"/>
      </w:tblGrid>
      <w:tr w:rsidR="0002766A" w14:paraId="1C4AB2BA" w14:textId="77777777">
        <w:trPr>
          <w:jc w:val="center"/>
        </w:trPr>
        <w:tc>
          <w:tcPr>
            <w:tcW w:w="10166" w:type="dxa"/>
            <w:shd w:val="clear" w:color="auto" w:fill="E9F2ED"/>
            <w:tcMar>
              <w:top w:w="140" w:type="dxa"/>
              <w:left w:w="180" w:type="dxa"/>
              <w:bottom w:w="140" w:type="dxa"/>
              <w:right w:w="180" w:type="dxa"/>
            </w:tcMar>
          </w:tcPr>
          <w:p w14:paraId="65F00166" w14:textId="77777777" w:rsidR="0002766A" w:rsidRDefault="00A96132">
            <w:pPr>
              <w:spacing w:after="40"/>
              <w:rPr>
                <w:rFonts w:hint="eastAsia"/>
              </w:rPr>
            </w:pPr>
            <w:r>
              <w:rPr>
                <w:b/>
                <w:color w:val="3C8B5F"/>
                <w:sz w:val="18"/>
              </w:rPr>
              <w:t>FOUNDATIONAL PRINCIPLE</w:t>
            </w:r>
          </w:p>
          <w:p w14:paraId="43728AFC" w14:textId="77777777" w:rsidR="0002766A" w:rsidRDefault="00A96132">
            <w:pPr>
              <w:spacing w:after="0" w:line="252" w:lineRule="auto"/>
              <w:rPr>
                <w:rFonts w:hint="eastAsia"/>
              </w:rPr>
            </w:pPr>
            <w:r>
              <w:t>Reality is ontically prior to the RESIDUAL record. A RESIDUAL value is authoritative about what CERBERUS currently records from a declared source and context; it is not identical to the underlying property itself.</w:t>
            </w:r>
          </w:p>
        </w:tc>
      </w:tr>
    </w:tbl>
    <w:p w14:paraId="78B7407D" w14:textId="77777777" w:rsidR="0002766A" w:rsidRDefault="0002766A">
      <w:pPr>
        <w:spacing w:after="40"/>
        <w:rPr>
          <w:rFonts w:hint="eastAsia"/>
        </w:rPr>
      </w:pPr>
    </w:p>
    <w:tbl>
      <w:tblPr>
        <w:tblW w:w="0" w:type="auto"/>
        <w:jc w:val="center"/>
        <w:tblLayout w:type="fixed"/>
        <w:tblLook w:val="04A0" w:firstRow="1" w:lastRow="0" w:firstColumn="1" w:lastColumn="0" w:noHBand="0" w:noVBand="1"/>
      </w:tblPr>
      <w:tblGrid>
        <w:gridCol w:w="2952"/>
        <w:gridCol w:w="6552"/>
      </w:tblGrid>
      <w:tr w:rsidR="0002766A" w14:paraId="520D3629" w14:textId="77777777">
        <w:trPr>
          <w:tblHeader/>
          <w:jc w:val="center"/>
        </w:trPr>
        <w:tc>
          <w:tcPr>
            <w:tcW w:w="2952" w:type="dxa"/>
            <w:shd w:val="clear" w:color="auto" w:fill="102C43"/>
            <w:tcMar>
              <w:top w:w="110" w:type="dxa"/>
              <w:left w:w="110" w:type="dxa"/>
              <w:bottom w:w="110" w:type="dxa"/>
              <w:right w:w="110" w:type="dxa"/>
            </w:tcMar>
            <w:vAlign w:val="center"/>
          </w:tcPr>
          <w:p w14:paraId="29320115" w14:textId="77777777" w:rsidR="0002766A" w:rsidRDefault="00A96132">
            <w:pPr>
              <w:jc w:val="center"/>
              <w:rPr>
                <w:rFonts w:hint="eastAsia"/>
              </w:rPr>
            </w:pPr>
            <w:r>
              <w:rPr>
                <w:b/>
                <w:color w:val="FFFFFF"/>
                <w:sz w:val="16"/>
              </w:rPr>
              <w:t>Law</w:t>
            </w:r>
          </w:p>
        </w:tc>
        <w:tc>
          <w:tcPr>
            <w:tcW w:w="6552" w:type="dxa"/>
            <w:shd w:val="clear" w:color="auto" w:fill="102C43"/>
            <w:tcMar>
              <w:top w:w="110" w:type="dxa"/>
              <w:left w:w="110" w:type="dxa"/>
              <w:bottom w:w="110" w:type="dxa"/>
              <w:right w:w="110" w:type="dxa"/>
            </w:tcMar>
            <w:vAlign w:val="center"/>
          </w:tcPr>
          <w:p w14:paraId="7E605E43" w14:textId="77777777" w:rsidR="0002766A" w:rsidRDefault="00A96132">
            <w:pPr>
              <w:jc w:val="center"/>
              <w:rPr>
                <w:rFonts w:hint="eastAsia"/>
              </w:rPr>
            </w:pPr>
            <w:r>
              <w:rPr>
                <w:b/>
                <w:color w:val="FFFFFF"/>
                <w:sz w:val="16"/>
              </w:rPr>
              <w:t>Normative intent</w:t>
            </w:r>
          </w:p>
        </w:tc>
      </w:tr>
      <w:tr w:rsidR="0002766A" w14:paraId="3C484586" w14:textId="77777777">
        <w:trPr>
          <w:jc w:val="center"/>
        </w:trPr>
        <w:tc>
          <w:tcPr>
            <w:tcW w:w="2952" w:type="dxa"/>
            <w:shd w:val="clear" w:color="auto" w:fill="F7F9FA"/>
            <w:tcMar>
              <w:top w:w="100" w:type="dxa"/>
              <w:left w:w="110" w:type="dxa"/>
              <w:bottom w:w="100" w:type="dxa"/>
              <w:right w:w="110" w:type="dxa"/>
            </w:tcMar>
            <w:vAlign w:val="center"/>
          </w:tcPr>
          <w:p w14:paraId="5FE3AC78" w14:textId="77777777" w:rsidR="0002766A" w:rsidRDefault="00A96132">
            <w:pPr>
              <w:rPr>
                <w:rFonts w:hint="eastAsia"/>
              </w:rPr>
            </w:pPr>
            <w:r>
              <w:rPr>
                <w:sz w:val="16"/>
              </w:rPr>
              <w:t>R01 — Reality Independence</w:t>
            </w:r>
          </w:p>
        </w:tc>
        <w:tc>
          <w:tcPr>
            <w:tcW w:w="6552" w:type="dxa"/>
            <w:shd w:val="clear" w:color="auto" w:fill="F7F9FA"/>
            <w:tcMar>
              <w:top w:w="100" w:type="dxa"/>
              <w:left w:w="110" w:type="dxa"/>
              <w:bottom w:w="100" w:type="dxa"/>
              <w:right w:w="110" w:type="dxa"/>
            </w:tcMar>
            <w:vAlign w:val="center"/>
          </w:tcPr>
          <w:p w14:paraId="3C5C4ED0" w14:textId="77777777" w:rsidR="0002766A" w:rsidRDefault="00A96132">
            <w:pPr>
              <w:rPr>
                <w:rFonts w:hint="eastAsia"/>
              </w:rPr>
            </w:pPr>
            <w:r>
              <w:rPr>
                <w:sz w:val="16"/>
              </w:rPr>
              <w:t>External reality does not depend on CERBERUS records.</w:t>
            </w:r>
          </w:p>
        </w:tc>
      </w:tr>
      <w:tr w:rsidR="0002766A" w14:paraId="71D90167" w14:textId="77777777">
        <w:trPr>
          <w:jc w:val="center"/>
        </w:trPr>
        <w:tc>
          <w:tcPr>
            <w:tcW w:w="2952" w:type="dxa"/>
            <w:shd w:val="clear" w:color="auto" w:fill="F7F9FA"/>
            <w:tcMar>
              <w:top w:w="100" w:type="dxa"/>
              <w:left w:w="110" w:type="dxa"/>
              <w:bottom w:w="100" w:type="dxa"/>
              <w:right w:w="110" w:type="dxa"/>
            </w:tcMar>
            <w:vAlign w:val="center"/>
          </w:tcPr>
          <w:p w14:paraId="3B9FF5DB" w14:textId="77777777" w:rsidR="0002766A" w:rsidRDefault="00A96132">
            <w:pPr>
              <w:rPr>
                <w:rFonts w:hint="eastAsia"/>
              </w:rPr>
            </w:pPr>
            <w:r>
              <w:rPr>
                <w:sz w:val="16"/>
              </w:rPr>
              <w:t>R02 — Observation Separation</w:t>
            </w:r>
          </w:p>
        </w:tc>
        <w:tc>
          <w:tcPr>
            <w:tcW w:w="6552" w:type="dxa"/>
            <w:shd w:val="clear" w:color="auto" w:fill="F7F9FA"/>
            <w:tcMar>
              <w:top w:w="100" w:type="dxa"/>
              <w:left w:w="110" w:type="dxa"/>
              <w:bottom w:w="100" w:type="dxa"/>
              <w:right w:w="110" w:type="dxa"/>
            </w:tcMar>
            <w:vAlign w:val="center"/>
          </w:tcPr>
          <w:p w14:paraId="02A793AD" w14:textId="77777777" w:rsidR="0002766A" w:rsidRDefault="00A96132">
            <w:pPr>
              <w:rPr>
                <w:rFonts w:hint="eastAsia"/>
              </w:rPr>
            </w:pPr>
            <w:r>
              <w:rPr>
                <w:sz w:val="16"/>
              </w:rPr>
              <w:t>A measured or derived value shall not be treated as identical to the underlying property.</w:t>
            </w:r>
          </w:p>
        </w:tc>
      </w:tr>
      <w:tr w:rsidR="0002766A" w14:paraId="0971F081" w14:textId="77777777">
        <w:trPr>
          <w:jc w:val="center"/>
        </w:trPr>
        <w:tc>
          <w:tcPr>
            <w:tcW w:w="2952" w:type="dxa"/>
            <w:shd w:val="clear" w:color="auto" w:fill="F7F9FA"/>
            <w:tcMar>
              <w:top w:w="100" w:type="dxa"/>
              <w:left w:w="110" w:type="dxa"/>
              <w:bottom w:w="100" w:type="dxa"/>
              <w:right w:w="110" w:type="dxa"/>
            </w:tcMar>
            <w:vAlign w:val="center"/>
          </w:tcPr>
          <w:p w14:paraId="2D17B70B" w14:textId="77777777" w:rsidR="0002766A" w:rsidRDefault="00A96132">
            <w:pPr>
              <w:rPr>
                <w:rFonts w:hint="eastAsia"/>
              </w:rPr>
            </w:pPr>
            <w:r>
              <w:rPr>
                <w:sz w:val="16"/>
              </w:rPr>
              <w:t>R03 — Recorded Authority</w:t>
            </w:r>
          </w:p>
        </w:tc>
        <w:tc>
          <w:tcPr>
            <w:tcW w:w="6552" w:type="dxa"/>
            <w:shd w:val="clear" w:color="auto" w:fill="F7F9FA"/>
            <w:tcMar>
              <w:top w:w="100" w:type="dxa"/>
              <w:left w:w="110" w:type="dxa"/>
              <w:bottom w:w="100" w:type="dxa"/>
              <w:right w:w="110" w:type="dxa"/>
            </w:tcMar>
            <w:vAlign w:val="center"/>
          </w:tcPr>
          <w:p w14:paraId="01D5FDB0" w14:textId="77777777" w:rsidR="0002766A" w:rsidRDefault="00A96132">
            <w:pPr>
              <w:rPr>
                <w:rFonts w:hint="eastAsia"/>
              </w:rPr>
            </w:pPr>
            <w:r>
              <w:rPr>
                <w:sz w:val="16"/>
              </w:rPr>
              <w:t>RESIDUAL is authoritative about the quantitative claims currently registered in RESIDUAL, subject to source, context, status, and version.</w:t>
            </w:r>
          </w:p>
        </w:tc>
      </w:tr>
      <w:tr w:rsidR="0002766A" w14:paraId="0D0445CB" w14:textId="77777777">
        <w:trPr>
          <w:jc w:val="center"/>
        </w:trPr>
        <w:tc>
          <w:tcPr>
            <w:tcW w:w="2952" w:type="dxa"/>
            <w:shd w:val="clear" w:color="auto" w:fill="F7F9FA"/>
            <w:tcMar>
              <w:top w:w="100" w:type="dxa"/>
              <w:left w:w="110" w:type="dxa"/>
              <w:bottom w:w="100" w:type="dxa"/>
              <w:right w:w="110" w:type="dxa"/>
            </w:tcMar>
            <w:vAlign w:val="center"/>
          </w:tcPr>
          <w:p w14:paraId="732434BE" w14:textId="77777777" w:rsidR="0002766A" w:rsidRDefault="00A96132">
            <w:pPr>
              <w:rPr>
                <w:rFonts w:hint="eastAsia"/>
              </w:rPr>
            </w:pPr>
            <w:r>
              <w:rPr>
                <w:sz w:val="16"/>
              </w:rPr>
              <w:t>R04 — Provenance Preservation</w:t>
            </w:r>
          </w:p>
        </w:tc>
        <w:tc>
          <w:tcPr>
            <w:tcW w:w="6552" w:type="dxa"/>
            <w:shd w:val="clear" w:color="auto" w:fill="F7F9FA"/>
            <w:tcMar>
              <w:top w:w="100" w:type="dxa"/>
              <w:left w:w="110" w:type="dxa"/>
              <w:bottom w:w="100" w:type="dxa"/>
              <w:right w:w="110" w:type="dxa"/>
            </w:tcMar>
            <w:vAlign w:val="center"/>
          </w:tcPr>
          <w:p w14:paraId="4F08507A" w14:textId="77777777" w:rsidR="0002766A" w:rsidRDefault="00A96132">
            <w:pPr>
              <w:rPr>
                <w:rFonts w:hint="eastAsia"/>
              </w:rPr>
            </w:pPr>
            <w:r>
              <w:rPr>
                <w:sz w:val="16"/>
              </w:rPr>
              <w:t>Quantitative records should retain sufficient provenance to understand how and where the value applies.</w:t>
            </w:r>
          </w:p>
        </w:tc>
      </w:tr>
      <w:tr w:rsidR="0002766A" w14:paraId="0257539B" w14:textId="77777777">
        <w:trPr>
          <w:jc w:val="center"/>
        </w:trPr>
        <w:tc>
          <w:tcPr>
            <w:tcW w:w="2952" w:type="dxa"/>
            <w:shd w:val="clear" w:color="auto" w:fill="F7F9FA"/>
            <w:tcMar>
              <w:top w:w="100" w:type="dxa"/>
              <w:left w:w="110" w:type="dxa"/>
              <w:bottom w:w="100" w:type="dxa"/>
              <w:right w:w="110" w:type="dxa"/>
            </w:tcMar>
            <w:vAlign w:val="center"/>
          </w:tcPr>
          <w:p w14:paraId="77F63EAE" w14:textId="77777777" w:rsidR="0002766A" w:rsidRDefault="00A96132">
            <w:pPr>
              <w:rPr>
                <w:rFonts w:hint="eastAsia"/>
              </w:rPr>
            </w:pPr>
            <w:r>
              <w:rPr>
                <w:sz w:val="16"/>
              </w:rPr>
              <w:t>R05 — Context Applicability</w:t>
            </w:r>
          </w:p>
        </w:tc>
        <w:tc>
          <w:tcPr>
            <w:tcW w:w="6552" w:type="dxa"/>
            <w:shd w:val="clear" w:color="auto" w:fill="F7F9FA"/>
            <w:tcMar>
              <w:top w:w="100" w:type="dxa"/>
              <w:left w:w="110" w:type="dxa"/>
              <w:bottom w:w="100" w:type="dxa"/>
              <w:right w:w="110" w:type="dxa"/>
            </w:tcMar>
            <w:vAlign w:val="center"/>
          </w:tcPr>
          <w:p w14:paraId="3CCF936B" w14:textId="77777777" w:rsidR="0002766A" w:rsidRDefault="00A96132">
            <w:pPr>
              <w:rPr>
                <w:rFonts w:hint="eastAsia"/>
              </w:rPr>
            </w:pPr>
            <w:r>
              <w:rPr>
                <w:sz w:val="16"/>
              </w:rPr>
              <w:t>A value shall not silently generalize beyond its declared conditions.</w:t>
            </w:r>
          </w:p>
        </w:tc>
      </w:tr>
      <w:tr w:rsidR="0002766A" w14:paraId="0FD34DED" w14:textId="77777777">
        <w:trPr>
          <w:jc w:val="center"/>
        </w:trPr>
        <w:tc>
          <w:tcPr>
            <w:tcW w:w="2952" w:type="dxa"/>
            <w:shd w:val="clear" w:color="auto" w:fill="F7F9FA"/>
            <w:tcMar>
              <w:top w:w="100" w:type="dxa"/>
              <w:left w:w="110" w:type="dxa"/>
              <w:bottom w:w="100" w:type="dxa"/>
              <w:right w:w="110" w:type="dxa"/>
            </w:tcMar>
            <w:vAlign w:val="center"/>
          </w:tcPr>
          <w:p w14:paraId="6B2F0BB7" w14:textId="77777777" w:rsidR="0002766A" w:rsidRDefault="00A96132">
            <w:pPr>
              <w:rPr>
                <w:rFonts w:hint="eastAsia"/>
              </w:rPr>
            </w:pPr>
            <w:r>
              <w:rPr>
                <w:sz w:val="16"/>
              </w:rPr>
              <w:t>R06 — Evidence Multiplicity</w:t>
            </w:r>
          </w:p>
        </w:tc>
        <w:tc>
          <w:tcPr>
            <w:tcW w:w="6552" w:type="dxa"/>
            <w:shd w:val="clear" w:color="auto" w:fill="F7F9FA"/>
            <w:tcMar>
              <w:top w:w="100" w:type="dxa"/>
              <w:left w:w="110" w:type="dxa"/>
              <w:bottom w:w="100" w:type="dxa"/>
              <w:right w:w="110" w:type="dxa"/>
            </w:tcMar>
            <w:vAlign w:val="center"/>
          </w:tcPr>
          <w:p w14:paraId="06E16459" w14:textId="77777777" w:rsidR="0002766A" w:rsidRDefault="00A96132">
            <w:pPr>
              <w:rPr>
                <w:rFonts w:hint="eastAsia"/>
              </w:rPr>
            </w:pPr>
            <w:r>
              <w:rPr>
                <w:sz w:val="16"/>
              </w:rPr>
              <w:t>Multiple valid or conflicting observations of one property may coexist.</w:t>
            </w:r>
          </w:p>
        </w:tc>
      </w:tr>
      <w:tr w:rsidR="0002766A" w14:paraId="11025DA9" w14:textId="77777777">
        <w:trPr>
          <w:jc w:val="center"/>
        </w:trPr>
        <w:tc>
          <w:tcPr>
            <w:tcW w:w="2952" w:type="dxa"/>
            <w:shd w:val="clear" w:color="auto" w:fill="F7F9FA"/>
            <w:tcMar>
              <w:top w:w="100" w:type="dxa"/>
              <w:left w:w="110" w:type="dxa"/>
              <w:bottom w:w="100" w:type="dxa"/>
              <w:right w:w="110" w:type="dxa"/>
            </w:tcMar>
            <w:vAlign w:val="center"/>
          </w:tcPr>
          <w:p w14:paraId="38613B4A" w14:textId="77777777" w:rsidR="0002766A" w:rsidRDefault="00A96132">
            <w:pPr>
              <w:rPr>
                <w:rFonts w:hint="eastAsia"/>
              </w:rPr>
            </w:pPr>
            <w:r>
              <w:rPr>
                <w:sz w:val="16"/>
              </w:rPr>
              <w:t>R07 — Lens Separation</w:t>
            </w:r>
          </w:p>
        </w:tc>
        <w:tc>
          <w:tcPr>
            <w:tcW w:w="6552" w:type="dxa"/>
            <w:shd w:val="clear" w:color="auto" w:fill="F7F9FA"/>
            <w:tcMar>
              <w:top w:w="100" w:type="dxa"/>
              <w:left w:w="110" w:type="dxa"/>
              <w:bottom w:w="100" w:type="dxa"/>
              <w:right w:w="110" w:type="dxa"/>
            </w:tcMar>
            <w:vAlign w:val="center"/>
          </w:tcPr>
          <w:p w14:paraId="052C5696" w14:textId="77777777" w:rsidR="0002766A" w:rsidRDefault="00A96132">
            <w:pPr>
              <w:rPr>
                <w:rFonts w:hint="eastAsia"/>
              </w:rPr>
            </w:pPr>
            <w:r>
              <w:rPr>
                <w:sz w:val="16"/>
              </w:rPr>
              <w:t>Lenses may interpret and transform RESIDUAL evidence but do not silently rewrite the source record.</w:t>
            </w:r>
          </w:p>
        </w:tc>
      </w:tr>
      <w:tr w:rsidR="0002766A" w14:paraId="370B40B7" w14:textId="77777777">
        <w:trPr>
          <w:jc w:val="center"/>
        </w:trPr>
        <w:tc>
          <w:tcPr>
            <w:tcW w:w="2952" w:type="dxa"/>
            <w:shd w:val="clear" w:color="auto" w:fill="F7F9FA"/>
            <w:tcMar>
              <w:top w:w="100" w:type="dxa"/>
              <w:left w:w="110" w:type="dxa"/>
              <w:bottom w:w="100" w:type="dxa"/>
              <w:right w:w="110" w:type="dxa"/>
            </w:tcMar>
            <w:vAlign w:val="center"/>
          </w:tcPr>
          <w:p w14:paraId="22CFD378" w14:textId="77777777" w:rsidR="0002766A" w:rsidRDefault="00A96132">
            <w:pPr>
              <w:rPr>
                <w:rFonts w:hint="eastAsia"/>
              </w:rPr>
            </w:pPr>
            <w:r>
              <w:rPr>
                <w:sz w:val="16"/>
              </w:rPr>
              <w:t>R08 — Semiotic Separation</w:t>
            </w:r>
          </w:p>
        </w:tc>
        <w:tc>
          <w:tcPr>
            <w:tcW w:w="6552" w:type="dxa"/>
            <w:shd w:val="clear" w:color="auto" w:fill="F7F9FA"/>
            <w:tcMar>
              <w:top w:w="100" w:type="dxa"/>
              <w:left w:w="110" w:type="dxa"/>
              <w:bottom w:w="100" w:type="dxa"/>
              <w:right w:w="110" w:type="dxa"/>
            </w:tcMar>
            <w:vAlign w:val="center"/>
          </w:tcPr>
          <w:p w14:paraId="19F0697B" w14:textId="77777777" w:rsidR="0002766A" w:rsidRDefault="00A96132">
            <w:pPr>
              <w:rPr>
                <w:rFonts w:hint="eastAsia"/>
              </w:rPr>
            </w:pPr>
            <w:r>
              <w:rPr>
                <w:sz w:val="16"/>
              </w:rPr>
              <w:t>Meaning and quantitative evidence remain separately governed and explicitly linked.</w:t>
            </w:r>
          </w:p>
        </w:tc>
      </w:tr>
      <w:tr w:rsidR="0002766A" w14:paraId="3025B5F7" w14:textId="77777777">
        <w:trPr>
          <w:jc w:val="center"/>
        </w:trPr>
        <w:tc>
          <w:tcPr>
            <w:tcW w:w="2952" w:type="dxa"/>
            <w:shd w:val="clear" w:color="auto" w:fill="F7F9FA"/>
            <w:tcMar>
              <w:top w:w="100" w:type="dxa"/>
              <w:left w:w="110" w:type="dxa"/>
              <w:bottom w:w="100" w:type="dxa"/>
              <w:right w:w="110" w:type="dxa"/>
            </w:tcMar>
            <w:vAlign w:val="center"/>
          </w:tcPr>
          <w:p w14:paraId="45BE8CB0" w14:textId="77777777" w:rsidR="0002766A" w:rsidRDefault="00A96132">
            <w:pPr>
              <w:rPr>
                <w:rFonts w:hint="eastAsia"/>
              </w:rPr>
            </w:pPr>
            <w:r>
              <w:rPr>
                <w:sz w:val="16"/>
              </w:rPr>
              <w:t>R09 — Correction Direction</w:t>
            </w:r>
          </w:p>
        </w:tc>
        <w:tc>
          <w:tcPr>
            <w:tcW w:w="6552" w:type="dxa"/>
            <w:shd w:val="clear" w:color="auto" w:fill="F7F9FA"/>
            <w:tcMar>
              <w:top w:w="100" w:type="dxa"/>
              <w:left w:w="110" w:type="dxa"/>
              <w:bottom w:w="100" w:type="dxa"/>
              <w:right w:w="110" w:type="dxa"/>
            </w:tcMar>
            <w:vAlign w:val="center"/>
          </w:tcPr>
          <w:p w14:paraId="3A281E78" w14:textId="77777777" w:rsidR="0002766A" w:rsidRDefault="00A96132">
            <w:pPr>
              <w:rPr>
                <w:rFonts w:hint="eastAsia"/>
              </w:rPr>
            </w:pPr>
            <w:r>
              <w:rPr>
                <w:sz w:val="16"/>
              </w:rPr>
              <w:t>Better evidence updates or supersedes the record; it does not imply that reality changed.</w:t>
            </w:r>
          </w:p>
        </w:tc>
      </w:tr>
      <w:tr w:rsidR="0002766A" w14:paraId="0112BDF8" w14:textId="77777777">
        <w:trPr>
          <w:jc w:val="center"/>
        </w:trPr>
        <w:tc>
          <w:tcPr>
            <w:tcW w:w="2952" w:type="dxa"/>
            <w:shd w:val="clear" w:color="auto" w:fill="F7F9FA"/>
            <w:tcMar>
              <w:top w:w="100" w:type="dxa"/>
              <w:left w:w="110" w:type="dxa"/>
              <w:bottom w:w="100" w:type="dxa"/>
              <w:right w:w="110" w:type="dxa"/>
            </w:tcMar>
            <w:vAlign w:val="center"/>
          </w:tcPr>
          <w:p w14:paraId="31C28C70" w14:textId="77777777" w:rsidR="0002766A" w:rsidRDefault="00A96132">
            <w:pPr>
              <w:rPr>
                <w:rFonts w:hint="eastAsia"/>
              </w:rPr>
            </w:pPr>
            <w:r>
              <w:rPr>
                <w:sz w:val="16"/>
              </w:rPr>
              <w:t>R10 — Historical Integrity</w:t>
            </w:r>
          </w:p>
        </w:tc>
        <w:tc>
          <w:tcPr>
            <w:tcW w:w="6552" w:type="dxa"/>
            <w:shd w:val="clear" w:color="auto" w:fill="F7F9FA"/>
            <w:tcMar>
              <w:top w:w="100" w:type="dxa"/>
              <w:left w:w="110" w:type="dxa"/>
              <w:bottom w:w="100" w:type="dxa"/>
              <w:right w:w="110" w:type="dxa"/>
            </w:tcMar>
            <w:vAlign w:val="center"/>
          </w:tcPr>
          <w:p w14:paraId="0F927803" w14:textId="77777777" w:rsidR="0002766A" w:rsidRDefault="00A96132">
            <w:pPr>
              <w:rPr>
                <w:rFonts w:hint="eastAsia"/>
              </w:rPr>
            </w:pPr>
            <w:r>
              <w:rPr>
                <w:sz w:val="16"/>
              </w:rPr>
              <w:t>Previously used quantitative records remain historically resolvable under their original provenance and version.</w:t>
            </w:r>
          </w:p>
        </w:tc>
      </w:tr>
    </w:tbl>
    <w:p w14:paraId="470E9362" w14:textId="77777777" w:rsidR="0002766A" w:rsidRDefault="0002766A">
      <w:pPr>
        <w:spacing w:after="60"/>
        <w:rPr>
          <w:rFonts w:hint="eastAsia"/>
        </w:rPr>
      </w:pPr>
    </w:p>
    <w:p w14:paraId="1538EA9A" w14:textId="77777777" w:rsidR="0002766A" w:rsidRDefault="00A96132">
      <w:pPr>
        <w:pStyle w:val="Heading1"/>
      </w:pPr>
      <w:r>
        <w:t>Contents</w:t>
      </w:r>
    </w:p>
    <w:tbl>
      <w:tblPr>
        <w:tblW w:w="0" w:type="auto"/>
        <w:jc w:val="center"/>
        <w:tblLayout w:type="fixed"/>
        <w:tblLook w:val="04A0" w:firstRow="1" w:lastRow="0" w:firstColumn="1" w:lastColumn="0" w:noHBand="0" w:noVBand="1"/>
      </w:tblPr>
      <w:tblGrid>
        <w:gridCol w:w="1440"/>
        <w:gridCol w:w="8064"/>
      </w:tblGrid>
      <w:tr w:rsidR="0002766A" w14:paraId="1C1A0F44" w14:textId="77777777">
        <w:trPr>
          <w:tblHeader/>
          <w:jc w:val="center"/>
        </w:trPr>
        <w:tc>
          <w:tcPr>
            <w:tcW w:w="1440" w:type="dxa"/>
            <w:shd w:val="clear" w:color="auto" w:fill="102C43"/>
            <w:tcMar>
              <w:top w:w="110" w:type="dxa"/>
              <w:left w:w="110" w:type="dxa"/>
              <w:bottom w:w="110" w:type="dxa"/>
              <w:right w:w="110" w:type="dxa"/>
            </w:tcMar>
            <w:vAlign w:val="center"/>
          </w:tcPr>
          <w:p w14:paraId="438CC646" w14:textId="77777777" w:rsidR="0002766A" w:rsidRDefault="00A96132">
            <w:pPr>
              <w:jc w:val="center"/>
              <w:rPr>
                <w:rFonts w:hint="eastAsia"/>
              </w:rPr>
            </w:pPr>
            <w:r>
              <w:rPr>
                <w:b/>
                <w:color w:val="FFFFFF"/>
                <w:sz w:val="18"/>
              </w:rPr>
              <w:t>Part</w:t>
            </w:r>
          </w:p>
        </w:tc>
        <w:tc>
          <w:tcPr>
            <w:tcW w:w="8064" w:type="dxa"/>
            <w:shd w:val="clear" w:color="auto" w:fill="102C43"/>
            <w:tcMar>
              <w:top w:w="110" w:type="dxa"/>
              <w:left w:w="110" w:type="dxa"/>
              <w:bottom w:w="110" w:type="dxa"/>
              <w:right w:w="110" w:type="dxa"/>
            </w:tcMar>
            <w:vAlign w:val="center"/>
          </w:tcPr>
          <w:p w14:paraId="0A9F4B57" w14:textId="77777777" w:rsidR="0002766A" w:rsidRDefault="00A96132">
            <w:pPr>
              <w:jc w:val="center"/>
              <w:rPr>
                <w:rFonts w:hint="eastAsia"/>
              </w:rPr>
            </w:pPr>
            <w:r>
              <w:rPr>
                <w:b/>
                <w:color w:val="FFFFFF"/>
                <w:sz w:val="18"/>
              </w:rPr>
              <w:t>Scope</w:t>
            </w:r>
          </w:p>
        </w:tc>
      </w:tr>
      <w:tr w:rsidR="0002766A" w14:paraId="3D3EC3EB" w14:textId="77777777">
        <w:trPr>
          <w:jc w:val="center"/>
        </w:trPr>
        <w:tc>
          <w:tcPr>
            <w:tcW w:w="1440" w:type="dxa"/>
            <w:shd w:val="clear" w:color="auto" w:fill="F7F9FA"/>
            <w:tcMar>
              <w:top w:w="100" w:type="dxa"/>
              <w:left w:w="110" w:type="dxa"/>
              <w:bottom w:w="100" w:type="dxa"/>
              <w:right w:w="110" w:type="dxa"/>
            </w:tcMar>
            <w:vAlign w:val="center"/>
          </w:tcPr>
          <w:p w14:paraId="2EC86232" w14:textId="77777777" w:rsidR="0002766A" w:rsidRDefault="00A96132">
            <w:pPr>
              <w:jc w:val="center"/>
              <w:rPr>
                <w:rFonts w:hint="eastAsia"/>
              </w:rPr>
            </w:pPr>
            <w:r>
              <w:rPr>
                <w:sz w:val="18"/>
              </w:rPr>
              <w:t>Part I</w:t>
            </w:r>
          </w:p>
        </w:tc>
        <w:tc>
          <w:tcPr>
            <w:tcW w:w="8064" w:type="dxa"/>
            <w:shd w:val="clear" w:color="auto" w:fill="F7F9FA"/>
            <w:tcMar>
              <w:top w:w="100" w:type="dxa"/>
              <w:left w:w="110" w:type="dxa"/>
              <w:bottom w:w="100" w:type="dxa"/>
              <w:right w:w="110" w:type="dxa"/>
            </w:tcMar>
            <w:vAlign w:val="center"/>
          </w:tcPr>
          <w:p w14:paraId="586BDE5F" w14:textId="77777777" w:rsidR="0002766A" w:rsidRDefault="00A96132">
            <w:pPr>
              <w:rPr>
                <w:rFonts w:hint="eastAsia"/>
              </w:rPr>
            </w:pPr>
            <w:r>
              <w:rPr>
                <w:sz w:val="18"/>
              </w:rPr>
              <w:t>Reality, Observation, and Recorded Quantitative Evidence</w:t>
            </w:r>
          </w:p>
        </w:tc>
      </w:tr>
      <w:tr w:rsidR="0002766A" w14:paraId="4ED6DDD6" w14:textId="77777777">
        <w:trPr>
          <w:jc w:val="center"/>
        </w:trPr>
        <w:tc>
          <w:tcPr>
            <w:tcW w:w="1440" w:type="dxa"/>
            <w:shd w:val="clear" w:color="auto" w:fill="F7F9FA"/>
            <w:tcMar>
              <w:top w:w="100" w:type="dxa"/>
              <w:left w:w="110" w:type="dxa"/>
              <w:bottom w:w="100" w:type="dxa"/>
              <w:right w:w="110" w:type="dxa"/>
            </w:tcMar>
            <w:vAlign w:val="center"/>
          </w:tcPr>
          <w:p w14:paraId="2BEEED4F" w14:textId="77777777" w:rsidR="0002766A" w:rsidRDefault="00A96132">
            <w:pPr>
              <w:jc w:val="center"/>
              <w:rPr>
                <w:rFonts w:hint="eastAsia"/>
              </w:rPr>
            </w:pPr>
            <w:r>
              <w:rPr>
                <w:sz w:val="18"/>
              </w:rPr>
              <w:t>Part II</w:t>
            </w:r>
          </w:p>
        </w:tc>
        <w:tc>
          <w:tcPr>
            <w:tcW w:w="8064" w:type="dxa"/>
            <w:shd w:val="clear" w:color="auto" w:fill="F7F9FA"/>
            <w:tcMar>
              <w:top w:w="100" w:type="dxa"/>
              <w:left w:w="110" w:type="dxa"/>
              <w:bottom w:w="100" w:type="dxa"/>
              <w:right w:w="110" w:type="dxa"/>
            </w:tcMar>
            <w:vAlign w:val="center"/>
          </w:tcPr>
          <w:p w14:paraId="0812A880" w14:textId="77777777" w:rsidR="0002766A" w:rsidRDefault="00A96132">
            <w:pPr>
              <w:rPr>
                <w:rFonts w:hint="eastAsia"/>
              </w:rPr>
            </w:pPr>
            <w:r>
              <w:rPr>
                <w:sz w:val="18"/>
              </w:rPr>
              <w:t>RESIDUAL Identity and Resolution Hierarchy</w:t>
            </w:r>
          </w:p>
        </w:tc>
      </w:tr>
      <w:tr w:rsidR="0002766A" w14:paraId="41EE5CA3" w14:textId="77777777">
        <w:trPr>
          <w:jc w:val="center"/>
        </w:trPr>
        <w:tc>
          <w:tcPr>
            <w:tcW w:w="1440" w:type="dxa"/>
            <w:shd w:val="clear" w:color="auto" w:fill="F7F9FA"/>
            <w:tcMar>
              <w:top w:w="100" w:type="dxa"/>
              <w:left w:w="110" w:type="dxa"/>
              <w:bottom w:w="100" w:type="dxa"/>
              <w:right w:w="110" w:type="dxa"/>
            </w:tcMar>
            <w:vAlign w:val="center"/>
          </w:tcPr>
          <w:p w14:paraId="24094272" w14:textId="77777777" w:rsidR="0002766A" w:rsidRDefault="00A96132">
            <w:pPr>
              <w:jc w:val="center"/>
              <w:rPr>
                <w:rFonts w:hint="eastAsia"/>
              </w:rPr>
            </w:pPr>
            <w:r>
              <w:rPr>
                <w:sz w:val="18"/>
              </w:rPr>
              <w:t>Part III</w:t>
            </w:r>
          </w:p>
        </w:tc>
        <w:tc>
          <w:tcPr>
            <w:tcW w:w="8064" w:type="dxa"/>
            <w:shd w:val="clear" w:color="auto" w:fill="F7F9FA"/>
            <w:tcMar>
              <w:top w:w="100" w:type="dxa"/>
              <w:left w:w="110" w:type="dxa"/>
              <w:bottom w:w="100" w:type="dxa"/>
              <w:right w:w="110" w:type="dxa"/>
            </w:tcMar>
            <w:vAlign w:val="center"/>
          </w:tcPr>
          <w:p w14:paraId="1246D1E1" w14:textId="77777777" w:rsidR="0002766A" w:rsidRDefault="00A96132">
            <w:pPr>
              <w:rPr>
                <w:rFonts w:hint="eastAsia"/>
              </w:rPr>
            </w:pPr>
            <w:r>
              <w:rPr>
                <w:sz w:val="18"/>
              </w:rPr>
              <w:t>Semiotic Meaning and Quantitative Evidence</w:t>
            </w:r>
          </w:p>
        </w:tc>
      </w:tr>
      <w:tr w:rsidR="0002766A" w14:paraId="60AB68A3" w14:textId="77777777">
        <w:trPr>
          <w:jc w:val="center"/>
        </w:trPr>
        <w:tc>
          <w:tcPr>
            <w:tcW w:w="1440" w:type="dxa"/>
            <w:shd w:val="clear" w:color="auto" w:fill="F7F9FA"/>
            <w:tcMar>
              <w:top w:w="100" w:type="dxa"/>
              <w:left w:w="110" w:type="dxa"/>
              <w:bottom w:w="100" w:type="dxa"/>
              <w:right w:w="110" w:type="dxa"/>
            </w:tcMar>
            <w:vAlign w:val="center"/>
          </w:tcPr>
          <w:p w14:paraId="7064A005" w14:textId="77777777" w:rsidR="0002766A" w:rsidRDefault="00A96132">
            <w:pPr>
              <w:jc w:val="center"/>
              <w:rPr>
                <w:rFonts w:hint="eastAsia"/>
              </w:rPr>
            </w:pPr>
            <w:r>
              <w:rPr>
                <w:sz w:val="18"/>
              </w:rPr>
              <w:t>Part IV</w:t>
            </w:r>
          </w:p>
        </w:tc>
        <w:tc>
          <w:tcPr>
            <w:tcW w:w="8064" w:type="dxa"/>
            <w:shd w:val="clear" w:color="auto" w:fill="F7F9FA"/>
            <w:tcMar>
              <w:top w:w="100" w:type="dxa"/>
              <w:left w:w="110" w:type="dxa"/>
              <w:bottom w:w="100" w:type="dxa"/>
              <w:right w:w="110" w:type="dxa"/>
            </w:tcMar>
            <w:vAlign w:val="center"/>
          </w:tcPr>
          <w:p w14:paraId="5F5BD29B" w14:textId="77777777" w:rsidR="0002766A" w:rsidRDefault="00A96132">
            <w:pPr>
              <w:rPr>
                <w:rFonts w:hint="eastAsia"/>
              </w:rPr>
            </w:pPr>
            <w:r>
              <w:rPr>
                <w:sz w:val="18"/>
              </w:rPr>
              <w:t>Evidence Multiplicity, Conditions, and Provenance</w:t>
            </w:r>
          </w:p>
        </w:tc>
      </w:tr>
      <w:tr w:rsidR="0002766A" w14:paraId="4A219EBB" w14:textId="77777777">
        <w:trPr>
          <w:jc w:val="center"/>
        </w:trPr>
        <w:tc>
          <w:tcPr>
            <w:tcW w:w="1440" w:type="dxa"/>
            <w:shd w:val="clear" w:color="auto" w:fill="F7F9FA"/>
            <w:tcMar>
              <w:top w:w="100" w:type="dxa"/>
              <w:left w:w="110" w:type="dxa"/>
              <w:bottom w:w="100" w:type="dxa"/>
              <w:right w:w="110" w:type="dxa"/>
            </w:tcMar>
            <w:vAlign w:val="center"/>
          </w:tcPr>
          <w:p w14:paraId="2ADA175F" w14:textId="77777777" w:rsidR="0002766A" w:rsidRDefault="00A96132">
            <w:pPr>
              <w:jc w:val="center"/>
              <w:rPr>
                <w:rFonts w:hint="eastAsia"/>
              </w:rPr>
            </w:pPr>
            <w:r>
              <w:rPr>
                <w:sz w:val="18"/>
              </w:rPr>
              <w:t>Part V</w:t>
            </w:r>
          </w:p>
        </w:tc>
        <w:tc>
          <w:tcPr>
            <w:tcW w:w="8064" w:type="dxa"/>
            <w:shd w:val="clear" w:color="auto" w:fill="F7F9FA"/>
            <w:tcMar>
              <w:top w:w="100" w:type="dxa"/>
              <w:left w:w="110" w:type="dxa"/>
              <w:bottom w:w="100" w:type="dxa"/>
              <w:right w:w="110" w:type="dxa"/>
            </w:tcMar>
            <w:vAlign w:val="center"/>
          </w:tcPr>
          <w:p w14:paraId="0BBF6F68" w14:textId="77777777" w:rsidR="0002766A" w:rsidRDefault="00A96132">
            <w:pPr>
              <w:rPr>
                <w:rFonts w:hint="eastAsia"/>
              </w:rPr>
            </w:pPr>
            <w:r>
              <w:rPr>
                <w:sz w:val="18"/>
              </w:rPr>
              <w:t>Dense Family Tables and Constant Addressing</w:t>
            </w:r>
          </w:p>
        </w:tc>
      </w:tr>
      <w:tr w:rsidR="0002766A" w14:paraId="5A252F94" w14:textId="77777777">
        <w:trPr>
          <w:jc w:val="center"/>
        </w:trPr>
        <w:tc>
          <w:tcPr>
            <w:tcW w:w="1440" w:type="dxa"/>
            <w:shd w:val="clear" w:color="auto" w:fill="F7F9FA"/>
            <w:tcMar>
              <w:top w:w="100" w:type="dxa"/>
              <w:left w:w="110" w:type="dxa"/>
              <w:bottom w:w="100" w:type="dxa"/>
              <w:right w:w="110" w:type="dxa"/>
            </w:tcMar>
            <w:vAlign w:val="center"/>
          </w:tcPr>
          <w:p w14:paraId="06D33D62" w14:textId="77777777" w:rsidR="0002766A" w:rsidRDefault="00A96132">
            <w:pPr>
              <w:jc w:val="center"/>
              <w:rPr>
                <w:rFonts w:hint="eastAsia"/>
              </w:rPr>
            </w:pPr>
            <w:r>
              <w:rPr>
                <w:sz w:val="18"/>
              </w:rPr>
              <w:t>Part VI</w:t>
            </w:r>
          </w:p>
        </w:tc>
        <w:tc>
          <w:tcPr>
            <w:tcW w:w="8064" w:type="dxa"/>
            <w:shd w:val="clear" w:color="auto" w:fill="F7F9FA"/>
            <w:tcMar>
              <w:top w:w="100" w:type="dxa"/>
              <w:left w:w="110" w:type="dxa"/>
              <w:bottom w:w="100" w:type="dxa"/>
              <w:right w:w="110" w:type="dxa"/>
            </w:tcMar>
            <w:vAlign w:val="center"/>
          </w:tcPr>
          <w:p w14:paraId="70E69D15" w14:textId="77777777" w:rsidR="0002766A" w:rsidRDefault="00A96132">
            <w:pPr>
              <w:rPr>
                <w:rFonts w:hint="eastAsia"/>
              </w:rPr>
            </w:pPr>
            <w:r>
              <w:rPr>
                <w:sz w:val="18"/>
              </w:rPr>
              <w:t>Dynamic Utilization Across Lenses</w:t>
            </w:r>
          </w:p>
        </w:tc>
      </w:tr>
      <w:tr w:rsidR="0002766A" w14:paraId="4A4E19AE" w14:textId="77777777">
        <w:trPr>
          <w:jc w:val="center"/>
        </w:trPr>
        <w:tc>
          <w:tcPr>
            <w:tcW w:w="1440" w:type="dxa"/>
            <w:shd w:val="clear" w:color="auto" w:fill="F7F9FA"/>
            <w:tcMar>
              <w:top w:w="100" w:type="dxa"/>
              <w:left w:w="110" w:type="dxa"/>
              <w:bottom w:w="100" w:type="dxa"/>
              <w:right w:w="110" w:type="dxa"/>
            </w:tcMar>
            <w:vAlign w:val="center"/>
          </w:tcPr>
          <w:p w14:paraId="5F9F31D5" w14:textId="77777777" w:rsidR="0002766A" w:rsidRDefault="00A96132">
            <w:pPr>
              <w:jc w:val="center"/>
              <w:rPr>
                <w:rFonts w:hint="eastAsia"/>
              </w:rPr>
            </w:pPr>
            <w:r>
              <w:rPr>
                <w:sz w:val="18"/>
              </w:rPr>
              <w:t>Part VII</w:t>
            </w:r>
          </w:p>
        </w:tc>
        <w:tc>
          <w:tcPr>
            <w:tcW w:w="8064" w:type="dxa"/>
            <w:shd w:val="clear" w:color="auto" w:fill="F7F9FA"/>
            <w:tcMar>
              <w:top w:w="100" w:type="dxa"/>
              <w:left w:w="110" w:type="dxa"/>
              <w:bottom w:w="100" w:type="dxa"/>
              <w:right w:w="110" w:type="dxa"/>
            </w:tcMar>
            <w:vAlign w:val="center"/>
          </w:tcPr>
          <w:p w14:paraId="794795E3" w14:textId="77777777" w:rsidR="0002766A" w:rsidRDefault="00A96132">
            <w:pPr>
              <w:rPr>
                <w:rFonts w:hint="eastAsia"/>
              </w:rPr>
            </w:pPr>
            <w:r>
              <w:rPr>
                <w:sz w:val="18"/>
              </w:rPr>
              <w:t>Scientific Correction, Versioning, and System Interoperability</w:t>
            </w:r>
          </w:p>
        </w:tc>
      </w:tr>
      <w:tr w:rsidR="0002766A" w14:paraId="45A6D963" w14:textId="77777777">
        <w:trPr>
          <w:jc w:val="center"/>
        </w:trPr>
        <w:tc>
          <w:tcPr>
            <w:tcW w:w="1440" w:type="dxa"/>
            <w:shd w:val="clear" w:color="auto" w:fill="F7F9FA"/>
            <w:tcMar>
              <w:top w:w="100" w:type="dxa"/>
              <w:left w:w="110" w:type="dxa"/>
              <w:bottom w:w="100" w:type="dxa"/>
              <w:right w:w="110" w:type="dxa"/>
            </w:tcMar>
            <w:vAlign w:val="center"/>
          </w:tcPr>
          <w:p w14:paraId="313BF790" w14:textId="77777777" w:rsidR="0002766A" w:rsidRDefault="00A96132">
            <w:pPr>
              <w:jc w:val="center"/>
              <w:rPr>
                <w:rFonts w:hint="eastAsia"/>
              </w:rPr>
            </w:pPr>
            <w:r>
              <w:rPr>
                <w:sz w:val="18"/>
              </w:rPr>
              <w:t>Part VIII</w:t>
            </w:r>
          </w:p>
        </w:tc>
        <w:tc>
          <w:tcPr>
            <w:tcW w:w="8064" w:type="dxa"/>
            <w:shd w:val="clear" w:color="auto" w:fill="F7F9FA"/>
            <w:tcMar>
              <w:top w:w="100" w:type="dxa"/>
              <w:left w:w="110" w:type="dxa"/>
              <w:bottom w:w="100" w:type="dxa"/>
              <w:right w:w="110" w:type="dxa"/>
            </w:tcMar>
            <w:vAlign w:val="center"/>
          </w:tcPr>
          <w:p w14:paraId="64951080" w14:textId="77777777" w:rsidR="0002766A" w:rsidRDefault="00A96132">
            <w:pPr>
              <w:rPr>
                <w:rFonts w:hint="eastAsia"/>
              </w:rPr>
            </w:pPr>
            <w:r>
              <w:rPr>
                <w:sz w:val="18"/>
              </w:rPr>
              <w:t>Airtable Implementation Blueprint and Conformance</w:t>
            </w:r>
          </w:p>
        </w:tc>
      </w:tr>
    </w:tbl>
    <w:p w14:paraId="2CEE9178" w14:textId="77777777" w:rsidR="0002766A" w:rsidRDefault="0002766A">
      <w:pPr>
        <w:spacing w:after="60"/>
        <w:rPr>
          <w:rFonts w:hint="eastAsia"/>
        </w:rPr>
      </w:pPr>
    </w:p>
    <w:tbl>
      <w:tblPr>
        <w:tblW w:w="0" w:type="auto"/>
        <w:jc w:val="center"/>
        <w:tblLayout w:type="fixed"/>
        <w:tblLook w:val="04A0" w:firstRow="1" w:lastRow="0" w:firstColumn="1" w:lastColumn="0" w:noHBand="0" w:noVBand="1"/>
      </w:tblPr>
      <w:tblGrid>
        <w:gridCol w:w="10166"/>
      </w:tblGrid>
      <w:tr w:rsidR="0002766A" w14:paraId="59C1B5E4" w14:textId="77777777">
        <w:trPr>
          <w:jc w:val="center"/>
        </w:trPr>
        <w:tc>
          <w:tcPr>
            <w:tcW w:w="10166" w:type="dxa"/>
            <w:shd w:val="clear" w:color="auto" w:fill="EAF0F2"/>
            <w:tcMar>
              <w:top w:w="140" w:type="dxa"/>
              <w:left w:w="180" w:type="dxa"/>
              <w:bottom w:w="140" w:type="dxa"/>
              <w:right w:w="180" w:type="dxa"/>
            </w:tcMar>
          </w:tcPr>
          <w:p w14:paraId="574F6EA7" w14:textId="77777777" w:rsidR="0002766A" w:rsidRDefault="00A96132">
            <w:pPr>
              <w:spacing w:after="40"/>
              <w:rPr>
                <w:rFonts w:hint="eastAsia"/>
              </w:rPr>
            </w:pPr>
            <w:r>
              <w:rPr>
                <w:b/>
                <w:color w:val="1E8D8D"/>
                <w:sz w:val="18"/>
              </w:rPr>
              <w:t>READING NOTE</w:t>
            </w:r>
          </w:p>
          <w:p w14:paraId="1D54D024" w14:textId="77777777" w:rsidR="0002766A" w:rsidRDefault="00A96132">
            <w:pPr>
              <w:spacing w:after="0" w:line="252" w:lineRule="auto"/>
              <w:rPr>
                <w:rFonts w:hint="eastAsia"/>
              </w:rPr>
            </w:pPr>
            <w:r>
              <w:t>This paper defines the global RESIDUAL architecture. It intentionally does not freeze a complete scientific ontology or a universal set of Constant Families. Worlds, Communities, Families, conditions, and evidence records can expand as the system gains governed quantitative sources.</w:t>
            </w:r>
          </w:p>
        </w:tc>
      </w:tr>
    </w:tbl>
    <w:p w14:paraId="776BCA3C" w14:textId="77777777" w:rsidR="0002766A" w:rsidRDefault="0002766A">
      <w:pPr>
        <w:spacing w:after="40"/>
        <w:rPr>
          <w:rFonts w:hint="eastAsia"/>
        </w:rPr>
      </w:pPr>
    </w:p>
    <w:p w14:paraId="7D3A5AE7" w14:textId="77777777" w:rsidR="0002766A" w:rsidRDefault="00A96132">
      <w:pPr>
        <w:pStyle w:val="Heading1"/>
      </w:pPr>
      <w:r>
        <w:t>Part I — Reality, Observation, and Recorded Quantitative Evidence</w:t>
      </w:r>
    </w:p>
    <w:p w14:paraId="42BE3A8B" w14:textId="77777777" w:rsidR="0002766A" w:rsidRDefault="00A96132">
      <w:pPr>
        <w:pStyle w:val="Heading2"/>
      </w:pPr>
      <w:r>
        <w:t>1. Reality Is Prior to the Record</w:t>
      </w:r>
    </w:p>
    <w:p w14:paraId="16D8AC42" w14:textId="77777777" w:rsidR="0002766A" w:rsidRDefault="00A96132">
      <w:pPr>
        <w:rPr>
          <w:rFonts w:hint="eastAsia"/>
        </w:rPr>
      </w:pPr>
      <w:r>
        <w:t>RESIDUAL begins from a deliberately simple claim: properties and events in the external world do not wait for CERBERUS to name or measure them. A material object has physical structure and behavior before a scientist tests it. A molecule behaves before a database assigns it a row. A system can therefore be wrong about reality, incomplete about reality, or later improve its representation of reality without changing reality itself.</w:t>
      </w:r>
    </w:p>
    <w:p w14:paraId="11551794" w14:textId="77777777" w:rsidR="0002766A" w:rsidRDefault="00A96132">
      <w:pPr>
        <w:spacing w:before="80" w:after="60"/>
        <w:jc w:val="center"/>
        <w:rPr>
          <w:rFonts w:hint="eastAsia"/>
        </w:rPr>
      </w:pPr>
      <w:r>
        <w:rPr>
          <w:noProof/>
        </w:rPr>
        <w:drawing>
          <wp:inline distT="0" distB="0" distL="0" distR="0" wp14:anchorId="72B7AC60" wp14:editId="0B5CC694">
            <wp:extent cx="6080760" cy="3499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1_reality_before_record.png"/>
                    <pic:cNvPicPr/>
                  </pic:nvPicPr>
                  <pic:blipFill>
                    <a:blip r:embed="rId8"/>
                    <a:stretch>
                      <a:fillRect/>
                    </a:stretch>
                  </pic:blipFill>
                  <pic:spPr>
                    <a:xfrm>
                      <a:off x="0" y="0"/>
                      <a:ext cx="6080760" cy="3499135"/>
                    </a:xfrm>
                    <a:prstGeom prst="rect">
                      <a:avLst/>
                    </a:prstGeom>
                  </pic:spPr>
                </pic:pic>
              </a:graphicData>
            </a:graphic>
          </wp:inline>
        </w:drawing>
      </w:r>
    </w:p>
    <w:p w14:paraId="087633B4" w14:textId="77777777" w:rsidR="0002766A" w:rsidRDefault="00A96132">
      <w:pPr>
        <w:pStyle w:val="Caption"/>
        <w:keepNext/>
        <w:spacing w:before="40" w:after="40"/>
        <w:jc w:val="center"/>
        <w:rPr>
          <w:rFonts w:hint="eastAsia"/>
        </w:rPr>
      </w:pPr>
      <w:r>
        <w:t>Figure 1. Reality exists before the record.</w:t>
      </w:r>
    </w:p>
    <w:p w14:paraId="39AA36F0" w14:textId="77777777" w:rsidR="0002766A" w:rsidRDefault="00A96132">
      <w:pPr>
        <w:spacing w:after="160"/>
        <w:jc w:val="center"/>
        <w:rPr>
          <w:rFonts w:hint="eastAsia"/>
        </w:rPr>
      </w:pPr>
      <w:r>
        <w:rPr>
          <w:i/>
          <w:color w:val="65727D"/>
          <w:sz w:val="17"/>
        </w:rPr>
        <w:t>The architecture moves from reality through measurement into a governed record. The causal direction is not reversed.</w:t>
      </w:r>
    </w:p>
    <w:p w14:paraId="520A7804" w14:textId="77777777" w:rsidR="0002766A" w:rsidRDefault="00A96132">
      <w:pPr>
        <w:spacing w:before="80" w:after="60"/>
        <w:jc w:val="center"/>
        <w:rPr>
          <w:rFonts w:hint="eastAsia"/>
        </w:rPr>
      </w:pPr>
      <w:r>
        <w:rPr>
          <w:noProof/>
        </w:rPr>
        <w:drawing>
          <wp:inline distT="0" distB="0" distL="0" distR="0" wp14:anchorId="013ADE3B" wp14:editId="4A6C3554">
            <wp:extent cx="6080760" cy="3499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2_girder_textbook.png"/>
                    <pic:cNvPicPr/>
                  </pic:nvPicPr>
                  <pic:blipFill>
                    <a:blip r:embed="rId9"/>
                    <a:stretch>
                      <a:fillRect/>
                    </a:stretch>
                  </pic:blipFill>
                  <pic:spPr>
                    <a:xfrm>
                      <a:off x="0" y="0"/>
                      <a:ext cx="6080760" cy="3499135"/>
                    </a:xfrm>
                    <a:prstGeom prst="rect">
                      <a:avLst/>
                    </a:prstGeom>
                  </pic:spPr>
                </pic:pic>
              </a:graphicData>
            </a:graphic>
          </wp:inline>
        </w:drawing>
      </w:r>
    </w:p>
    <w:p w14:paraId="76AB21B1" w14:textId="77777777" w:rsidR="0002766A" w:rsidRDefault="00A96132">
      <w:pPr>
        <w:pStyle w:val="Caption"/>
        <w:keepNext/>
        <w:spacing w:before="40" w:after="40"/>
        <w:jc w:val="center"/>
        <w:rPr>
          <w:rFonts w:hint="eastAsia"/>
        </w:rPr>
      </w:pPr>
      <w:r>
        <w:t>Figure 2. The girder does not read the textbook.</w:t>
      </w:r>
    </w:p>
    <w:p w14:paraId="1E388740" w14:textId="77777777" w:rsidR="0002766A" w:rsidRDefault="00A96132">
      <w:pPr>
        <w:spacing w:after="160"/>
        <w:jc w:val="center"/>
        <w:rPr>
          <w:rFonts w:hint="eastAsia"/>
        </w:rPr>
      </w:pPr>
      <w:r>
        <w:rPr>
          <w:i/>
          <w:color w:val="65727D"/>
          <w:sz w:val="17"/>
        </w:rPr>
        <w:t>The physical property is not created by the human description, textbook, database, or interface.</w:t>
      </w:r>
    </w:p>
    <w:p w14:paraId="79A97724" w14:textId="77777777" w:rsidR="0002766A" w:rsidRDefault="00A96132">
      <w:pPr>
        <w:pStyle w:val="Heading2"/>
      </w:pPr>
      <w:r>
        <w:t>2. Property, Observation, and Record</w:t>
      </w:r>
    </w:p>
    <w:p w14:paraId="754C988F" w14:textId="77777777" w:rsidR="0002766A" w:rsidRDefault="00A96132">
      <w:pPr>
        <w:rPr>
          <w:rFonts w:hint="eastAsia"/>
        </w:rPr>
      </w:pPr>
      <w:r>
        <w:t>A robust quantitative architecture separates the property being studied from the observation generated by an encounter with that property and from the record that later preserves the observation. These distinctions are especially important when measurements vary, methods improve, or values depend on conditions. RESIDUAL stores the record; it does not claim direct possession of the property itself.</w:t>
      </w:r>
    </w:p>
    <w:p w14:paraId="1685A927" w14:textId="77777777" w:rsidR="0002766A" w:rsidRDefault="00A96132">
      <w:pPr>
        <w:spacing w:before="80" w:after="60"/>
        <w:jc w:val="center"/>
        <w:rPr>
          <w:rFonts w:hint="eastAsia"/>
        </w:rPr>
      </w:pPr>
      <w:r>
        <w:rPr>
          <w:noProof/>
        </w:rPr>
        <w:drawing>
          <wp:inline distT="0" distB="0" distL="0" distR="0" wp14:anchorId="3446C4B0" wp14:editId="19F46BD5">
            <wp:extent cx="6080760" cy="3499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_property_observation_record.png"/>
                    <pic:cNvPicPr/>
                  </pic:nvPicPr>
                  <pic:blipFill>
                    <a:blip r:embed="rId10"/>
                    <a:stretch>
                      <a:fillRect/>
                    </a:stretch>
                  </pic:blipFill>
                  <pic:spPr>
                    <a:xfrm>
                      <a:off x="0" y="0"/>
                      <a:ext cx="6080760" cy="3499135"/>
                    </a:xfrm>
                    <a:prstGeom prst="rect">
                      <a:avLst/>
                    </a:prstGeom>
                  </pic:spPr>
                </pic:pic>
              </a:graphicData>
            </a:graphic>
          </wp:inline>
        </w:drawing>
      </w:r>
    </w:p>
    <w:p w14:paraId="20B6F2BE" w14:textId="77777777" w:rsidR="0002766A" w:rsidRDefault="00A96132">
      <w:pPr>
        <w:pStyle w:val="Caption"/>
        <w:spacing w:before="40" w:after="40"/>
        <w:jc w:val="center"/>
        <w:rPr>
          <w:rFonts w:hint="eastAsia"/>
        </w:rPr>
      </w:pPr>
      <w:r>
        <w:t>Figure 3. Property, observation, and record are distinct epistemic objects.</w:t>
      </w:r>
    </w:p>
    <w:p w14:paraId="258B37FE" w14:textId="77777777" w:rsidR="0002766A" w:rsidRDefault="00A96132">
      <w:pPr>
        <w:spacing w:before="80" w:after="60"/>
        <w:jc w:val="center"/>
        <w:rPr>
          <w:rFonts w:hint="eastAsia"/>
        </w:rPr>
      </w:pPr>
      <w:r>
        <w:rPr>
          <w:noProof/>
        </w:rPr>
        <w:drawing>
          <wp:inline distT="0" distB="0" distL="0" distR="0" wp14:anchorId="50D98054" wp14:editId="431CE7F6">
            <wp:extent cx="6080760" cy="34991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_residual_chain.png"/>
                    <pic:cNvPicPr/>
                  </pic:nvPicPr>
                  <pic:blipFill>
                    <a:blip r:embed="rId11"/>
                    <a:stretch>
                      <a:fillRect/>
                    </a:stretch>
                  </pic:blipFill>
                  <pic:spPr>
                    <a:xfrm>
                      <a:off x="0" y="0"/>
                      <a:ext cx="6080760" cy="3499135"/>
                    </a:xfrm>
                    <a:prstGeom prst="rect">
                      <a:avLst/>
                    </a:prstGeom>
                  </pic:spPr>
                </pic:pic>
              </a:graphicData>
            </a:graphic>
          </wp:inline>
        </w:drawing>
      </w:r>
    </w:p>
    <w:p w14:paraId="68EFE45C" w14:textId="77777777" w:rsidR="0002766A" w:rsidRDefault="00A96132">
      <w:pPr>
        <w:pStyle w:val="Caption"/>
        <w:keepNext/>
        <w:spacing w:before="40" w:after="40"/>
        <w:jc w:val="center"/>
        <w:rPr>
          <w:rFonts w:hint="eastAsia"/>
        </w:rPr>
      </w:pPr>
      <w:r>
        <w:t>Figure 4. The RESIDUAL chain from reality to use.</w:t>
      </w:r>
    </w:p>
    <w:p w14:paraId="56189C80" w14:textId="77777777" w:rsidR="0002766A" w:rsidRDefault="00A96132">
      <w:pPr>
        <w:spacing w:after="160"/>
        <w:jc w:val="center"/>
        <w:rPr>
          <w:rFonts w:hint="eastAsia"/>
        </w:rPr>
      </w:pPr>
      <w:r>
        <w:rPr>
          <w:i/>
          <w:color w:val="65727D"/>
          <w:sz w:val="17"/>
        </w:rPr>
        <w:t>A Lens can use a record without becoming the owner of the evidence that produced it.</w:t>
      </w:r>
    </w:p>
    <w:p w14:paraId="0938B6BE" w14:textId="77777777" w:rsidR="0002766A" w:rsidRDefault="00A96132">
      <w:pPr>
        <w:pStyle w:val="Heading2"/>
      </w:pPr>
      <w:r>
        <w:t>3. Why the Name RESIDUAL Matters</w:t>
      </w:r>
    </w:p>
    <w:p w14:paraId="5FC73B23" w14:textId="77777777" w:rsidR="0002766A" w:rsidRDefault="00A96132">
      <w:pPr>
        <w:rPr>
          <w:rFonts w:hint="eastAsia"/>
        </w:rPr>
      </w:pPr>
      <w:r>
        <w:t>A compact value often represents the residue of a much larger scientific effort. Sample preparation, calibration, experimental design, measurement, replication, statistical treatment, standards, publication, and criticism can collapse into a number small enough to occupy one cell. RESIDUAL preserves that reusable quantitative inheritance while retaining routes back to the work that produced it.</w:t>
      </w:r>
    </w:p>
    <w:p w14:paraId="79349CAE" w14:textId="77777777" w:rsidR="0002766A" w:rsidRDefault="00A96132">
      <w:pPr>
        <w:spacing w:before="80" w:after="60"/>
        <w:jc w:val="center"/>
        <w:rPr>
          <w:rFonts w:hint="eastAsia"/>
        </w:rPr>
      </w:pPr>
      <w:r>
        <w:rPr>
          <w:noProof/>
        </w:rPr>
        <w:drawing>
          <wp:inline distT="0" distB="0" distL="0" distR="0" wp14:anchorId="46FBB337" wp14:editId="41171F92">
            <wp:extent cx="6080760" cy="3499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5_provenance_residue.png"/>
                    <pic:cNvPicPr/>
                  </pic:nvPicPr>
                  <pic:blipFill>
                    <a:blip r:embed="rId12"/>
                    <a:stretch>
                      <a:fillRect/>
                    </a:stretch>
                  </pic:blipFill>
                  <pic:spPr>
                    <a:xfrm>
                      <a:off x="0" y="0"/>
                      <a:ext cx="6080760" cy="3499135"/>
                    </a:xfrm>
                    <a:prstGeom prst="rect">
                      <a:avLst/>
                    </a:prstGeom>
                  </pic:spPr>
                </pic:pic>
              </a:graphicData>
            </a:graphic>
          </wp:inline>
        </w:drawing>
      </w:r>
    </w:p>
    <w:p w14:paraId="726BBFC9" w14:textId="77777777" w:rsidR="0002766A" w:rsidRDefault="00A96132">
      <w:pPr>
        <w:pStyle w:val="Caption"/>
        <w:spacing w:before="40" w:after="40"/>
        <w:jc w:val="center"/>
        <w:rPr>
          <w:rFonts w:hint="eastAsia"/>
        </w:rPr>
      </w:pPr>
      <w:r>
        <w:t>Figure 5. One tiny value can inherit an enormous provenance history.</w:t>
      </w:r>
    </w:p>
    <w:tbl>
      <w:tblPr>
        <w:tblW w:w="0" w:type="auto"/>
        <w:jc w:val="center"/>
        <w:tblLayout w:type="fixed"/>
        <w:tblLook w:val="04A0" w:firstRow="1" w:lastRow="0" w:firstColumn="1" w:lastColumn="0" w:noHBand="0" w:noVBand="1"/>
      </w:tblPr>
      <w:tblGrid>
        <w:gridCol w:w="10166"/>
      </w:tblGrid>
      <w:tr w:rsidR="0002766A" w14:paraId="0CB1398F" w14:textId="77777777">
        <w:trPr>
          <w:jc w:val="center"/>
        </w:trPr>
        <w:tc>
          <w:tcPr>
            <w:tcW w:w="10166" w:type="dxa"/>
            <w:shd w:val="clear" w:color="auto" w:fill="F7EFE1"/>
            <w:tcMar>
              <w:top w:w="140" w:type="dxa"/>
              <w:left w:w="180" w:type="dxa"/>
              <w:bottom w:w="140" w:type="dxa"/>
              <w:right w:w="180" w:type="dxa"/>
            </w:tcMar>
          </w:tcPr>
          <w:p w14:paraId="2AA97689" w14:textId="77777777" w:rsidR="0002766A" w:rsidRDefault="00A96132">
            <w:pPr>
              <w:spacing w:after="40"/>
              <w:rPr>
                <w:rFonts w:hint="eastAsia"/>
              </w:rPr>
            </w:pPr>
            <w:r>
              <w:rPr>
                <w:b/>
                <w:color w:val="C58B32"/>
                <w:sz w:val="18"/>
              </w:rPr>
              <w:t>RESIDUAL INTELLIGENCE</w:t>
            </w:r>
          </w:p>
          <w:p w14:paraId="42352AA1" w14:textId="77777777" w:rsidR="0002766A" w:rsidRDefault="00A96132">
            <w:pPr>
              <w:spacing w:after="0" w:line="252" w:lineRule="auto"/>
              <w:rPr>
                <w:rFonts w:hint="eastAsia"/>
              </w:rPr>
            </w:pPr>
            <w:r>
              <w:t>The property existed before the research. What remains after the research is a reusable quantitative record of humanity’s encounter with that property.</w:t>
            </w:r>
          </w:p>
        </w:tc>
      </w:tr>
    </w:tbl>
    <w:p w14:paraId="05F9D8FA" w14:textId="77777777" w:rsidR="0002766A" w:rsidRDefault="0002766A">
      <w:pPr>
        <w:spacing w:after="40"/>
        <w:rPr>
          <w:rFonts w:hint="eastAsia"/>
        </w:rPr>
      </w:pPr>
    </w:p>
    <w:p w14:paraId="5D05A0DF" w14:textId="77777777" w:rsidR="0002766A" w:rsidRDefault="00A96132">
      <w:pPr>
        <w:pStyle w:val="Heading1"/>
      </w:pPr>
      <w:r>
        <w:t>Part II — RESIDUAL Identity and Resolution Hierarchy</w:t>
      </w:r>
    </w:p>
    <w:p w14:paraId="3BF971BD" w14:textId="77777777" w:rsidR="0002766A" w:rsidRDefault="00A96132">
      <w:pPr>
        <w:pStyle w:val="Heading2"/>
      </w:pPr>
      <w:r>
        <w:t>4. The Constant as the Quantitative Primitive</w:t>
      </w:r>
    </w:p>
    <w:p w14:paraId="6B8D3A9F" w14:textId="77777777" w:rsidR="0002766A" w:rsidRDefault="00A96132">
      <w:pPr>
        <w:rPr>
          <w:rFonts w:hint="eastAsia"/>
        </w:rPr>
      </w:pPr>
      <w:r>
        <w:t>A Constant is the smallest singular quantitative value RESIDUAL intends to route and reuse. In a dense Family Table, a Constant may be represented by one exact record-by-field intersection rather than by a dedicated row in a separate “constants” table. Its semantic address derives from the Family, subject or record identity, field identity, unit contract, context, and provenance that make the cell interpretable.</w:t>
      </w:r>
    </w:p>
    <w:p w14:paraId="240ED33C" w14:textId="77777777" w:rsidR="0002766A" w:rsidRDefault="00A96132">
      <w:pPr>
        <w:spacing w:before="80" w:after="60"/>
        <w:jc w:val="center"/>
        <w:rPr>
          <w:rFonts w:hint="eastAsia"/>
        </w:rPr>
      </w:pPr>
      <w:r>
        <w:rPr>
          <w:noProof/>
        </w:rPr>
        <w:drawing>
          <wp:inline distT="0" distB="0" distL="0" distR="0" wp14:anchorId="2F22EEAB" wp14:editId="6A2AECA9">
            <wp:extent cx="6080760" cy="3499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6_constant_anatomy.png"/>
                    <pic:cNvPicPr/>
                  </pic:nvPicPr>
                  <pic:blipFill>
                    <a:blip r:embed="rId13"/>
                    <a:stretch>
                      <a:fillRect/>
                    </a:stretch>
                  </pic:blipFill>
                  <pic:spPr>
                    <a:xfrm>
                      <a:off x="0" y="0"/>
                      <a:ext cx="6080760" cy="3499135"/>
                    </a:xfrm>
                    <a:prstGeom prst="rect">
                      <a:avLst/>
                    </a:prstGeom>
                  </pic:spPr>
                </pic:pic>
              </a:graphicData>
            </a:graphic>
          </wp:inline>
        </w:drawing>
      </w:r>
    </w:p>
    <w:p w14:paraId="67CA66CE" w14:textId="77777777" w:rsidR="0002766A" w:rsidRDefault="00A96132">
      <w:pPr>
        <w:pStyle w:val="Caption"/>
        <w:spacing w:before="40" w:after="40"/>
        <w:jc w:val="center"/>
        <w:rPr>
          <w:rFonts w:hint="eastAsia"/>
        </w:rPr>
      </w:pPr>
      <w:r>
        <w:t>Figure 6. Anatomy of a governed RESIDUAL Constant.</w:t>
      </w:r>
    </w:p>
    <w:p w14:paraId="5AD6EE03" w14:textId="77777777" w:rsidR="0002766A" w:rsidRDefault="00A96132">
      <w:pPr>
        <w:spacing w:before="80" w:after="60"/>
        <w:jc w:val="center"/>
        <w:rPr>
          <w:rFonts w:hint="eastAsia"/>
        </w:rPr>
      </w:pPr>
      <w:r>
        <w:rPr>
          <w:noProof/>
        </w:rPr>
        <w:drawing>
          <wp:inline distT="0" distB="0" distL="0" distR="0" wp14:anchorId="0BC607BC" wp14:editId="47235FD5">
            <wp:extent cx="6080760" cy="34991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7_bare_vs_governed.png"/>
                    <pic:cNvPicPr/>
                  </pic:nvPicPr>
                  <pic:blipFill>
                    <a:blip r:embed="rId14"/>
                    <a:stretch>
                      <a:fillRect/>
                    </a:stretch>
                  </pic:blipFill>
                  <pic:spPr>
                    <a:xfrm>
                      <a:off x="0" y="0"/>
                      <a:ext cx="6080760" cy="3499135"/>
                    </a:xfrm>
                    <a:prstGeom prst="rect">
                      <a:avLst/>
                    </a:prstGeom>
                  </pic:spPr>
                </pic:pic>
              </a:graphicData>
            </a:graphic>
          </wp:inline>
        </w:drawing>
      </w:r>
    </w:p>
    <w:p w14:paraId="0275C8A1" w14:textId="77777777" w:rsidR="0002766A" w:rsidRDefault="00A96132">
      <w:pPr>
        <w:pStyle w:val="Caption"/>
        <w:spacing w:before="40" w:after="40"/>
        <w:jc w:val="center"/>
        <w:rPr>
          <w:rFonts w:hint="eastAsia"/>
        </w:rPr>
      </w:pPr>
      <w:r>
        <w:t>Figure 7. A bare number compared with a governed quantitative value.</w:t>
      </w:r>
    </w:p>
    <w:p w14:paraId="7B9E6C4D" w14:textId="77777777" w:rsidR="0002766A" w:rsidRDefault="00A96132">
      <w:pPr>
        <w:pStyle w:val="Heading2"/>
      </w:pPr>
      <w:r>
        <w:t>5. Quantitative Classes</w:t>
      </w:r>
    </w:p>
    <w:p w14:paraId="07ADBF70" w14:textId="77777777" w:rsidR="0002766A" w:rsidRDefault="00A96132">
      <w:pPr>
        <w:rPr>
          <w:rFonts w:hint="eastAsia"/>
        </w:rPr>
      </w:pPr>
      <w:r>
        <w:t>RESIDUAL can contain mathematical constants, defined reference quantities, measured values, experimental observations, statistical estimates, derived values, reference values, and context-dependent properties. These share a quantitative routing architecture but should retain different epistemic classes. A mathematical constant is not treated as though it were a laboratory estimate, and an experimentally measured material property is not presented as metaphysically invariant merely because RESIDUAL calls the</w:t>
      </w:r>
      <w:r>
        <w:t xml:space="preserve"> individual value a Constant.</w:t>
      </w:r>
    </w:p>
    <w:p w14:paraId="2F95E0AA" w14:textId="77777777" w:rsidR="0002766A" w:rsidRDefault="00A96132">
      <w:pPr>
        <w:spacing w:before="80" w:after="60"/>
        <w:jc w:val="center"/>
        <w:rPr>
          <w:rFonts w:hint="eastAsia"/>
        </w:rPr>
      </w:pPr>
      <w:r>
        <w:rPr>
          <w:noProof/>
        </w:rPr>
        <w:drawing>
          <wp:inline distT="0" distB="0" distL="0" distR="0" wp14:anchorId="3320527C" wp14:editId="7A092C4B">
            <wp:extent cx="6080760" cy="34991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8_value_classes.png"/>
                    <pic:cNvPicPr/>
                  </pic:nvPicPr>
                  <pic:blipFill>
                    <a:blip r:embed="rId15"/>
                    <a:stretch>
                      <a:fillRect/>
                    </a:stretch>
                  </pic:blipFill>
                  <pic:spPr>
                    <a:xfrm>
                      <a:off x="0" y="0"/>
                      <a:ext cx="6080760" cy="3499135"/>
                    </a:xfrm>
                    <a:prstGeom prst="rect">
                      <a:avLst/>
                    </a:prstGeom>
                  </pic:spPr>
                </pic:pic>
              </a:graphicData>
            </a:graphic>
          </wp:inline>
        </w:drawing>
      </w:r>
    </w:p>
    <w:p w14:paraId="23D89D58" w14:textId="77777777" w:rsidR="0002766A" w:rsidRDefault="00A96132">
      <w:pPr>
        <w:pStyle w:val="Caption"/>
        <w:spacing w:before="40" w:after="40"/>
        <w:jc w:val="center"/>
        <w:rPr>
          <w:rFonts w:hint="eastAsia"/>
        </w:rPr>
      </w:pPr>
      <w:r>
        <w:t>Figure 8. Recorded value classes within the RESIDUAL architecture.</w:t>
      </w:r>
    </w:p>
    <w:p w14:paraId="48190CAA" w14:textId="77777777" w:rsidR="0002766A" w:rsidRDefault="00A96132">
      <w:pPr>
        <w:pStyle w:val="Heading2"/>
      </w:pPr>
      <w:r>
        <w:t>6. Constant → Family → Community → World</w:t>
      </w:r>
    </w:p>
    <w:p w14:paraId="0407AB7B" w14:textId="77777777" w:rsidR="0002766A" w:rsidRDefault="00A96132">
      <w:pPr>
        <w:rPr>
          <w:rFonts w:hint="eastAsia"/>
        </w:rPr>
      </w:pPr>
      <w:r>
        <w:t>The global resolution grammar mirrors the zoom structure already used elsewhere in CERBERUS. Constants group into Families. Families belong to Communities. Communities resolve into Worlds. The same pattern allows a user, model, or routing system to move from one recorded value upward into domain context or downward from a broad scientific domain into a precise quantitative address.</w:t>
      </w:r>
    </w:p>
    <w:p w14:paraId="354A395E" w14:textId="77777777" w:rsidR="0002766A" w:rsidRDefault="00A96132">
      <w:pPr>
        <w:spacing w:before="80" w:after="60"/>
        <w:jc w:val="center"/>
        <w:rPr>
          <w:rFonts w:hint="eastAsia"/>
        </w:rPr>
      </w:pPr>
      <w:r>
        <w:rPr>
          <w:noProof/>
        </w:rPr>
        <w:drawing>
          <wp:inline distT="0" distB="0" distL="0" distR="0" wp14:anchorId="4CF543DD" wp14:editId="78395078">
            <wp:extent cx="6080760" cy="34447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9_resolution_stack.png"/>
                    <pic:cNvPicPr/>
                  </pic:nvPicPr>
                  <pic:blipFill>
                    <a:blip r:embed="rId16"/>
                    <a:stretch>
                      <a:fillRect/>
                    </a:stretch>
                  </pic:blipFill>
                  <pic:spPr>
                    <a:xfrm>
                      <a:off x="0" y="0"/>
                      <a:ext cx="6080760" cy="3444780"/>
                    </a:xfrm>
                    <a:prstGeom prst="rect">
                      <a:avLst/>
                    </a:prstGeom>
                  </pic:spPr>
                </pic:pic>
              </a:graphicData>
            </a:graphic>
          </wp:inline>
        </w:drawing>
      </w:r>
    </w:p>
    <w:p w14:paraId="7B87A103" w14:textId="77777777" w:rsidR="0002766A" w:rsidRDefault="00A96132">
      <w:pPr>
        <w:pStyle w:val="Caption"/>
        <w:spacing w:before="40" w:after="40"/>
        <w:jc w:val="center"/>
        <w:rPr>
          <w:rFonts w:hint="eastAsia"/>
        </w:rPr>
      </w:pPr>
      <w:r>
        <w:t>Figure 9. The RESIDUAL resolution stack from Science World to one quantitative value.</w:t>
      </w:r>
    </w:p>
    <w:p w14:paraId="1D38F670" w14:textId="77777777" w:rsidR="0002766A" w:rsidRDefault="00A96132">
      <w:pPr>
        <w:spacing w:before="80" w:after="60"/>
        <w:jc w:val="center"/>
        <w:rPr>
          <w:rFonts w:hint="eastAsia"/>
        </w:rPr>
      </w:pPr>
      <w:r>
        <w:rPr>
          <w:noProof/>
        </w:rPr>
        <w:drawing>
          <wp:inline distT="0" distB="0" distL="0" distR="0" wp14:anchorId="49D10DF8" wp14:editId="7411BF07">
            <wp:extent cx="6080760" cy="34991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0_science_world.png"/>
                    <pic:cNvPicPr/>
                  </pic:nvPicPr>
                  <pic:blipFill>
                    <a:blip r:embed="rId17"/>
                    <a:stretch>
                      <a:fillRect/>
                    </a:stretch>
                  </pic:blipFill>
                  <pic:spPr>
                    <a:xfrm>
                      <a:off x="0" y="0"/>
                      <a:ext cx="6080760" cy="3499135"/>
                    </a:xfrm>
                    <a:prstGeom prst="rect">
                      <a:avLst/>
                    </a:prstGeom>
                  </pic:spPr>
                </pic:pic>
              </a:graphicData>
            </a:graphic>
          </wp:inline>
        </w:drawing>
      </w:r>
    </w:p>
    <w:p w14:paraId="2D52F464" w14:textId="77777777" w:rsidR="0002766A" w:rsidRDefault="00A96132">
      <w:pPr>
        <w:pStyle w:val="Caption"/>
        <w:spacing w:before="40" w:after="40"/>
        <w:jc w:val="center"/>
        <w:rPr>
          <w:rFonts w:hint="eastAsia"/>
        </w:rPr>
      </w:pPr>
      <w:r>
        <w:t>Figure 10. Illustrative Communities inside a Science World.</w:t>
      </w:r>
    </w:p>
    <w:p w14:paraId="627661AA" w14:textId="77777777" w:rsidR="0002766A" w:rsidRDefault="00A96132">
      <w:pPr>
        <w:pStyle w:val="Heading2"/>
      </w:pPr>
      <w:r>
        <w:t>7. Community and Family Organization</w:t>
      </w:r>
    </w:p>
    <w:p w14:paraId="728D9F94" w14:textId="77777777" w:rsidR="0002766A" w:rsidRDefault="00A96132">
      <w:pPr>
        <w:rPr>
          <w:rFonts w:hint="eastAsia"/>
        </w:rPr>
      </w:pPr>
      <w:r>
        <w:t>The hierarchy is intentionally extensible. Material Science can use property-centered Families such as Tensile Strength, Compression Strength, Shear Strength, Elastic Modulus, or Thermal Conductivity. Chemistry can organize Families around coherent quantitative domains such as Organic Chemistry, Biochemistry, Physical Chemistry, or other structures that best support the values being recorded. RESIDUAL requires governed placement, not one universal philosophy of scientific taxonomy.</w:t>
      </w:r>
    </w:p>
    <w:p w14:paraId="3E2FF564" w14:textId="77777777" w:rsidR="0002766A" w:rsidRDefault="00A96132">
      <w:pPr>
        <w:spacing w:before="80" w:after="60"/>
        <w:jc w:val="center"/>
        <w:rPr>
          <w:rFonts w:hint="eastAsia"/>
        </w:rPr>
      </w:pPr>
      <w:r>
        <w:rPr>
          <w:noProof/>
        </w:rPr>
        <w:drawing>
          <wp:inline distT="0" distB="0" distL="0" distR="0" wp14:anchorId="67DA6ADF" wp14:editId="4142EC77">
            <wp:extent cx="6080760" cy="34991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_material_science.png"/>
                    <pic:cNvPicPr/>
                  </pic:nvPicPr>
                  <pic:blipFill>
                    <a:blip r:embed="rId18"/>
                    <a:stretch>
                      <a:fillRect/>
                    </a:stretch>
                  </pic:blipFill>
                  <pic:spPr>
                    <a:xfrm>
                      <a:off x="0" y="0"/>
                      <a:ext cx="6080760" cy="3499135"/>
                    </a:xfrm>
                    <a:prstGeom prst="rect">
                      <a:avLst/>
                    </a:prstGeom>
                  </pic:spPr>
                </pic:pic>
              </a:graphicData>
            </a:graphic>
          </wp:inline>
        </w:drawing>
      </w:r>
    </w:p>
    <w:p w14:paraId="50E5C422" w14:textId="77777777" w:rsidR="0002766A" w:rsidRDefault="00A96132">
      <w:pPr>
        <w:pStyle w:val="Caption"/>
        <w:spacing w:before="40" w:after="40"/>
        <w:jc w:val="center"/>
        <w:rPr>
          <w:rFonts w:hint="eastAsia"/>
        </w:rPr>
      </w:pPr>
      <w:r>
        <w:t>Figure 11. Material Science Community with property-centered Families.</w:t>
      </w:r>
    </w:p>
    <w:p w14:paraId="19A23F25" w14:textId="77777777" w:rsidR="0002766A" w:rsidRDefault="00A96132">
      <w:pPr>
        <w:spacing w:before="80" w:after="60"/>
        <w:jc w:val="center"/>
        <w:rPr>
          <w:rFonts w:hint="eastAsia"/>
        </w:rPr>
      </w:pPr>
      <w:r>
        <w:rPr>
          <w:noProof/>
        </w:rPr>
        <w:drawing>
          <wp:inline distT="0" distB="0" distL="0" distR="0" wp14:anchorId="3F7669F2" wp14:editId="3CCB4527">
            <wp:extent cx="6080760" cy="34991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_family_many_subjects.png"/>
                    <pic:cNvPicPr/>
                  </pic:nvPicPr>
                  <pic:blipFill>
                    <a:blip r:embed="rId19"/>
                    <a:stretch>
                      <a:fillRect/>
                    </a:stretch>
                  </pic:blipFill>
                  <pic:spPr>
                    <a:xfrm>
                      <a:off x="0" y="0"/>
                      <a:ext cx="6080760" cy="3499135"/>
                    </a:xfrm>
                    <a:prstGeom prst="rect">
                      <a:avLst/>
                    </a:prstGeom>
                  </pic:spPr>
                </pic:pic>
              </a:graphicData>
            </a:graphic>
          </wp:inline>
        </w:drawing>
      </w:r>
    </w:p>
    <w:p w14:paraId="005D2C69" w14:textId="77777777" w:rsidR="0002766A" w:rsidRDefault="00A96132">
      <w:pPr>
        <w:pStyle w:val="Caption"/>
        <w:spacing w:before="40" w:after="40"/>
        <w:jc w:val="center"/>
        <w:rPr>
          <w:rFonts w:hint="eastAsia"/>
        </w:rPr>
      </w:pPr>
      <w:r>
        <w:t>Figure 12. One Family Table can contain many subject-specific Constants.</w:t>
      </w:r>
    </w:p>
    <w:p w14:paraId="117D73F1" w14:textId="77777777" w:rsidR="0002766A" w:rsidRDefault="00A96132">
      <w:pPr>
        <w:pStyle w:val="Heading1"/>
      </w:pPr>
      <w:r>
        <w:t>Part III — Semiotic Meaning and Quantitative Evidence</w:t>
      </w:r>
    </w:p>
    <w:p w14:paraId="14D59615" w14:textId="77777777" w:rsidR="0002766A" w:rsidRDefault="00A96132">
      <w:pPr>
        <w:pStyle w:val="Heading2"/>
      </w:pPr>
      <w:r>
        <w:t>8. Parallel Resolution Systems</w:t>
      </w:r>
    </w:p>
    <w:p w14:paraId="60EB67F1" w14:textId="77777777" w:rsidR="0002766A" w:rsidRDefault="00A96132">
      <w:pPr>
        <w:rPr>
          <w:rFonts w:hint="eastAsia"/>
        </w:rPr>
      </w:pPr>
      <w:r>
        <w:t>Semiotics and RESIDUAL solve different problems. Semiotics organizes conceptual meaning through World, Community, Family, and Semantic Symbol. RESIDUAL organizes quantitative evidence through World, Community, Family, and Constant. The two systems can deliberately mirror one another without becoming the same registry. Meaning can remain stable while values change; values can remain stable while symbols or labels change.</w:t>
      </w:r>
    </w:p>
    <w:p w14:paraId="41FF836A" w14:textId="77777777" w:rsidR="0002766A" w:rsidRDefault="00A96132">
      <w:pPr>
        <w:spacing w:before="80" w:after="60"/>
        <w:jc w:val="center"/>
        <w:rPr>
          <w:rFonts w:hint="eastAsia"/>
        </w:rPr>
      </w:pPr>
      <w:r>
        <w:rPr>
          <w:noProof/>
        </w:rPr>
        <w:drawing>
          <wp:inline distT="0" distB="0" distL="0" distR="0" wp14:anchorId="5D28B3A5" wp14:editId="7D80AFE8">
            <wp:extent cx="6080760" cy="34991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semiotic_vs_residual.png"/>
                    <pic:cNvPicPr/>
                  </pic:nvPicPr>
                  <pic:blipFill>
                    <a:blip r:embed="rId20"/>
                    <a:stretch>
                      <a:fillRect/>
                    </a:stretch>
                  </pic:blipFill>
                  <pic:spPr>
                    <a:xfrm>
                      <a:off x="0" y="0"/>
                      <a:ext cx="6080760" cy="3499135"/>
                    </a:xfrm>
                    <a:prstGeom prst="rect">
                      <a:avLst/>
                    </a:prstGeom>
                  </pic:spPr>
                </pic:pic>
              </a:graphicData>
            </a:graphic>
          </wp:inline>
        </w:drawing>
      </w:r>
    </w:p>
    <w:p w14:paraId="02615706" w14:textId="77777777" w:rsidR="0002766A" w:rsidRDefault="00A96132">
      <w:pPr>
        <w:pStyle w:val="Caption"/>
        <w:keepNext/>
        <w:spacing w:before="40" w:after="40"/>
        <w:jc w:val="center"/>
        <w:rPr>
          <w:rFonts w:hint="eastAsia"/>
        </w:rPr>
      </w:pPr>
      <w:r>
        <w:t>Figure 13. Semiotic and RESIDUAL resolution operate in parallel.</w:t>
      </w:r>
    </w:p>
    <w:p w14:paraId="6B5428AA" w14:textId="77777777" w:rsidR="0002766A" w:rsidRDefault="00A96132">
      <w:pPr>
        <w:spacing w:after="160"/>
        <w:jc w:val="center"/>
        <w:rPr>
          <w:rFonts w:hint="eastAsia"/>
        </w:rPr>
      </w:pPr>
      <w:r>
        <w:rPr>
          <w:i/>
          <w:color w:val="65727D"/>
          <w:sz w:val="17"/>
        </w:rPr>
        <w:t>The left side answers what a concept means. The right side answers what quantitative evidence has been recorded.</w:t>
      </w:r>
    </w:p>
    <w:p w14:paraId="16A8F767" w14:textId="77777777" w:rsidR="0002766A" w:rsidRDefault="00A96132">
      <w:pPr>
        <w:spacing w:before="80" w:after="60"/>
        <w:jc w:val="center"/>
        <w:rPr>
          <w:rFonts w:hint="eastAsia"/>
        </w:rPr>
      </w:pPr>
      <w:r>
        <w:rPr>
          <w:noProof/>
        </w:rPr>
        <w:drawing>
          <wp:inline distT="0" distB="0" distL="0" distR="0" wp14:anchorId="4CE957DC" wp14:editId="2EDC6113">
            <wp:extent cx="6080760" cy="34991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_symbol_not_value.png"/>
                    <pic:cNvPicPr/>
                  </pic:nvPicPr>
                  <pic:blipFill>
                    <a:blip r:embed="rId21"/>
                    <a:stretch>
                      <a:fillRect/>
                    </a:stretch>
                  </pic:blipFill>
                  <pic:spPr>
                    <a:xfrm>
                      <a:off x="0" y="0"/>
                      <a:ext cx="6080760" cy="3499135"/>
                    </a:xfrm>
                    <a:prstGeom prst="rect">
                      <a:avLst/>
                    </a:prstGeom>
                  </pic:spPr>
                </pic:pic>
              </a:graphicData>
            </a:graphic>
          </wp:inline>
        </w:drawing>
      </w:r>
    </w:p>
    <w:p w14:paraId="6B27D533" w14:textId="77777777" w:rsidR="0002766A" w:rsidRDefault="00A96132">
      <w:pPr>
        <w:pStyle w:val="Caption"/>
        <w:spacing w:before="40" w:after="40"/>
        <w:jc w:val="center"/>
        <w:rPr>
          <w:rFonts w:hint="eastAsia"/>
        </w:rPr>
      </w:pPr>
      <w:r>
        <w:t>Figure 14. Symbol form does not own the quantitative value.</w:t>
      </w:r>
    </w:p>
    <w:p w14:paraId="722AFADD" w14:textId="77777777" w:rsidR="0002766A" w:rsidRDefault="00A96132">
      <w:pPr>
        <w:pStyle w:val="Heading2"/>
      </w:pPr>
      <w:r>
        <w:t>9. Stable Meaning, Evolving Evidence</w:t>
      </w:r>
    </w:p>
    <w:p w14:paraId="75E6DB5B" w14:textId="77777777" w:rsidR="0002766A" w:rsidRDefault="00A96132">
      <w:pPr>
        <w:rPr>
          <w:rFonts w:hint="eastAsia"/>
        </w:rPr>
      </w:pPr>
      <w:r>
        <w:t>The semantic identity “Tensile Strength” can remain stable while new experiments, standards, or reference sets update the available evidence. Conversely, the symbol used to render that concept may change without modifying the measurements. This separation lets CERBERUS improve notation and quantitative knowledge independently while preserving explicit bindings between them.</w:t>
      </w:r>
    </w:p>
    <w:p w14:paraId="347A21A1" w14:textId="77777777" w:rsidR="0002766A" w:rsidRDefault="00A96132">
      <w:pPr>
        <w:spacing w:before="80" w:after="60"/>
        <w:jc w:val="center"/>
        <w:rPr>
          <w:rFonts w:hint="eastAsia"/>
        </w:rPr>
      </w:pPr>
      <w:r>
        <w:rPr>
          <w:noProof/>
        </w:rPr>
        <w:drawing>
          <wp:inline distT="0" distB="0" distL="0" distR="0" wp14:anchorId="5784DAAF" wp14:editId="1EC6620A">
            <wp:extent cx="6080760" cy="34991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_meaning_evidence_change.png"/>
                    <pic:cNvPicPr/>
                  </pic:nvPicPr>
                  <pic:blipFill>
                    <a:blip r:embed="rId22"/>
                    <a:stretch>
                      <a:fillRect/>
                    </a:stretch>
                  </pic:blipFill>
                  <pic:spPr>
                    <a:xfrm>
                      <a:off x="0" y="0"/>
                      <a:ext cx="6080760" cy="3499135"/>
                    </a:xfrm>
                    <a:prstGeom prst="rect">
                      <a:avLst/>
                    </a:prstGeom>
                  </pic:spPr>
                </pic:pic>
              </a:graphicData>
            </a:graphic>
          </wp:inline>
        </w:drawing>
      </w:r>
    </w:p>
    <w:p w14:paraId="4C68E2CC" w14:textId="77777777" w:rsidR="0002766A" w:rsidRDefault="00A96132">
      <w:pPr>
        <w:pStyle w:val="Caption"/>
        <w:spacing w:before="40" w:after="40"/>
        <w:jc w:val="center"/>
        <w:rPr>
          <w:rFonts w:hint="eastAsia"/>
        </w:rPr>
      </w:pPr>
      <w:r>
        <w:t>Figure 15. Semantic meaning can remain stable while evidence evolves.</w:t>
      </w:r>
    </w:p>
    <w:p w14:paraId="6ED1869F" w14:textId="77777777" w:rsidR="0002766A" w:rsidRDefault="00A96132">
      <w:pPr>
        <w:spacing w:before="80" w:after="60"/>
        <w:jc w:val="center"/>
        <w:rPr>
          <w:rFonts w:hint="eastAsia"/>
        </w:rPr>
      </w:pPr>
      <w:r>
        <w:rPr>
          <w:noProof/>
        </w:rPr>
        <w:drawing>
          <wp:inline distT="0" distB="0" distL="0" distR="0" wp14:anchorId="3BABD3C7" wp14:editId="49E85155">
            <wp:extent cx="6080760" cy="34991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_two_projections.png"/>
                    <pic:cNvPicPr/>
                  </pic:nvPicPr>
                  <pic:blipFill>
                    <a:blip r:embed="rId23"/>
                    <a:stretch>
                      <a:fillRect/>
                    </a:stretch>
                  </pic:blipFill>
                  <pic:spPr>
                    <a:xfrm>
                      <a:off x="0" y="0"/>
                      <a:ext cx="6080760" cy="3499135"/>
                    </a:xfrm>
                    <a:prstGeom prst="rect">
                      <a:avLst/>
                    </a:prstGeom>
                  </pic:spPr>
                </pic:pic>
              </a:graphicData>
            </a:graphic>
          </wp:inline>
        </w:drawing>
      </w:r>
    </w:p>
    <w:p w14:paraId="77266BC8" w14:textId="77777777" w:rsidR="0002766A" w:rsidRDefault="00A96132">
      <w:pPr>
        <w:pStyle w:val="Caption"/>
        <w:spacing w:before="40" w:after="40"/>
        <w:jc w:val="center"/>
        <w:rPr>
          <w:rFonts w:hint="eastAsia"/>
        </w:rPr>
      </w:pPr>
      <w:r>
        <w:t>Figure 16. Reality supports both semiotic and quantitative human projections.</w:t>
      </w:r>
    </w:p>
    <w:tbl>
      <w:tblPr>
        <w:tblW w:w="0" w:type="auto"/>
        <w:jc w:val="center"/>
        <w:tblLayout w:type="fixed"/>
        <w:tblLook w:val="04A0" w:firstRow="1" w:lastRow="0" w:firstColumn="1" w:lastColumn="0" w:noHBand="0" w:noVBand="1"/>
      </w:tblPr>
      <w:tblGrid>
        <w:gridCol w:w="10166"/>
      </w:tblGrid>
      <w:tr w:rsidR="0002766A" w14:paraId="10184B2C" w14:textId="77777777">
        <w:trPr>
          <w:jc w:val="center"/>
        </w:trPr>
        <w:tc>
          <w:tcPr>
            <w:tcW w:w="10166" w:type="dxa"/>
            <w:shd w:val="clear" w:color="auto" w:fill="EAF0F2"/>
            <w:tcMar>
              <w:top w:w="140" w:type="dxa"/>
              <w:left w:w="180" w:type="dxa"/>
              <w:bottom w:w="140" w:type="dxa"/>
              <w:right w:w="180" w:type="dxa"/>
            </w:tcMar>
          </w:tcPr>
          <w:p w14:paraId="1801D8C3" w14:textId="77777777" w:rsidR="0002766A" w:rsidRDefault="00A96132">
            <w:pPr>
              <w:spacing w:after="40"/>
              <w:rPr>
                <w:rFonts w:hint="eastAsia"/>
              </w:rPr>
            </w:pPr>
            <w:r>
              <w:rPr>
                <w:b/>
                <w:color w:val="1E8D8D"/>
                <w:sz w:val="18"/>
              </w:rPr>
              <w:t>AUTHORITY BOUNDARY</w:t>
            </w:r>
          </w:p>
          <w:p w14:paraId="19E5631F" w14:textId="77777777" w:rsidR="0002766A" w:rsidRDefault="00A96132">
            <w:pPr>
              <w:spacing w:after="0" w:line="252" w:lineRule="auto"/>
              <w:rPr>
                <w:rFonts w:hint="eastAsia"/>
              </w:rPr>
            </w:pPr>
            <w:r>
              <w:t>Semiotics owns governed meaning and symbolic organization. RESIDUAL owns governed quantitative records and their provenance. Neither system is the external reality to which both ultimately refer.</w:t>
            </w:r>
          </w:p>
        </w:tc>
      </w:tr>
    </w:tbl>
    <w:p w14:paraId="0F087F39" w14:textId="77777777" w:rsidR="0002766A" w:rsidRDefault="0002766A">
      <w:pPr>
        <w:spacing w:after="40"/>
        <w:rPr>
          <w:rFonts w:hint="eastAsia"/>
        </w:rPr>
      </w:pPr>
    </w:p>
    <w:p w14:paraId="540575F0" w14:textId="77777777" w:rsidR="0002766A" w:rsidRDefault="00A96132">
      <w:pPr>
        <w:pStyle w:val="Heading1"/>
      </w:pPr>
      <w:r>
        <w:t>Part IV — Evidence Multiplicity, Conditions, and Provenance</w:t>
      </w:r>
    </w:p>
    <w:p w14:paraId="708A55EC" w14:textId="77777777" w:rsidR="0002766A" w:rsidRDefault="00A96132">
      <w:pPr>
        <w:pStyle w:val="Heading2"/>
      </w:pPr>
      <w:r>
        <w:t>10. Multiple Measurements Are Expected</w:t>
      </w:r>
    </w:p>
    <w:p w14:paraId="060F217E" w14:textId="77777777" w:rsidR="0002766A" w:rsidRDefault="00A96132">
      <w:pPr>
        <w:rPr>
          <w:rFonts w:hint="eastAsia"/>
        </w:rPr>
      </w:pPr>
      <w:r>
        <w:t>Scientific evidence is often plural. Different samples, instruments, conditions, methods, or statistical treatments can produce different quantitative results for what appears to be the same property. RESIDUAL should preserve those records rather than collapsing them into one unexplained number. A preferred reference can exist without deleting the evidence that led elsewhere.</w:t>
      </w:r>
    </w:p>
    <w:p w14:paraId="0D84A1B0" w14:textId="77777777" w:rsidR="0002766A" w:rsidRDefault="00A96132">
      <w:pPr>
        <w:spacing w:before="80" w:after="60"/>
        <w:jc w:val="center"/>
        <w:rPr>
          <w:rFonts w:hint="eastAsia"/>
        </w:rPr>
      </w:pPr>
      <w:r>
        <w:rPr>
          <w:noProof/>
        </w:rPr>
        <w:drawing>
          <wp:inline distT="0" distB="0" distL="0" distR="0" wp14:anchorId="70851420" wp14:editId="3C61FF32">
            <wp:extent cx="6080760" cy="34991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_multiple_experiments.png"/>
                    <pic:cNvPicPr/>
                  </pic:nvPicPr>
                  <pic:blipFill>
                    <a:blip r:embed="rId24"/>
                    <a:stretch>
                      <a:fillRect/>
                    </a:stretch>
                  </pic:blipFill>
                  <pic:spPr>
                    <a:xfrm>
                      <a:off x="0" y="0"/>
                      <a:ext cx="6080760" cy="3499135"/>
                    </a:xfrm>
                    <a:prstGeom prst="rect">
                      <a:avLst/>
                    </a:prstGeom>
                  </pic:spPr>
                </pic:pic>
              </a:graphicData>
            </a:graphic>
          </wp:inline>
        </w:drawing>
      </w:r>
    </w:p>
    <w:p w14:paraId="343B9848" w14:textId="77777777" w:rsidR="0002766A" w:rsidRDefault="00A96132">
      <w:pPr>
        <w:pStyle w:val="Caption"/>
        <w:spacing w:before="40" w:after="40"/>
        <w:jc w:val="center"/>
        <w:rPr>
          <w:rFonts w:hint="eastAsia"/>
        </w:rPr>
      </w:pPr>
      <w:r>
        <w:t>Figure 17. One property can generate multiple experimental records.</w:t>
      </w:r>
    </w:p>
    <w:p w14:paraId="6D4DD699" w14:textId="77777777" w:rsidR="0002766A" w:rsidRDefault="00A96132">
      <w:pPr>
        <w:spacing w:before="80" w:after="60"/>
        <w:jc w:val="center"/>
        <w:rPr>
          <w:rFonts w:hint="eastAsia"/>
        </w:rPr>
      </w:pPr>
      <w:r>
        <w:rPr>
          <w:noProof/>
        </w:rPr>
        <w:drawing>
          <wp:inline distT="0" distB="0" distL="0" distR="0" wp14:anchorId="1687E67A" wp14:editId="76A18A78">
            <wp:extent cx="6080760" cy="34991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evidence_not_corruption.png"/>
                    <pic:cNvPicPr/>
                  </pic:nvPicPr>
                  <pic:blipFill>
                    <a:blip r:embed="rId25"/>
                    <a:stretch>
                      <a:fillRect/>
                    </a:stretch>
                  </pic:blipFill>
                  <pic:spPr>
                    <a:xfrm>
                      <a:off x="0" y="0"/>
                      <a:ext cx="6080760" cy="3499135"/>
                    </a:xfrm>
                    <a:prstGeom prst="rect">
                      <a:avLst/>
                    </a:prstGeom>
                  </pic:spPr>
                </pic:pic>
              </a:graphicData>
            </a:graphic>
          </wp:inline>
        </w:drawing>
      </w:r>
    </w:p>
    <w:p w14:paraId="5E2EA09E" w14:textId="77777777" w:rsidR="0002766A" w:rsidRDefault="00A96132">
      <w:pPr>
        <w:pStyle w:val="Caption"/>
        <w:spacing w:before="40" w:after="40"/>
        <w:jc w:val="center"/>
        <w:rPr>
          <w:rFonts w:hint="eastAsia"/>
        </w:rPr>
      </w:pPr>
      <w:r>
        <w:t>Figure 18. Multiple values are evidence, not corruption.</w:t>
      </w:r>
    </w:p>
    <w:p w14:paraId="3DD4C2F6" w14:textId="77777777" w:rsidR="0002766A" w:rsidRDefault="00A96132">
      <w:pPr>
        <w:pStyle w:val="Heading2"/>
      </w:pPr>
      <w:r>
        <w:t>11. Conditions Determine Applicability</w:t>
      </w:r>
    </w:p>
    <w:p w14:paraId="264830FC" w14:textId="77777777" w:rsidR="0002766A" w:rsidRDefault="00A96132">
      <w:pPr>
        <w:rPr>
          <w:rFonts w:hint="eastAsia"/>
        </w:rPr>
      </w:pPr>
      <w:r>
        <w:t>Context-sensitive properties require explicit applicability. Temperature, pressure, material grade, heat treatment, orientation, strain rate, manufacturing state, sample geometry, measurement method, or test standard can determine whether a recorded value is appropriate for a task. RESIDUAL should make contextual specificity cheap enough that users do not need to pretend a convenient reference value is universal.</w:t>
      </w:r>
    </w:p>
    <w:p w14:paraId="3A8BF050" w14:textId="77777777" w:rsidR="0002766A" w:rsidRDefault="00A96132">
      <w:pPr>
        <w:spacing w:before="80" w:after="60"/>
        <w:jc w:val="center"/>
        <w:rPr>
          <w:rFonts w:hint="eastAsia"/>
        </w:rPr>
      </w:pPr>
      <w:r>
        <w:rPr>
          <w:noProof/>
        </w:rPr>
        <w:drawing>
          <wp:inline distT="0" distB="0" distL="0" distR="0" wp14:anchorId="2E4A079E" wp14:editId="69131322">
            <wp:extent cx="6080760" cy="34991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conditions.png"/>
                    <pic:cNvPicPr/>
                  </pic:nvPicPr>
                  <pic:blipFill>
                    <a:blip r:embed="rId26"/>
                    <a:stretch>
                      <a:fillRect/>
                    </a:stretch>
                  </pic:blipFill>
                  <pic:spPr>
                    <a:xfrm>
                      <a:off x="0" y="0"/>
                      <a:ext cx="6080760" cy="3499135"/>
                    </a:xfrm>
                    <a:prstGeom prst="rect">
                      <a:avLst/>
                    </a:prstGeom>
                  </pic:spPr>
                </pic:pic>
              </a:graphicData>
            </a:graphic>
          </wp:inline>
        </w:drawing>
      </w:r>
    </w:p>
    <w:p w14:paraId="258F12D1" w14:textId="77777777" w:rsidR="0002766A" w:rsidRDefault="00A96132">
      <w:pPr>
        <w:pStyle w:val="Caption"/>
        <w:spacing w:before="40" w:after="40"/>
        <w:jc w:val="center"/>
        <w:rPr>
          <w:rFonts w:hint="eastAsia"/>
        </w:rPr>
      </w:pPr>
      <w:r>
        <w:t>Figure 19. Conditions determine whether a recorded value applies.</w:t>
      </w:r>
    </w:p>
    <w:p w14:paraId="7CD1A906" w14:textId="77777777" w:rsidR="0002766A" w:rsidRDefault="00A96132">
      <w:pPr>
        <w:pStyle w:val="Heading2"/>
      </w:pPr>
      <w:r>
        <w:t>12. Uncertainty and Provenance</w:t>
      </w:r>
    </w:p>
    <w:p w14:paraId="124E47DD" w14:textId="77777777" w:rsidR="0002766A" w:rsidRDefault="00A96132">
      <w:pPr>
        <w:rPr>
          <w:rFonts w:hint="eastAsia"/>
        </w:rPr>
      </w:pPr>
      <w:r>
        <w:t>Uncertainty belongs to the measurement or estimate, not to the ontological existence of the property. Where a source reports uncertainty, confidence information, distributional statistics, or method-specific limits, RESIDUAL should preserve them. Provenance should remain traversable from the stored value to the source, experiment, method, instrument, sample, and conditions when such detail is available and useful.</w:t>
      </w:r>
    </w:p>
    <w:p w14:paraId="6027A65A" w14:textId="77777777" w:rsidR="0002766A" w:rsidRDefault="00A96132">
      <w:pPr>
        <w:spacing w:before="80" w:after="60"/>
        <w:jc w:val="center"/>
        <w:rPr>
          <w:rFonts w:hint="eastAsia"/>
        </w:rPr>
      </w:pPr>
      <w:r>
        <w:rPr>
          <w:noProof/>
        </w:rPr>
        <w:drawing>
          <wp:inline distT="0" distB="0" distL="0" distR="0" wp14:anchorId="1BD1FE48" wp14:editId="6214DE74">
            <wp:extent cx="6080760" cy="34991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0_uncertainty.png"/>
                    <pic:cNvPicPr/>
                  </pic:nvPicPr>
                  <pic:blipFill>
                    <a:blip r:embed="rId27"/>
                    <a:stretch>
                      <a:fillRect/>
                    </a:stretch>
                  </pic:blipFill>
                  <pic:spPr>
                    <a:xfrm>
                      <a:off x="0" y="0"/>
                      <a:ext cx="6080760" cy="3499135"/>
                    </a:xfrm>
                    <a:prstGeom prst="rect">
                      <a:avLst/>
                    </a:prstGeom>
                  </pic:spPr>
                </pic:pic>
              </a:graphicData>
            </a:graphic>
          </wp:inline>
        </w:drawing>
      </w:r>
    </w:p>
    <w:p w14:paraId="6C25A5F5" w14:textId="77777777" w:rsidR="0002766A" w:rsidRDefault="00A96132">
      <w:pPr>
        <w:pStyle w:val="Caption"/>
        <w:spacing w:before="40" w:after="40"/>
        <w:jc w:val="center"/>
        <w:rPr>
          <w:rFonts w:hint="eastAsia"/>
        </w:rPr>
      </w:pPr>
      <w:r>
        <w:t>Figure 20. Uncertainty lives with the observation.</w:t>
      </w:r>
    </w:p>
    <w:p w14:paraId="7B5C8AFB" w14:textId="77777777" w:rsidR="0002766A" w:rsidRDefault="00A96132">
      <w:pPr>
        <w:spacing w:before="80" w:after="60"/>
        <w:jc w:val="center"/>
        <w:rPr>
          <w:rFonts w:hint="eastAsia"/>
        </w:rPr>
      </w:pPr>
      <w:r>
        <w:rPr>
          <w:noProof/>
        </w:rPr>
        <w:drawing>
          <wp:inline distT="0" distB="0" distL="0" distR="0" wp14:anchorId="55A70139" wp14:editId="02E6D5EE">
            <wp:extent cx="6080760" cy="34991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_provenance_chain.png"/>
                    <pic:cNvPicPr/>
                  </pic:nvPicPr>
                  <pic:blipFill>
                    <a:blip r:embed="rId28"/>
                    <a:stretch>
                      <a:fillRect/>
                    </a:stretch>
                  </pic:blipFill>
                  <pic:spPr>
                    <a:xfrm>
                      <a:off x="0" y="0"/>
                      <a:ext cx="6080760" cy="3499135"/>
                    </a:xfrm>
                    <a:prstGeom prst="rect">
                      <a:avLst/>
                    </a:prstGeom>
                  </pic:spPr>
                </pic:pic>
              </a:graphicData>
            </a:graphic>
          </wp:inline>
        </w:drawing>
      </w:r>
    </w:p>
    <w:p w14:paraId="284CBD71" w14:textId="77777777" w:rsidR="0002766A" w:rsidRDefault="00A96132">
      <w:pPr>
        <w:pStyle w:val="Caption"/>
        <w:spacing w:before="40" w:after="40"/>
        <w:jc w:val="center"/>
        <w:rPr>
          <w:rFonts w:hint="eastAsia"/>
        </w:rPr>
      </w:pPr>
      <w:r>
        <w:t>Figure 21. A provenance chain makes quantitative evidence auditable.</w:t>
      </w:r>
    </w:p>
    <w:p w14:paraId="230C4E14" w14:textId="77777777" w:rsidR="0002766A" w:rsidRDefault="00A96132">
      <w:pPr>
        <w:pStyle w:val="Heading2"/>
      </w:pPr>
      <w:r>
        <w:t>13. Evidence Status and Historical Integrity</w:t>
      </w:r>
    </w:p>
    <w:p w14:paraId="2A1C0752" w14:textId="77777777" w:rsidR="0002766A" w:rsidRDefault="00A96132">
      <w:pPr>
        <w:rPr>
          <w:rFonts w:hint="eastAsia"/>
        </w:rPr>
      </w:pPr>
      <w:r>
        <w:t>A current preferred value, a superseded historical record, and a disputed value can coexist. Status affects default routing and display, not whether the historical evidence still exists. This allows past simulations, decisions, publications, or assistant loadouts to remain reproducible using the quantitative records that were actually available at the time.</w:t>
      </w:r>
    </w:p>
    <w:p w14:paraId="10519528" w14:textId="77777777" w:rsidR="0002766A" w:rsidRDefault="00A96132">
      <w:pPr>
        <w:spacing w:before="80" w:after="60"/>
        <w:jc w:val="center"/>
        <w:rPr>
          <w:rFonts w:hint="eastAsia"/>
        </w:rPr>
      </w:pPr>
      <w:r>
        <w:rPr>
          <w:noProof/>
        </w:rPr>
        <w:drawing>
          <wp:inline distT="0" distB="0" distL="0" distR="0" wp14:anchorId="6CA9C65A" wp14:editId="482B620F">
            <wp:extent cx="6080760" cy="34991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_status.png"/>
                    <pic:cNvPicPr/>
                  </pic:nvPicPr>
                  <pic:blipFill>
                    <a:blip r:embed="rId29"/>
                    <a:stretch>
                      <a:fillRect/>
                    </a:stretch>
                  </pic:blipFill>
                  <pic:spPr>
                    <a:xfrm>
                      <a:off x="0" y="0"/>
                      <a:ext cx="6080760" cy="3499135"/>
                    </a:xfrm>
                    <a:prstGeom prst="rect">
                      <a:avLst/>
                    </a:prstGeom>
                  </pic:spPr>
                </pic:pic>
              </a:graphicData>
            </a:graphic>
          </wp:inline>
        </w:drawing>
      </w:r>
    </w:p>
    <w:p w14:paraId="24D3D422" w14:textId="77777777" w:rsidR="0002766A" w:rsidRDefault="00A96132">
      <w:pPr>
        <w:pStyle w:val="Caption"/>
        <w:spacing w:before="40" w:after="40"/>
        <w:jc w:val="center"/>
        <w:rPr>
          <w:rFonts w:hint="eastAsia"/>
        </w:rPr>
      </w:pPr>
      <w:r>
        <w:t>Figure 22. Current, superseded, and disputed quantitative records.</w:t>
      </w:r>
    </w:p>
    <w:p w14:paraId="6D7DE375" w14:textId="77777777" w:rsidR="0002766A" w:rsidRDefault="00A96132">
      <w:pPr>
        <w:pStyle w:val="Heading1"/>
      </w:pPr>
      <w:r>
        <w:t>Part V — Dense Family Tables and Constant Addressing</w:t>
      </w:r>
    </w:p>
    <w:p w14:paraId="118BE7CF" w14:textId="77777777" w:rsidR="0002766A" w:rsidRDefault="00A96132">
      <w:pPr>
        <w:pStyle w:val="Heading2"/>
      </w:pPr>
      <w:r>
        <w:t>14. Families as Quantitative Tables</w:t>
      </w:r>
    </w:p>
    <w:p w14:paraId="3F489DAE" w14:textId="77777777" w:rsidR="0002766A" w:rsidRDefault="00A96132">
      <w:pPr>
        <w:rPr>
          <w:rFonts w:hint="eastAsia"/>
        </w:rPr>
      </w:pPr>
      <w:r>
        <w:t>The physical Airtable implementation can take advantage of wide tables. A Family is not merely a label around constants; it can be the actual quantitative table in which those values live. The logical Constant is then a specific quantitative cell resolved through the Family, the record key, the field key, and the Family’s unit/context contract. This preserves very high density while retaining deterministic addresses.</w:t>
      </w:r>
    </w:p>
    <w:p w14:paraId="5FD5FFDD" w14:textId="77777777" w:rsidR="0002766A" w:rsidRDefault="00A96132">
      <w:pPr>
        <w:spacing w:before="80" w:after="60"/>
        <w:jc w:val="center"/>
        <w:rPr>
          <w:rFonts w:hint="eastAsia"/>
        </w:rPr>
      </w:pPr>
      <w:r>
        <w:rPr>
          <w:noProof/>
        </w:rPr>
        <w:drawing>
          <wp:inline distT="0" distB="0" distL="0" distR="0" wp14:anchorId="435DB17D" wp14:editId="7C6EF2A8">
            <wp:extent cx="6080760" cy="34991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paired_pattern.png"/>
                    <pic:cNvPicPr/>
                  </pic:nvPicPr>
                  <pic:blipFill>
                    <a:blip r:embed="rId30"/>
                    <a:stretch>
                      <a:fillRect/>
                    </a:stretch>
                  </pic:blipFill>
                  <pic:spPr>
                    <a:xfrm>
                      <a:off x="0" y="0"/>
                      <a:ext cx="6080760" cy="3499135"/>
                    </a:xfrm>
                    <a:prstGeom prst="rect">
                      <a:avLst/>
                    </a:prstGeom>
                  </pic:spPr>
                </pic:pic>
              </a:graphicData>
            </a:graphic>
          </wp:inline>
        </w:drawing>
      </w:r>
    </w:p>
    <w:p w14:paraId="2FC5B174" w14:textId="77777777" w:rsidR="0002766A" w:rsidRDefault="00A96132">
      <w:pPr>
        <w:pStyle w:val="Caption"/>
        <w:spacing w:before="40" w:after="40"/>
        <w:jc w:val="center"/>
        <w:rPr>
          <w:rFonts w:hint="eastAsia"/>
        </w:rPr>
      </w:pPr>
      <w:r>
        <w:t>Figure 23. Paired Value + Unit fields for heterogeneous quantitative Families.</w:t>
      </w:r>
    </w:p>
    <w:p w14:paraId="4E3585C2" w14:textId="77777777" w:rsidR="0002766A" w:rsidRDefault="00A96132">
      <w:pPr>
        <w:spacing w:before="80" w:after="60"/>
        <w:jc w:val="center"/>
        <w:rPr>
          <w:rFonts w:hint="eastAsia"/>
        </w:rPr>
      </w:pPr>
      <w:r>
        <w:rPr>
          <w:noProof/>
        </w:rPr>
        <w:drawing>
          <wp:inline distT="0" distB="0" distL="0" distR="0" wp14:anchorId="47600699" wp14:editId="49EA0741">
            <wp:extent cx="6080760" cy="34991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_500_to_250.png"/>
                    <pic:cNvPicPr/>
                  </pic:nvPicPr>
                  <pic:blipFill>
                    <a:blip r:embed="rId31"/>
                    <a:stretch>
                      <a:fillRect/>
                    </a:stretch>
                  </pic:blipFill>
                  <pic:spPr>
                    <a:xfrm>
                      <a:off x="0" y="0"/>
                      <a:ext cx="6080760" cy="3499135"/>
                    </a:xfrm>
                    <a:prstGeom prst="rect">
                      <a:avLst/>
                    </a:prstGeom>
                  </pic:spPr>
                </pic:pic>
              </a:graphicData>
            </a:graphic>
          </wp:inline>
        </w:drawing>
      </w:r>
    </w:p>
    <w:p w14:paraId="76593C6A" w14:textId="77777777" w:rsidR="0002766A" w:rsidRDefault="00A96132">
      <w:pPr>
        <w:pStyle w:val="Caption"/>
        <w:spacing w:before="40" w:after="40"/>
        <w:jc w:val="center"/>
        <w:rPr>
          <w:rFonts w:hint="eastAsia"/>
        </w:rPr>
      </w:pPr>
      <w:r>
        <w:t>Figure 24. Five hundred fields can encode 250 Value/Unit pairs per record.</w:t>
      </w:r>
    </w:p>
    <w:p w14:paraId="586F9FA6" w14:textId="77777777" w:rsidR="0002766A" w:rsidRDefault="00A96132">
      <w:pPr>
        <w:pStyle w:val="Heading2"/>
      </w:pPr>
      <w:r>
        <w:t>15. Homogeneous Unit Families</w:t>
      </w:r>
    </w:p>
    <w:p w14:paraId="4D4C87C8" w14:textId="77777777" w:rsidR="0002766A" w:rsidRDefault="00A96132">
      <w:pPr>
        <w:rPr>
          <w:rFonts w:hint="eastAsia"/>
        </w:rPr>
      </w:pPr>
      <w:r>
        <w:t>A property-specific Family such as Tensile Strength can often declare one unit contract for the whole table. In that case, the unit need not be repeated in every value field. Each record-by-field intersection is still one addressable Constant, but all values inherit the Family’s governed unit unless an explicit exception or alternate-unit contract is declared.</w:t>
      </w:r>
    </w:p>
    <w:p w14:paraId="0C01F3C1" w14:textId="77777777" w:rsidR="0002766A" w:rsidRDefault="00A96132">
      <w:pPr>
        <w:spacing w:before="80" w:after="60"/>
        <w:jc w:val="center"/>
        <w:rPr>
          <w:rFonts w:hint="eastAsia"/>
        </w:rPr>
      </w:pPr>
      <w:r>
        <w:rPr>
          <w:noProof/>
        </w:rPr>
        <w:drawing>
          <wp:inline distT="0" distB="0" distL="0" distR="0" wp14:anchorId="32252321" wp14:editId="55C16CA6">
            <wp:extent cx="6080760" cy="34991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_homogeneous_matrix.png"/>
                    <pic:cNvPicPr/>
                  </pic:nvPicPr>
                  <pic:blipFill>
                    <a:blip r:embed="rId32"/>
                    <a:stretch>
                      <a:fillRect/>
                    </a:stretch>
                  </pic:blipFill>
                  <pic:spPr>
                    <a:xfrm>
                      <a:off x="0" y="0"/>
                      <a:ext cx="6080760" cy="3499135"/>
                    </a:xfrm>
                    <a:prstGeom prst="rect">
                      <a:avLst/>
                    </a:prstGeom>
                  </pic:spPr>
                </pic:pic>
              </a:graphicData>
            </a:graphic>
          </wp:inline>
        </w:drawing>
      </w:r>
    </w:p>
    <w:p w14:paraId="41F0DC66" w14:textId="77777777" w:rsidR="0002766A" w:rsidRDefault="00A96132">
      <w:pPr>
        <w:pStyle w:val="Caption"/>
        <w:keepNext/>
        <w:spacing w:before="40" w:after="40"/>
        <w:jc w:val="center"/>
        <w:rPr>
          <w:rFonts w:hint="eastAsia"/>
        </w:rPr>
      </w:pPr>
      <w:r>
        <w:t>Figure 25. A homogeneous Family matrix where each quantitative cell is a Constant.</w:t>
      </w:r>
    </w:p>
    <w:p w14:paraId="5044121D" w14:textId="77777777" w:rsidR="0002766A" w:rsidRDefault="00A96132">
      <w:pPr>
        <w:spacing w:after="160"/>
        <w:jc w:val="center"/>
        <w:rPr>
          <w:rFonts w:hint="eastAsia"/>
        </w:rPr>
      </w:pPr>
      <w:r>
        <w:rPr>
          <w:i/>
          <w:color w:val="65727D"/>
          <w:sz w:val="17"/>
        </w:rPr>
        <w:t>The exact record and field together identify the singular value; the Family supplies the property semantics and unit contract.</w:t>
      </w:r>
    </w:p>
    <w:p w14:paraId="5E77D34D" w14:textId="77777777" w:rsidR="0002766A" w:rsidRDefault="00A96132">
      <w:pPr>
        <w:spacing w:before="80" w:after="60"/>
        <w:jc w:val="center"/>
        <w:rPr>
          <w:rFonts w:hint="eastAsia"/>
        </w:rPr>
      </w:pPr>
      <w:r>
        <w:rPr>
          <w:noProof/>
        </w:rPr>
        <w:drawing>
          <wp:inline distT="0" distB="0" distL="0" distR="0" wp14:anchorId="7871F6F7" wp14:editId="471C59B1">
            <wp:extent cx="6080760" cy="34991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_unit_once.png"/>
                    <pic:cNvPicPr/>
                  </pic:nvPicPr>
                  <pic:blipFill>
                    <a:blip r:embed="rId33"/>
                    <a:stretch>
                      <a:fillRect/>
                    </a:stretch>
                  </pic:blipFill>
                  <pic:spPr>
                    <a:xfrm>
                      <a:off x="0" y="0"/>
                      <a:ext cx="6080760" cy="3499135"/>
                    </a:xfrm>
                    <a:prstGeom prst="rect">
                      <a:avLst/>
                    </a:prstGeom>
                  </pic:spPr>
                </pic:pic>
              </a:graphicData>
            </a:graphic>
          </wp:inline>
        </w:drawing>
      </w:r>
    </w:p>
    <w:p w14:paraId="35F218F9" w14:textId="77777777" w:rsidR="0002766A" w:rsidRDefault="00A96132">
      <w:pPr>
        <w:pStyle w:val="Caption"/>
        <w:spacing w:before="40" w:after="40"/>
        <w:jc w:val="center"/>
        <w:rPr>
          <w:rFonts w:hint="eastAsia"/>
        </w:rPr>
      </w:pPr>
      <w:r>
        <w:t>Figure 26. Declare a common unit once and reuse it across the Family.</w:t>
      </w:r>
    </w:p>
    <w:p w14:paraId="23B4E6CB" w14:textId="77777777" w:rsidR="0002766A" w:rsidRDefault="00A96132">
      <w:pPr>
        <w:spacing w:before="80" w:after="60"/>
        <w:jc w:val="center"/>
        <w:rPr>
          <w:rFonts w:hint="eastAsia"/>
        </w:rPr>
      </w:pPr>
      <w:r>
        <w:rPr>
          <w:noProof/>
        </w:rPr>
        <w:drawing>
          <wp:inline distT="0" distB="0" distL="0" distR="0" wp14:anchorId="25A9ADCC" wp14:editId="797D446C">
            <wp:extent cx="6080760" cy="34991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_500x100.png"/>
                    <pic:cNvPicPr/>
                  </pic:nvPicPr>
                  <pic:blipFill>
                    <a:blip r:embed="rId34"/>
                    <a:stretch>
                      <a:fillRect/>
                    </a:stretch>
                  </pic:blipFill>
                  <pic:spPr>
                    <a:xfrm>
                      <a:off x="0" y="0"/>
                      <a:ext cx="6080760" cy="3499135"/>
                    </a:xfrm>
                    <a:prstGeom prst="rect">
                      <a:avLst/>
                    </a:prstGeom>
                  </pic:spPr>
                </pic:pic>
              </a:graphicData>
            </a:graphic>
          </wp:inline>
        </w:drawing>
      </w:r>
    </w:p>
    <w:p w14:paraId="6E06C785" w14:textId="77777777" w:rsidR="0002766A" w:rsidRDefault="00A96132">
      <w:pPr>
        <w:pStyle w:val="Caption"/>
        <w:spacing w:before="40" w:after="40"/>
        <w:jc w:val="center"/>
        <w:rPr>
          <w:rFonts w:hint="eastAsia"/>
        </w:rPr>
      </w:pPr>
      <w:r>
        <w:t>Figure 27. A 500-field by 100-record matrix exposes 50,000 quantitative cells.</w:t>
      </w:r>
    </w:p>
    <w:tbl>
      <w:tblPr>
        <w:tblW w:w="0" w:type="auto"/>
        <w:jc w:val="center"/>
        <w:tblLayout w:type="fixed"/>
        <w:tblLook w:val="04A0" w:firstRow="1" w:lastRow="0" w:firstColumn="1" w:lastColumn="0" w:noHBand="0" w:noVBand="1"/>
      </w:tblPr>
      <w:tblGrid>
        <w:gridCol w:w="10166"/>
      </w:tblGrid>
      <w:tr w:rsidR="0002766A" w14:paraId="2B42FCC2" w14:textId="77777777">
        <w:trPr>
          <w:jc w:val="center"/>
        </w:trPr>
        <w:tc>
          <w:tcPr>
            <w:tcW w:w="10166" w:type="dxa"/>
            <w:shd w:val="clear" w:color="auto" w:fill="F7EFE1"/>
            <w:tcMar>
              <w:top w:w="140" w:type="dxa"/>
              <w:left w:w="180" w:type="dxa"/>
              <w:bottom w:w="140" w:type="dxa"/>
              <w:right w:w="180" w:type="dxa"/>
            </w:tcMar>
          </w:tcPr>
          <w:p w14:paraId="152127FD" w14:textId="77777777" w:rsidR="0002766A" w:rsidRDefault="00A96132">
            <w:pPr>
              <w:spacing w:after="40"/>
              <w:rPr>
                <w:rFonts w:hint="eastAsia"/>
              </w:rPr>
            </w:pPr>
            <w:r>
              <w:rPr>
                <w:b/>
                <w:color w:val="C58B32"/>
                <w:sz w:val="18"/>
              </w:rPr>
              <w:t>DENSITY PRINCIPLE</w:t>
            </w:r>
          </w:p>
          <w:p w14:paraId="3407D354" w14:textId="77777777" w:rsidR="0002766A" w:rsidRDefault="00A96132">
            <w:pPr>
              <w:spacing w:after="0" w:line="252" w:lineRule="auto"/>
              <w:rPr>
                <w:rFonts w:hint="eastAsia"/>
              </w:rPr>
            </w:pPr>
            <w:r>
              <w:t>If units vary by constant, pair Value + Unit. If the unit is invariant across a Family or property field, govern it once and spend the remaining fields on quantitative values.</w:t>
            </w:r>
          </w:p>
        </w:tc>
      </w:tr>
    </w:tbl>
    <w:p w14:paraId="43E75DA4" w14:textId="77777777" w:rsidR="0002766A" w:rsidRDefault="0002766A">
      <w:pPr>
        <w:spacing w:after="40"/>
        <w:rPr>
          <w:rFonts w:hint="eastAsia"/>
        </w:rPr>
      </w:pPr>
    </w:p>
    <w:p w14:paraId="1E003B24" w14:textId="77777777" w:rsidR="0002766A" w:rsidRDefault="00A96132">
      <w:pPr>
        <w:pStyle w:val="Heading1"/>
      </w:pPr>
      <w:r>
        <w:t>Part VI — Dynamic Utilization Across Lenses</w:t>
      </w:r>
    </w:p>
    <w:p w14:paraId="09E99066" w14:textId="77777777" w:rsidR="0002766A" w:rsidRDefault="00A96132">
      <w:pPr>
        <w:pStyle w:val="Heading2"/>
      </w:pPr>
      <w:r>
        <w:t>16. RESIDUAL Feeds Lenses</w:t>
      </w:r>
    </w:p>
    <w:p w14:paraId="605554FF" w14:textId="77777777" w:rsidR="0002766A" w:rsidRDefault="00A96132">
      <w:pPr>
        <w:rPr>
          <w:rFonts w:hint="eastAsia"/>
        </w:rPr>
      </w:pPr>
      <w:r>
        <w:t>The final four words of the acronym are operational: Dynamic Utilization Across Lenses. RESIDUAL values are not intended to remain passive reference trivia. Models and Lenses can select, compare, normalize, aggregate, filter, calculate, rank, or simulate with them while preserving which source records informed the result.</w:t>
      </w:r>
    </w:p>
    <w:p w14:paraId="44AAA077" w14:textId="77777777" w:rsidR="0002766A" w:rsidRDefault="00A96132">
      <w:pPr>
        <w:spacing w:before="80" w:after="60"/>
        <w:jc w:val="center"/>
        <w:rPr>
          <w:rFonts w:hint="eastAsia"/>
        </w:rPr>
      </w:pPr>
      <w:r>
        <w:rPr>
          <w:noProof/>
        </w:rPr>
        <w:drawing>
          <wp:inline distT="0" distB="0" distL="0" distR="0" wp14:anchorId="55B6D0DA" wp14:editId="61773181">
            <wp:extent cx="6080760" cy="34991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_many_lenses.png"/>
                    <pic:cNvPicPr/>
                  </pic:nvPicPr>
                  <pic:blipFill>
                    <a:blip r:embed="rId35"/>
                    <a:stretch>
                      <a:fillRect/>
                    </a:stretch>
                  </pic:blipFill>
                  <pic:spPr>
                    <a:xfrm>
                      <a:off x="0" y="0"/>
                      <a:ext cx="6080760" cy="3499135"/>
                    </a:xfrm>
                    <a:prstGeom prst="rect">
                      <a:avLst/>
                    </a:prstGeom>
                  </pic:spPr>
                </pic:pic>
              </a:graphicData>
            </a:graphic>
          </wp:inline>
        </w:drawing>
      </w:r>
    </w:p>
    <w:p w14:paraId="60DAC94C" w14:textId="77777777" w:rsidR="0002766A" w:rsidRDefault="00A96132">
      <w:pPr>
        <w:pStyle w:val="Caption"/>
        <w:spacing w:before="40" w:after="40"/>
        <w:jc w:val="center"/>
        <w:rPr>
          <w:rFonts w:hint="eastAsia"/>
        </w:rPr>
      </w:pPr>
      <w:r>
        <w:t>Figure 28. One RESIDUAL quantitative substrate can feed many Lenses.</w:t>
      </w:r>
    </w:p>
    <w:p w14:paraId="4469612B" w14:textId="77777777" w:rsidR="0002766A" w:rsidRDefault="00A96132">
      <w:pPr>
        <w:spacing w:before="80" w:after="60"/>
        <w:jc w:val="center"/>
        <w:rPr>
          <w:rFonts w:hint="eastAsia"/>
        </w:rPr>
      </w:pPr>
      <w:r>
        <w:rPr>
          <w:noProof/>
        </w:rPr>
        <w:drawing>
          <wp:inline distT="0" distB="0" distL="0" distR="0" wp14:anchorId="34B31ACC" wp14:editId="5617E464">
            <wp:extent cx="6080760" cy="34991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_lens_selection.png"/>
                    <pic:cNvPicPr/>
                  </pic:nvPicPr>
                  <pic:blipFill>
                    <a:blip r:embed="rId36"/>
                    <a:stretch>
                      <a:fillRect/>
                    </a:stretch>
                  </pic:blipFill>
                  <pic:spPr>
                    <a:xfrm>
                      <a:off x="0" y="0"/>
                      <a:ext cx="6080760" cy="3499135"/>
                    </a:xfrm>
                    <a:prstGeom prst="rect">
                      <a:avLst/>
                    </a:prstGeom>
                  </pic:spPr>
                </pic:pic>
              </a:graphicData>
            </a:graphic>
          </wp:inline>
        </w:drawing>
      </w:r>
    </w:p>
    <w:p w14:paraId="19C1926E" w14:textId="77777777" w:rsidR="0002766A" w:rsidRDefault="00A96132">
      <w:pPr>
        <w:pStyle w:val="Caption"/>
        <w:spacing w:before="40" w:after="40"/>
        <w:jc w:val="center"/>
        <w:rPr>
          <w:rFonts w:hint="eastAsia"/>
        </w:rPr>
      </w:pPr>
      <w:r>
        <w:t>Figure 29. Different Lenses select different evidence from the same substrate.</w:t>
      </w:r>
    </w:p>
    <w:p w14:paraId="321B3757" w14:textId="77777777" w:rsidR="0002766A" w:rsidRDefault="00A96132">
      <w:pPr>
        <w:pStyle w:val="Heading2"/>
      </w:pPr>
      <w:r>
        <w:t>17. Evidence Is Not the Implication</w:t>
      </w:r>
    </w:p>
    <w:p w14:paraId="5926D2FB" w14:textId="77777777" w:rsidR="0002766A" w:rsidRDefault="00A96132">
      <w:pPr>
        <w:rPr>
          <w:rFonts w:hint="eastAsia"/>
        </w:rPr>
      </w:pPr>
      <w:r>
        <w:t>A Lens may legitimately derive different conclusions from the same evidence because its purpose is different. Aerospace design may emphasize density and thermal performance; a medical implant Lens may emphasize elasticity, fatigue, and corrosion; manufacturing may prioritize machinability, thermal behavior, or cost. Those interpretations belong to the Lens. The recorded measurement remains a RESIDUAL object.</w:t>
      </w:r>
    </w:p>
    <w:p w14:paraId="4178C0DF" w14:textId="77777777" w:rsidR="0002766A" w:rsidRDefault="00A96132">
      <w:pPr>
        <w:spacing w:before="80" w:after="60"/>
        <w:jc w:val="center"/>
        <w:rPr>
          <w:rFonts w:hint="eastAsia"/>
        </w:rPr>
      </w:pPr>
      <w:r>
        <w:rPr>
          <w:noProof/>
        </w:rPr>
        <w:drawing>
          <wp:inline distT="0" distB="0" distL="0" distR="0" wp14:anchorId="6DA1B9D3" wp14:editId="7062CA43">
            <wp:extent cx="6080760" cy="34991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0_evidence_interpretation.png"/>
                    <pic:cNvPicPr/>
                  </pic:nvPicPr>
                  <pic:blipFill>
                    <a:blip r:embed="rId37"/>
                    <a:stretch>
                      <a:fillRect/>
                    </a:stretch>
                  </pic:blipFill>
                  <pic:spPr>
                    <a:xfrm>
                      <a:off x="0" y="0"/>
                      <a:ext cx="6080760" cy="3499135"/>
                    </a:xfrm>
                    <a:prstGeom prst="rect">
                      <a:avLst/>
                    </a:prstGeom>
                  </pic:spPr>
                </pic:pic>
              </a:graphicData>
            </a:graphic>
          </wp:inline>
        </w:drawing>
      </w:r>
    </w:p>
    <w:p w14:paraId="508C151C" w14:textId="77777777" w:rsidR="0002766A" w:rsidRDefault="00A96132">
      <w:pPr>
        <w:pStyle w:val="Caption"/>
        <w:spacing w:before="40" w:after="40"/>
        <w:jc w:val="center"/>
        <w:rPr>
          <w:rFonts w:hint="eastAsia"/>
        </w:rPr>
      </w:pPr>
      <w:r>
        <w:t>Figure 30. RESIDUAL evidence and Lens interpretation remain separate.</w:t>
      </w:r>
    </w:p>
    <w:p w14:paraId="2912B4CE" w14:textId="77777777" w:rsidR="0002766A" w:rsidRDefault="00A96132">
      <w:pPr>
        <w:pStyle w:val="Heading1"/>
      </w:pPr>
      <w:r>
        <w:t>Part VII — Scientific Correction, Versioning, and System Interoperability</w:t>
      </w:r>
    </w:p>
    <w:p w14:paraId="4DAF1050" w14:textId="77777777" w:rsidR="0002766A" w:rsidRDefault="00A96132">
      <w:pPr>
        <w:pStyle w:val="Heading2"/>
      </w:pPr>
      <w:r>
        <w:t>18. Better Evidence and Scientific Correction</w:t>
      </w:r>
    </w:p>
    <w:p w14:paraId="50119FDC" w14:textId="77777777" w:rsidR="0002766A" w:rsidRDefault="00A96132">
      <w:pPr>
        <w:rPr>
          <w:rFonts w:hint="eastAsia"/>
        </w:rPr>
      </w:pPr>
      <w:r>
        <w:t>When a better experiment, improved calibration, new standard, more applicable sample, or stronger dataset changes what CERBERUS should rely on, the correction happens in the recorded evidence. The former value can be superseded rather than erased. Lenses then re-resolve against the new preferred evidence. The database has changed because human knowledge changed; the change does not imply that the external property was rewritten by the database update.</w:t>
      </w:r>
    </w:p>
    <w:p w14:paraId="4F2E89BF" w14:textId="77777777" w:rsidR="0002766A" w:rsidRDefault="00A96132">
      <w:pPr>
        <w:spacing w:before="80" w:after="60"/>
        <w:jc w:val="center"/>
        <w:rPr>
          <w:rFonts w:hint="eastAsia"/>
        </w:rPr>
      </w:pPr>
      <w:r>
        <w:rPr>
          <w:noProof/>
        </w:rPr>
        <w:drawing>
          <wp:inline distT="0" distB="0" distL="0" distR="0" wp14:anchorId="18F65ADD" wp14:editId="3E0880C4">
            <wp:extent cx="6080760" cy="34991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1_better_evidence.png"/>
                    <pic:cNvPicPr/>
                  </pic:nvPicPr>
                  <pic:blipFill>
                    <a:blip r:embed="rId38"/>
                    <a:stretch>
                      <a:fillRect/>
                    </a:stretch>
                  </pic:blipFill>
                  <pic:spPr>
                    <a:xfrm>
                      <a:off x="0" y="0"/>
                      <a:ext cx="6080760" cy="3499135"/>
                    </a:xfrm>
                    <a:prstGeom prst="rect">
                      <a:avLst/>
                    </a:prstGeom>
                  </pic:spPr>
                </pic:pic>
              </a:graphicData>
            </a:graphic>
          </wp:inline>
        </w:drawing>
      </w:r>
    </w:p>
    <w:p w14:paraId="47674186" w14:textId="77777777" w:rsidR="0002766A" w:rsidRDefault="00A96132">
      <w:pPr>
        <w:pStyle w:val="Caption"/>
        <w:spacing w:before="40" w:after="40"/>
        <w:jc w:val="center"/>
        <w:rPr>
          <w:rFonts w:hint="eastAsia"/>
        </w:rPr>
      </w:pPr>
      <w:r>
        <w:t>Figure 31. Better evidence updates the RESIDUAL record, not external reality.</w:t>
      </w:r>
    </w:p>
    <w:p w14:paraId="5F49830D" w14:textId="77777777" w:rsidR="0002766A" w:rsidRDefault="00A96132">
      <w:pPr>
        <w:pStyle w:val="Heading2"/>
      </w:pPr>
      <w:r>
        <w:t>19. DARTS and DARTBOARD</w:t>
      </w:r>
    </w:p>
    <w:p w14:paraId="22356D9B" w14:textId="77777777" w:rsidR="0002766A" w:rsidRDefault="00A96132">
      <w:pPr>
        <w:rPr>
          <w:rFonts w:hint="eastAsia"/>
        </w:rPr>
      </w:pPr>
      <w:r>
        <w:t>RESIDUAL becomes useful through the larger CERBERUS architecture. Semiotic resolution can identify what a quantitative property means. Routing can locate the correct Family table, record, and field. Temporal structures can distinguish historical measurements, effective dates, or time-dependent applicability. ARMORY can relate quantitative knowledge to a person’s own work and experience. Display and DARTBOARD can then render the relevant comparison, inspector, simulation input, or learning surface. No projec</w:t>
      </w:r>
      <w:r>
        <w:t>tion needs to absorb the authority of the others.</w:t>
      </w:r>
    </w:p>
    <w:p w14:paraId="76BA8BA7" w14:textId="77777777" w:rsidR="0002766A" w:rsidRDefault="00A96132">
      <w:pPr>
        <w:pStyle w:val="Heading2"/>
      </w:pPr>
      <w:r>
        <w:t>20. BOOTSTRAP and Quantitative Learning</w:t>
      </w:r>
    </w:p>
    <w:p w14:paraId="6D8C7648" w14:textId="77777777" w:rsidR="0002766A" w:rsidRDefault="00A96132">
      <w:pPr>
        <w:rPr>
          <w:rFonts w:hint="eastAsia"/>
        </w:rPr>
      </w:pPr>
      <w:r>
        <w:t>BOOTSTRAP can teach both the meaning of a property and the evidence recorded about it. A Material Science learning package can introduce Tensile Strength through Semiotics, explain how the property is measured, then route the learner and its companion AI into the exact RESIDUAL Family tables and provenance records. This gives the assistant access to the same governed quantitative substrate being taught to the human rather than forcing either consumer to rely on detached prose alone.</w:t>
      </w:r>
    </w:p>
    <w:p w14:paraId="40A2A8A9" w14:textId="77777777" w:rsidR="0002766A" w:rsidRDefault="00A96132">
      <w:pPr>
        <w:spacing w:before="80" w:after="60"/>
        <w:jc w:val="center"/>
        <w:rPr>
          <w:rFonts w:hint="eastAsia"/>
        </w:rPr>
      </w:pPr>
      <w:r>
        <w:rPr>
          <w:noProof/>
        </w:rPr>
        <w:drawing>
          <wp:inline distT="0" distB="0" distL="0" distR="0" wp14:anchorId="6740A6AF" wp14:editId="36476C5B">
            <wp:extent cx="6080760" cy="34991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2_global_architecture.png"/>
                    <pic:cNvPicPr/>
                  </pic:nvPicPr>
                  <pic:blipFill>
                    <a:blip r:embed="rId39"/>
                    <a:stretch>
                      <a:fillRect/>
                    </a:stretch>
                  </pic:blipFill>
                  <pic:spPr>
                    <a:xfrm>
                      <a:off x="0" y="0"/>
                      <a:ext cx="6080760" cy="3499135"/>
                    </a:xfrm>
                    <a:prstGeom prst="rect">
                      <a:avLst/>
                    </a:prstGeom>
                  </pic:spPr>
                </pic:pic>
              </a:graphicData>
            </a:graphic>
          </wp:inline>
        </w:drawing>
      </w:r>
    </w:p>
    <w:p w14:paraId="3B2D22A7" w14:textId="77777777" w:rsidR="0002766A" w:rsidRDefault="00A96132">
      <w:pPr>
        <w:pStyle w:val="Caption"/>
        <w:keepNext/>
        <w:spacing w:before="40" w:after="40"/>
        <w:jc w:val="center"/>
        <w:rPr>
          <w:rFonts w:hint="eastAsia"/>
        </w:rPr>
      </w:pPr>
      <w:r>
        <w:t>Figure 32. The global RESIDUAL architecture.</w:t>
      </w:r>
    </w:p>
    <w:p w14:paraId="4D97308B" w14:textId="77777777" w:rsidR="0002766A" w:rsidRDefault="00A96132">
      <w:pPr>
        <w:spacing w:after="160"/>
        <w:jc w:val="center"/>
        <w:rPr>
          <w:rFonts w:hint="eastAsia"/>
        </w:rPr>
      </w:pPr>
      <w:r>
        <w:rPr>
          <w:i/>
          <w:color w:val="65727D"/>
          <w:sz w:val="17"/>
        </w:rPr>
        <w:t>Reality remains external; Semiotics runs laterally as the meaning system; RESIDUAL preserves quantitative evidence; Lenses and DARTBOARD turn that evidence into task-specific use.</w:t>
      </w:r>
    </w:p>
    <w:p w14:paraId="3C2E1019" w14:textId="77777777" w:rsidR="0002766A" w:rsidRDefault="00A96132">
      <w:pPr>
        <w:pStyle w:val="Heading1"/>
      </w:pPr>
      <w:r>
        <w:t>Part VIII — Airtable Implementation Blueprint and Conformance</w:t>
      </w:r>
    </w:p>
    <w:p w14:paraId="4E2C737C" w14:textId="77777777" w:rsidR="0002766A" w:rsidRDefault="00A96132">
      <w:pPr>
        <w:pStyle w:val="Heading2"/>
      </w:pPr>
      <w:r>
        <w:t>21. Minimum Registry Structure</w:t>
      </w:r>
    </w:p>
    <w:p w14:paraId="1A57452D" w14:textId="77777777" w:rsidR="0002766A" w:rsidRDefault="00A96132">
      <w:pPr>
        <w:rPr>
          <w:rFonts w:hint="eastAsia"/>
        </w:rPr>
      </w:pPr>
      <w:r>
        <w:t>The first implementation can remain intentionally small. The central requirement is not a giant scientific ontology; it is a stable path from World to Community to Family table and then to addressable quantitative cells. Existing CERBERUS registries can provide stable identities, descriptions, table links, semantic bindings, provenance links, and status. The dense Family tables carry the numerical payload.</w:t>
      </w:r>
    </w:p>
    <w:tbl>
      <w:tblPr>
        <w:tblW w:w="0" w:type="auto"/>
        <w:jc w:val="center"/>
        <w:tblLayout w:type="fixed"/>
        <w:tblLook w:val="04A0" w:firstRow="1" w:lastRow="0" w:firstColumn="1" w:lastColumn="0" w:noHBand="0" w:noVBand="1"/>
      </w:tblPr>
      <w:tblGrid>
        <w:gridCol w:w="2880"/>
        <w:gridCol w:w="6624"/>
      </w:tblGrid>
      <w:tr w:rsidR="0002766A" w14:paraId="2AE38A66" w14:textId="77777777">
        <w:trPr>
          <w:tblHeader/>
          <w:jc w:val="center"/>
        </w:trPr>
        <w:tc>
          <w:tcPr>
            <w:tcW w:w="2880" w:type="dxa"/>
            <w:shd w:val="clear" w:color="auto" w:fill="102C43"/>
            <w:tcMar>
              <w:top w:w="110" w:type="dxa"/>
              <w:left w:w="110" w:type="dxa"/>
              <w:bottom w:w="110" w:type="dxa"/>
              <w:right w:w="110" w:type="dxa"/>
            </w:tcMar>
            <w:vAlign w:val="center"/>
          </w:tcPr>
          <w:p w14:paraId="21057CC2" w14:textId="77777777" w:rsidR="0002766A" w:rsidRDefault="00A96132">
            <w:pPr>
              <w:jc w:val="center"/>
              <w:rPr>
                <w:rFonts w:hint="eastAsia"/>
              </w:rPr>
            </w:pPr>
            <w:r>
              <w:rPr>
                <w:b/>
                <w:color w:val="FFFFFF"/>
                <w:sz w:val="17"/>
              </w:rPr>
              <w:t>Structure</w:t>
            </w:r>
          </w:p>
        </w:tc>
        <w:tc>
          <w:tcPr>
            <w:tcW w:w="6624" w:type="dxa"/>
            <w:shd w:val="clear" w:color="auto" w:fill="102C43"/>
            <w:tcMar>
              <w:top w:w="110" w:type="dxa"/>
              <w:left w:w="110" w:type="dxa"/>
              <w:bottom w:w="110" w:type="dxa"/>
              <w:right w:w="110" w:type="dxa"/>
            </w:tcMar>
            <w:vAlign w:val="center"/>
          </w:tcPr>
          <w:p w14:paraId="6A8FD4CC" w14:textId="77777777" w:rsidR="0002766A" w:rsidRDefault="00A96132">
            <w:pPr>
              <w:jc w:val="center"/>
              <w:rPr>
                <w:rFonts w:hint="eastAsia"/>
              </w:rPr>
            </w:pPr>
            <w:r>
              <w:rPr>
                <w:b/>
                <w:color w:val="FFFFFF"/>
                <w:sz w:val="17"/>
              </w:rPr>
              <w:t>Purpose</w:t>
            </w:r>
          </w:p>
        </w:tc>
      </w:tr>
      <w:tr w:rsidR="0002766A" w14:paraId="1197DAED" w14:textId="77777777">
        <w:trPr>
          <w:jc w:val="center"/>
        </w:trPr>
        <w:tc>
          <w:tcPr>
            <w:tcW w:w="2880" w:type="dxa"/>
            <w:shd w:val="clear" w:color="auto" w:fill="F7F9FA"/>
            <w:tcMar>
              <w:top w:w="100" w:type="dxa"/>
              <w:left w:w="110" w:type="dxa"/>
              <w:bottom w:w="100" w:type="dxa"/>
              <w:right w:w="110" w:type="dxa"/>
            </w:tcMar>
            <w:vAlign w:val="center"/>
          </w:tcPr>
          <w:p w14:paraId="7641414B" w14:textId="77777777" w:rsidR="0002766A" w:rsidRDefault="00A96132">
            <w:pPr>
              <w:jc w:val="center"/>
              <w:rPr>
                <w:rFonts w:hint="eastAsia"/>
              </w:rPr>
            </w:pPr>
            <w:r>
              <w:rPr>
                <w:sz w:val="17"/>
              </w:rPr>
              <w:t>RESIDUAL Worlds</w:t>
            </w:r>
          </w:p>
        </w:tc>
        <w:tc>
          <w:tcPr>
            <w:tcW w:w="6624" w:type="dxa"/>
            <w:shd w:val="clear" w:color="auto" w:fill="F7F9FA"/>
            <w:tcMar>
              <w:top w:w="100" w:type="dxa"/>
              <w:left w:w="110" w:type="dxa"/>
              <w:bottom w:w="100" w:type="dxa"/>
              <w:right w:w="110" w:type="dxa"/>
            </w:tcMar>
            <w:vAlign w:val="center"/>
          </w:tcPr>
          <w:p w14:paraId="4072DD12" w14:textId="77777777" w:rsidR="0002766A" w:rsidRDefault="00A96132">
            <w:pPr>
              <w:rPr>
                <w:rFonts w:hint="eastAsia"/>
              </w:rPr>
            </w:pPr>
            <w:r>
              <w:rPr>
                <w:sz w:val="17"/>
              </w:rPr>
              <w:t>Stable quantitative World identity, description, Communities, status, version.</w:t>
            </w:r>
          </w:p>
        </w:tc>
      </w:tr>
      <w:tr w:rsidR="0002766A" w14:paraId="2BDA5D80" w14:textId="77777777">
        <w:trPr>
          <w:jc w:val="center"/>
        </w:trPr>
        <w:tc>
          <w:tcPr>
            <w:tcW w:w="2880" w:type="dxa"/>
            <w:shd w:val="clear" w:color="auto" w:fill="F7F9FA"/>
            <w:tcMar>
              <w:top w:w="100" w:type="dxa"/>
              <w:left w:w="110" w:type="dxa"/>
              <w:bottom w:w="100" w:type="dxa"/>
              <w:right w:w="110" w:type="dxa"/>
            </w:tcMar>
            <w:vAlign w:val="center"/>
          </w:tcPr>
          <w:p w14:paraId="09B67258" w14:textId="77777777" w:rsidR="0002766A" w:rsidRDefault="00A96132">
            <w:pPr>
              <w:rPr>
                <w:rFonts w:hint="eastAsia"/>
              </w:rPr>
            </w:pPr>
            <w:r>
              <w:rPr>
                <w:sz w:val="17"/>
              </w:rPr>
              <w:t>RESIDUAL Communities</w:t>
            </w:r>
          </w:p>
        </w:tc>
        <w:tc>
          <w:tcPr>
            <w:tcW w:w="6624" w:type="dxa"/>
            <w:shd w:val="clear" w:color="auto" w:fill="F7F9FA"/>
            <w:tcMar>
              <w:top w:w="100" w:type="dxa"/>
              <w:left w:w="110" w:type="dxa"/>
              <w:bottom w:w="100" w:type="dxa"/>
              <w:right w:w="110" w:type="dxa"/>
            </w:tcMar>
            <w:vAlign w:val="center"/>
          </w:tcPr>
          <w:p w14:paraId="374D4EF2" w14:textId="77777777" w:rsidR="0002766A" w:rsidRDefault="00A96132">
            <w:pPr>
              <w:rPr>
                <w:rFonts w:hint="eastAsia"/>
              </w:rPr>
            </w:pPr>
            <w:r>
              <w:rPr>
                <w:sz w:val="17"/>
              </w:rPr>
              <w:t>Community identity, World membership, Families, semantic links, documentation.</w:t>
            </w:r>
          </w:p>
        </w:tc>
      </w:tr>
      <w:tr w:rsidR="0002766A" w14:paraId="7C6A3A25" w14:textId="77777777">
        <w:trPr>
          <w:jc w:val="center"/>
        </w:trPr>
        <w:tc>
          <w:tcPr>
            <w:tcW w:w="2880" w:type="dxa"/>
            <w:shd w:val="clear" w:color="auto" w:fill="F7F9FA"/>
            <w:tcMar>
              <w:top w:w="100" w:type="dxa"/>
              <w:left w:w="110" w:type="dxa"/>
              <w:bottom w:w="100" w:type="dxa"/>
              <w:right w:w="110" w:type="dxa"/>
            </w:tcMar>
            <w:vAlign w:val="center"/>
          </w:tcPr>
          <w:p w14:paraId="7341CB31" w14:textId="77777777" w:rsidR="0002766A" w:rsidRDefault="00A96132">
            <w:pPr>
              <w:jc w:val="center"/>
              <w:rPr>
                <w:rFonts w:hint="eastAsia"/>
              </w:rPr>
            </w:pPr>
            <w:r>
              <w:rPr>
                <w:sz w:val="17"/>
              </w:rPr>
              <w:t>RESIDUAL Families</w:t>
            </w:r>
          </w:p>
        </w:tc>
        <w:tc>
          <w:tcPr>
            <w:tcW w:w="6624" w:type="dxa"/>
            <w:shd w:val="clear" w:color="auto" w:fill="F7F9FA"/>
            <w:tcMar>
              <w:top w:w="100" w:type="dxa"/>
              <w:left w:w="110" w:type="dxa"/>
              <w:bottom w:w="100" w:type="dxa"/>
              <w:right w:w="110" w:type="dxa"/>
            </w:tcMar>
            <w:vAlign w:val="center"/>
          </w:tcPr>
          <w:p w14:paraId="3E1D12E2" w14:textId="77777777" w:rsidR="0002766A" w:rsidRDefault="00A96132">
            <w:pPr>
              <w:rPr>
                <w:rFonts w:hint="eastAsia"/>
              </w:rPr>
            </w:pPr>
            <w:r>
              <w:rPr>
                <w:sz w:val="17"/>
              </w:rPr>
              <w:t>Family identity, Community, Airtable table link, unit mode, unit contract, field/record interpretation, status.</w:t>
            </w:r>
          </w:p>
        </w:tc>
      </w:tr>
      <w:tr w:rsidR="0002766A" w14:paraId="16673839" w14:textId="77777777">
        <w:trPr>
          <w:jc w:val="center"/>
        </w:trPr>
        <w:tc>
          <w:tcPr>
            <w:tcW w:w="2880" w:type="dxa"/>
            <w:shd w:val="clear" w:color="auto" w:fill="F7F9FA"/>
            <w:tcMar>
              <w:top w:w="100" w:type="dxa"/>
              <w:left w:w="110" w:type="dxa"/>
              <w:bottom w:w="100" w:type="dxa"/>
              <w:right w:w="110" w:type="dxa"/>
            </w:tcMar>
            <w:vAlign w:val="center"/>
          </w:tcPr>
          <w:p w14:paraId="124599AD" w14:textId="77777777" w:rsidR="0002766A" w:rsidRDefault="00A96132">
            <w:pPr>
              <w:jc w:val="center"/>
              <w:rPr>
                <w:rFonts w:hint="eastAsia"/>
              </w:rPr>
            </w:pPr>
            <w:r>
              <w:rPr>
                <w:sz w:val="17"/>
              </w:rPr>
              <w:t>Family Data Tables</w:t>
            </w:r>
          </w:p>
        </w:tc>
        <w:tc>
          <w:tcPr>
            <w:tcW w:w="6624" w:type="dxa"/>
            <w:shd w:val="clear" w:color="auto" w:fill="F7F9FA"/>
            <w:tcMar>
              <w:top w:w="100" w:type="dxa"/>
              <w:left w:w="110" w:type="dxa"/>
              <w:bottom w:w="100" w:type="dxa"/>
              <w:right w:w="110" w:type="dxa"/>
            </w:tcMar>
            <w:vAlign w:val="center"/>
          </w:tcPr>
          <w:p w14:paraId="13253B78" w14:textId="77777777" w:rsidR="0002766A" w:rsidRDefault="00A96132">
            <w:pPr>
              <w:rPr>
                <w:rFonts w:hint="eastAsia"/>
              </w:rPr>
            </w:pPr>
            <w:r>
              <w:rPr>
                <w:sz w:val="17"/>
              </w:rPr>
              <w:t>The dense quantitative matrices. A Family is physically realized as its governed table.</w:t>
            </w:r>
          </w:p>
        </w:tc>
      </w:tr>
      <w:tr w:rsidR="0002766A" w14:paraId="758E38B7" w14:textId="77777777">
        <w:trPr>
          <w:jc w:val="center"/>
        </w:trPr>
        <w:tc>
          <w:tcPr>
            <w:tcW w:w="2880" w:type="dxa"/>
            <w:shd w:val="clear" w:color="auto" w:fill="F7F9FA"/>
            <w:tcMar>
              <w:top w:w="100" w:type="dxa"/>
              <w:left w:w="110" w:type="dxa"/>
              <w:bottom w:w="100" w:type="dxa"/>
              <w:right w:w="110" w:type="dxa"/>
            </w:tcMar>
            <w:vAlign w:val="center"/>
          </w:tcPr>
          <w:p w14:paraId="10E49D14" w14:textId="77777777" w:rsidR="0002766A" w:rsidRDefault="00A96132">
            <w:pPr>
              <w:rPr>
                <w:rFonts w:hint="eastAsia"/>
              </w:rPr>
            </w:pPr>
            <w:r>
              <w:rPr>
                <w:sz w:val="17"/>
              </w:rPr>
              <w:t>Source / Provenance records</w:t>
            </w:r>
          </w:p>
        </w:tc>
        <w:tc>
          <w:tcPr>
            <w:tcW w:w="6624" w:type="dxa"/>
            <w:shd w:val="clear" w:color="auto" w:fill="F7F9FA"/>
            <w:tcMar>
              <w:top w:w="100" w:type="dxa"/>
              <w:left w:w="110" w:type="dxa"/>
              <w:bottom w:w="100" w:type="dxa"/>
              <w:right w:w="110" w:type="dxa"/>
            </w:tcMar>
            <w:vAlign w:val="center"/>
          </w:tcPr>
          <w:p w14:paraId="2D6ACED9" w14:textId="77777777" w:rsidR="0002766A" w:rsidRDefault="00A96132">
            <w:pPr>
              <w:rPr>
                <w:rFonts w:hint="eastAsia"/>
              </w:rPr>
            </w:pPr>
            <w:r>
              <w:rPr>
                <w:sz w:val="17"/>
              </w:rPr>
              <w:t>Publications, datasets, standards, experiments, methods, organizations, dates, and other evidence context.</w:t>
            </w:r>
          </w:p>
        </w:tc>
      </w:tr>
      <w:tr w:rsidR="0002766A" w14:paraId="66F78DFB" w14:textId="77777777">
        <w:trPr>
          <w:jc w:val="center"/>
        </w:trPr>
        <w:tc>
          <w:tcPr>
            <w:tcW w:w="2880" w:type="dxa"/>
            <w:shd w:val="clear" w:color="auto" w:fill="F7F9FA"/>
            <w:tcMar>
              <w:top w:w="100" w:type="dxa"/>
              <w:left w:w="110" w:type="dxa"/>
              <w:bottom w:w="100" w:type="dxa"/>
              <w:right w:w="110" w:type="dxa"/>
            </w:tcMar>
            <w:vAlign w:val="center"/>
          </w:tcPr>
          <w:p w14:paraId="6C22B52C" w14:textId="77777777" w:rsidR="0002766A" w:rsidRDefault="00A96132">
            <w:pPr>
              <w:jc w:val="center"/>
              <w:rPr>
                <w:rFonts w:hint="eastAsia"/>
              </w:rPr>
            </w:pPr>
            <w:r>
              <w:rPr>
                <w:sz w:val="17"/>
              </w:rPr>
              <w:t>Lens Bindings</w:t>
            </w:r>
          </w:p>
        </w:tc>
        <w:tc>
          <w:tcPr>
            <w:tcW w:w="6624" w:type="dxa"/>
            <w:shd w:val="clear" w:color="auto" w:fill="F7F9FA"/>
            <w:tcMar>
              <w:top w:w="100" w:type="dxa"/>
              <w:left w:w="110" w:type="dxa"/>
              <w:bottom w:w="100" w:type="dxa"/>
              <w:right w:w="110" w:type="dxa"/>
            </w:tcMar>
            <w:vAlign w:val="center"/>
          </w:tcPr>
          <w:p w14:paraId="0A8D3A05" w14:textId="77777777" w:rsidR="0002766A" w:rsidRDefault="00A96132">
            <w:pPr>
              <w:rPr>
                <w:rFonts w:hint="eastAsia"/>
              </w:rPr>
            </w:pPr>
            <w:r>
              <w:rPr>
                <w:sz w:val="17"/>
              </w:rPr>
              <w:t>Explicit relationships identifying which RESIDUAL Families or Constants a Model/Lens consumes.</w:t>
            </w:r>
          </w:p>
        </w:tc>
      </w:tr>
      <w:tr w:rsidR="0002766A" w14:paraId="188AC597" w14:textId="77777777">
        <w:trPr>
          <w:jc w:val="center"/>
        </w:trPr>
        <w:tc>
          <w:tcPr>
            <w:tcW w:w="2880" w:type="dxa"/>
            <w:shd w:val="clear" w:color="auto" w:fill="F7F9FA"/>
            <w:tcMar>
              <w:top w:w="100" w:type="dxa"/>
              <w:left w:w="110" w:type="dxa"/>
              <w:bottom w:w="100" w:type="dxa"/>
              <w:right w:w="110" w:type="dxa"/>
            </w:tcMar>
            <w:vAlign w:val="center"/>
          </w:tcPr>
          <w:p w14:paraId="420ED0EB" w14:textId="77777777" w:rsidR="0002766A" w:rsidRDefault="00A96132">
            <w:pPr>
              <w:rPr>
                <w:rFonts w:hint="eastAsia"/>
              </w:rPr>
            </w:pPr>
            <w:r>
              <w:rPr>
                <w:sz w:val="17"/>
              </w:rPr>
              <w:t>Version / Status metadata</w:t>
            </w:r>
          </w:p>
        </w:tc>
        <w:tc>
          <w:tcPr>
            <w:tcW w:w="6624" w:type="dxa"/>
            <w:shd w:val="clear" w:color="auto" w:fill="F7F9FA"/>
            <w:tcMar>
              <w:top w:w="100" w:type="dxa"/>
              <w:left w:w="110" w:type="dxa"/>
              <w:bottom w:w="100" w:type="dxa"/>
              <w:right w:w="110" w:type="dxa"/>
            </w:tcMar>
            <w:vAlign w:val="center"/>
          </w:tcPr>
          <w:p w14:paraId="4D718F14" w14:textId="77777777" w:rsidR="0002766A" w:rsidRDefault="00A96132">
            <w:pPr>
              <w:rPr>
                <w:rFonts w:hint="eastAsia"/>
              </w:rPr>
            </w:pPr>
            <w:r>
              <w:rPr>
                <w:sz w:val="17"/>
              </w:rPr>
              <w:t>Current, superseded, disputed, archived, source version, and historical resolution information.</w:t>
            </w:r>
          </w:p>
        </w:tc>
      </w:tr>
    </w:tbl>
    <w:p w14:paraId="1ECAE4BC" w14:textId="77777777" w:rsidR="0002766A" w:rsidRDefault="0002766A">
      <w:pPr>
        <w:spacing w:after="60"/>
        <w:rPr>
          <w:rFonts w:hint="eastAsia"/>
        </w:rPr>
      </w:pPr>
    </w:p>
    <w:p w14:paraId="68B5C095" w14:textId="77777777" w:rsidR="0002766A" w:rsidRDefault="00A96132">
      <w:pPr>
        <w:pStyle w:val="Heading2"/>
      </w:pPr>
      <w:r>
        <w:t>22. Family Table Contract</w:t>
      </w:r>
    </w:p>
    <w:tbl>
      <w:tblPr>
        <w:tblW w:w="0" w:type="auto"/>
        <w:jc w:val="center"/>
        <w:tblLayout w:type="fixed"/>
        <w:tblLook w:val="04A0" w:firstRow="1" w:lastRow="0" w:firstColumn="1" w:lastColumn="0" w:noHBand="0" w:noVBand="1"/>
      </w:tblPr>
      <w:tblGrid>
        <w:gridCol w:w="2880"/>
        <w:gridCol w:w="6624"/>
      </w:tblGrid>
      <w:tr w:rsidR="0002766A" w14:paraId="7E580123" w14:textId="77777777">
        <w:trPr>
          <w:tblHeader/>
          <w:jc w:val="center"/>
        </w:trPr>
        <w:tc>
          <w:tcPr>
            <w:tcW w:w="2880" w:type="dxa"/>
            <w:shd w:val="clear" w:color="auto" w:fill="102C43"/>
            <w:tcMar>
              <w:top w:w="110" w:type="dxa"/>
              <w:left w:w="110" w:type="dxa"/>
              <w:bottom w:w="110" w:type="dxa"/>
              <w:right w:w="110" w:type="dxa"/>
            </w:tcMar>
            <w:vAlign w:val="center"/>
          </w:tcPr>
          <w:p w14:paraId="1FAA0E7D" w14:textId="77777777" w:rsidR="0002766A" w:rsidRDefault="00A96132">
            <w:pPr>
              <w:jc w:val="center"/>
              <w:rPr>
                <w:rFonts w:hint="eastAsia"/>
              </w:rPr>
            </w:pPr>
            <w:r>
              <w:rPr>
                <w:b/>
                <w:color w:val="FFFFFF"/>
                <w:sz w:val="16"/>
              </w:rPr>
              <w:t>Contract element</w:t>
            </w:r>
          </w:p>
        </w:tc>
        <w:tc>
          <w:tcPr>
            <w:tcW w:w="6624" w:type="dxa"/>
            <w:shd w:val="clear" w:color="auto" w:fill="102C43"/>
            <w:tcMar>
              <w:top w:w="110" w:type="dxa"/>
              <w:left w:w="110" w:type="dxa"/>
              <w:bottom w:w="110" w:type="dxa"/>
              <w:right w:w="110" w:type="dxa"/>
            </w:tcMar>
            <w:vAlign w:val="center"/>
          </w:tcPr>
          <w:p w14:paraId="59FA9CA3" w14:textId="77777777" w:rsidR="0002766A" w:rsidRDefault="00A96132">
            <w:pPr>
              <w:jc w:val="center"/>
              <w:rPr>
                <w:rFonts w:hint="eastAsia"/>
              </w:rPr>
            </w:pPr>
            <w:r>
              <w:rPr>
                <w:b/>
                <w:color w:val="FFFFFF"/>
                <w:sz w:val="16"/>
              </w:rPr>
              <w:t>Implementation meaning</w:t>
            </w:r>
          </w:p>
        </w:tc>
      </w:tr>
      <w:tr w:rsidR="0002766A" w14:paraId="6C5CD0FE" w14:textId="77777777">
        <w:trPr>
          <w:jc w:val="center"/>
        </w:trPr>
        <w:tc>
          <w:tcPr>
            <w:tcW w:w="2880" w:type="dxa"/>
            <w:shd w:val="clear" w:color="auto" w:fill="F7F9FA"/>
            <w:tcMar>
              <w:top w:w="100" w:type="dxa"/>
              <w:left w:w="110" w:type="dxa"/>
              <w:bottom w:w="100" w:type="dxa"/>
              <w:right w:w="110" w:type="dxa"/>
            </w:tcMar>
            <w:vAlign w:val="center"/>
          </w:tcPr>
          <w:p w14:paraId="11309973" w14:textId="77777777" w:rsidR="0002766A" w:rsidRDefault="00A96132">
            <w:pPr>
              <w:jc w:val="center"/>
              <w:rPr>
                <w:rFonts w:hint="eastAsia"/>
              </w:rPr>
            </w:pPr>
            <w:r>
              <w:rPr>
                <w:sz w:val="16"/>
              </w:rPr>
              <w:t>Family Identity</w:t>
            </w:r>
          </w:p>
        </w:tc>
        <w:tc>
          <w:tcPr>
            <w:tcW w:w="6624" w:type="dxa"/>
            <w:shd w:val="clear" w:color="auto" w:fill="F7F9FA"/>
            <w:tcMar>
              <w:top w:w="100" w:type="dxa"/>
              <w:left w:w="110" w:type="dxa"/>
              <w:bottom w:w="100" w:type="dxa"/>
              <w:right w:w="110" w:type="dxa"/>
            </w:tcMar>
            <w:vAlign w:val="center"/>
          </w:tcPr>
          <w:p w14:paraId="107B7C50" w14:textId="77777777" w:rsidR="0002766A" w:rsidRDefault="00A96132">
            <w:pPr>
              <w:rPr>
                <w:rFonts w:hint="eastAsia"/>
              </w:rPr>
            </w:pPr>
            <w:r>
              <w:rPr>
                <w:sz w:val="16"/>
              </w:rPr>
              <w:t>Stable ID and human name for the quantitative Family.</w:t>
            </w:r>
          </w:p>
        </w:tc>
      </w:tr>
      <w:tr w:rsidR="0002766A" w14:paraId="496B2185" w14:textId="77777777">
        <w:trPr>
          <w:jc w:val="center"/>
        </w:trPr>
        <w:tc>
          <w:tcPr>
            <w:tcW w:w="2880" w:type="dxa"/>
            <w:shd w:val="clear" w:color="auto" w:fill="F7F9FA"/>
            <w:tcMar>
              <w:top w:w="100" w:type="dxa"/>
              <w:left w:w="110" w:type="dxa"/>
              <w:bottom w:w="100" w:type="dxa"/>
              <w:right w:w="110" w:type="dxa"/>
            </w:tcMar>
            <w:vAlign w:val="center"/>
          </w:tcPr>
          <w:p w14:paraId="3FCA8880" w14:textId="77777777" w:rsidR="0002766A" w:rsidRDefault="00A96132">
            <w:pPr>
              <w:jc w:val="center"/>
              <w:rPr>
                <w:rFonts w:hint="eastAsia"/>
              </w:rPr>
            </w:pPr>
            <w:r>
              <w:rPr>
                <w:sz w:val="16"/>
              </w:rPr>
              <w:t>Community / World</w:t>
            </w:r>
          </w:p>
        </w:tc>
        <w:tc>
          <w:tcPr>
            <w:tcW w:w="6624" w:type="dxa"/>
            <w:shd w:val="clear" w:color="auto" w:fill="F7F9FA"/>
            <w:tcMar>
              <w:top w:w="100" w:type="dxa"/>
              <w:left w:w="110" w:type="dxa"/>
              <w:bottom w:w="100" w:type="dxa"/>
              <w:right w:w="110" w:type="dxa"/>
            </w:tcMar>
            <w:vAlign w:val="center"/>
          </w:tcPr>
          <w:p w14:paraId="57E36373" w14:textId="77777777" w:rsidR="0002766A" w:rsidRDefault="00A96132">
            <w:pPr>
              <w:rPr>
                <w:rFonts w:hint="eastAsia"/>
              </w:rPr>
            </w:pPr>
            <w:r>
              <w:rPr>
                <w:sz w:val="16"/>
              </w:rPr>
              <w:t>Upward resolution path.</w:t>
            </w:r>
          </w:p>
        </w:tc>
      </w:tr>
      <w:tr w:rsidR="0002766A" w14:paraId="4D855342" w14:textId="77777777">
        <w:trPr>
          <w:jc w:val="center"/>
        </w:trPr>
        <w:tc>
          <w:tcPr>
            <w:tcW w:w="2880" w:type="dxa"/>
            <w:shd w:val="clear" w:color="auto" w:fill="F7F9FA"/>
            <w:tcMar>
              <w:top w:w="100" w:type="dxa"/>
              <w:left w:w="110" w:type="dxa"/>
              <w:bottom w:w="100" w:type="dxa"/>
              <w:right w:w="110" w:type="dxa"/>
            </w:tcMar>
            <w:vAlign w:val="center"/>
          </w:tcPr>
          <w:p w14:paraId="2DF1D6FD" w14:textId="77777777" w:rsidR="0002766A" w:rsidRDefault="00A96132">
            <w:pPr>
              <w:jc w:val="center"/>
              <w:rPr>
                <w:rFonts w:hint="eastAsia"/>
              </w:rPr>
            </w:pPr>
            <w:r>
              <w:rPr>
                <w:sz w:val="16"/>
              </w:rPr>
              <w:t>Table Link</w:t>
            </w:r>
          </w:p>
        </w:tc>
        <w:tc>
          <w:tcPr>
            <w:tcW w:w="6624" w:type="dxa"/>
            <w:shd w:val="clear" w:color="auto" w:fill="F7F9FA"/>
            <w:tcMar>
              <w:top w:w="100" w:type="dxa"/>
              <w:left w:w="110" w:type="dxa"/>
              <w:bottom w:w="100" w:type="dxa"/>
              <w:right w:w="110" w:type="dxa"/>
            </w:tcMar>
            <w:vAlign w:val="center"/>
          </w:tcPr>
          <w:p w14:paraId="31D1826D" w14:textId="77777777" w:rsidR="0002766A" w:rsidRDefault="00A96132">
            <w:pPr>
              <w:rPr>
                <w:rFonts w:hint="eastAsia"/>
              </w:rPr>
            </w:pPr>
            <w:r>
              <w:rPr>
                <w:sz w:val="16"/>
              </w:rPr>
              <w:t>Exact Airtable table containing the quantitative matrix.</w:t>
            </w:r>
          </w:p>
        </w:tc>
      </w:tr>
      <w:tr w:rsidR="0002766A" w14:paraId="6B3B0EC4" w14:textId="77777777">
        <w:trPr>
          <w:jc w:val="center"/>
        </w:trPr>
        <w:tc>
          <w:tcPr>
            <w:tcW w:w="2880" w:type="dxa"/>
            <w:shd w:val="clear" w:color="auto" w:fill="F7F9FA"/>
            <w:tcMar>
              <w:top w:w="100" w:type="dxa"/>
              <w:left w:w="110" w:type="dxa"/>
              <w:bottom w:w="100" w:type="dxa"/>
              <w:right w:w="110" w:type="dxa"/>
            </w:tcMar>
            <w:vAlign w:val="center"/>
          </w:tcPr>
          <w:p w14:paraId="0ED7E5A5" w14:textId="77777777" w:rsidR="0002766A" w:rsidRDefault="00A96132">
            <w:pPr>
              <w:jc w:val="center"/>
              <w:rPr>
                <w:rFonts w:hint="eastAsia"/>
              </w:rPr>
            </w:pPr>
            <w:r>
              <w:rPr>
                <w:sz w:val="16"/>
              </w:rPr>
              <w:t>Unit Mode</w:t>
            </w:r>
          </w:p>
        </w:tc>
        <w:tc>
          <w:tcPr>
            <w:tcW w:w="6624" w:type="dxa"/>
            <w:shd w:val="clear" w:color="auto" w:fill="F7F9FA"/>
            <w:tcMar>
              <w:top w:w="100" w:type="dxa"/>
              <w:left w:w="110" w:type="dxa"/>
              <w:bottom w:w="100" w:type="dxa"/>
              <w:right w:w="110" w:type="dxa"/>
            </w:tcMar>
            <w:vAlign w:val="center"/>
          </w:tcPr>
          <w:p w14:paraId="0B91962E" w14:textId="77777777" w:rsidR="0002766A" w:rsidRDefault="00A96132">
            <w:pPr>
              <w:rPr>
                <w:rFonts w:hint="eastAsia"/>
              </w:rPr>
            </w:pPr>
            <w:r>
              <w:rPr>
                <w:sz w:val="16"/>
              </w:rPr>
              <w:t>Paired Value+Unit, homogeneous Family unit, field-specific unit contract, or declared hybrid.</w:t>
            </w:r>
          </w:p>
        </w:tc>
      </w:tr>
      <w:tr w:rsidR="0002766A" w14:paraId="5ABA0655" w14:textId="77777777">
        <w:trPr>
          <w:jc w:val="center"/>
        </w:trPr>
        <w:tc>
          <w:tcPr>
            <w:tcW w:w="2880" w:type="dxa"/>
            <w:shd w:val="clear" w:color="auto" w:fill="F7F9FA"/>
            <w:tcMar>
              <w:top w:w="100" w:type="dxa"/>
              <w:left w:w="110" w:type="dxa"/>
              <w:bottom w:w="100" w:type="dxa"/>
              <w:right w:w="110" w:type="dxa"/>
            </w:tcMar>
            <w:vAlign w:val="center"/>
          </w:tcPr>
          <w:p w14:paraId="53B26DE9" w14:textId="77777777" w:rsidR="0002766A" w:rsidRDefault="00A96132">
            <w:pPr>
              <w:rPr>
                <w:rFonts w:hint="eastAsia"/>
              </w:rPr>
            </w:pPr>
            <w:r>
              <w:rPr>
                <w:sz w:val="16"/>
              </w:rPr>
              <w:t>Canonical Unit / Unit Contract</w:t>
            </w:r>
          </w:p>
        </w:tc>
        <w:tc>
          <w:tcPr>
            <w:tcW w:w="6624" w:type="dxa"/>
            <w:shd w:val="clear" w:color="auto" w:fill="F7F9FA"/>
            <w:tcMar>
              <w:top w:w="100" w:type="dxa"/>
              <w:left w:w="110" w:type="dxa"/>
              <w:bottom w:w="100" w:type="dxa"/>
              <w:right w:w="110" w:type="dxa"/>
            </w:tcMar>
            <w:vAlign w:val="center"/>
          </w:tcPr>
          <w:p w14:paraId="7F2F7575" w14:textId="77777777" w:rsidR="0002766A" w:rsidRDefault="00A96132">
            <w:pPr>
              <w:rPr>
                <w:rFonts w:hint="eastAsia"/>
              </w:rPr>
            </w:pPr>
            <w:r>
              <w:rPr>
                <w:sz w:val="16"/>
              </w:rPr>
              <w:t>Unit inherited by cells when the Family is homogeneous.</w:t>
            </w:r>
          </w:p>
        </w:tc>
      </w:tr>
      <w:tr w:rsidR="0002766A" w14:paraId="5B29BB02" w14:textId="77777777">
        <w:trPr>
          <w:jc w:val="center"/>
        </w:trPr>
        <w:tc>
          <w:tcPr>
            <w:tcW w:w="2880" w:type="dxa"/>
            <w:shd w:val="clear" w:color="auto" w:fill="F7F9FA"/>
            <w:tcMar>
              <w:top w:w="100" w:type="dxa"/>
              <w:left w:w="110" w:type="dxa"/>
              <w:bottom w:w="100" w:type="dxa"/>
              <w:right w:w="110" w:type="dxa"/>
            </w:tcMar>
            <w:vAlign w:val="center"/>
          </w:tcPr>
          <w:p w14:paraId="2D91DC3F" w14:textId="77777777" w:rsidR="0002766A" w:rsidRDefault="00A96132">
            <w:pPr>
              <w:jc w:val="center"/>
              <w:rPr>
                <w:rFonts w:hint="eastAsia"/>
              </w:rPr>
            </w:pPr>
            <w:r>
              <w:rPr>
                <w:sz w:val="16"/>
              </w:rPr>
              <w:t>Record Axis</w:t>
            </w:r>
          </w:p>
        </w:tc>
        <w:tc>
          <w:tcPr>
            <w:tcW w:w="6624" w:type="dxa"/>
            <w:shd w:val="clear" w:color="auto" w:fill="F7F9FA"/>
            <w:tcMar>
              <w:top w:w="100" w:type="dxa"/>
              <w:left w:w="110" w:type="dxa"/>
              <w:bottom w:w="100" w:type="dxa"/>
              <w:right w:w="110" w:type="dxa"/>
            </w:tcMar>
            <w:vAlign w:val="center"/>
          </w:tcPr>
          <w:p w14:paraId="4FBB2FE8" w14:textId="77777777" w:rsidR="0002766A" w:rsidRDefault="00A96132">
            <w:pPr>
              <w:rPr>
                <w:rFonts w:hint="eastAsia"/>
              </w:rPr>
            </w:pPr>
            <w:r>
              <w:rPr>
                <w:sz w:val="16"/>
              </w:rPr>
              <w:t>What one record represents: subject, material, source set, condition set, experiment, or other governed entity.</w:t>
            </w:r>
          </w:p>
        </w:tc>
      </w:tr>
      <w:tr w:rsidR="0002766A" w14:paraId="5444440B" w14:textId="77777777">
        <w:trPr>
          <w:jc w:val="center"/>
        </w:trPr>
        <w:tc>
          <w:tcPr>
            <w:tcW w:w="2880" w:type="dxa"/>
            <w:shd w:val="clear" w:color="auto" w:fill="F7F9FA"/>
            <w:tcMar>
              <w:top w:w="100" w:type="dxa"/>
              <w:left w:w="110" w:type="dxa"/>
              <w:bottom w:w="100" w:type="dxa"/>
              <w:right w:w="110" w:type="dxa"/>
            </w:tcMar>
            <w:vAlign w:val="center"/>
          </w:tcPr>
          <w:p w14:paraId="6AF832DC" w14:textId="77777777" w:rsidR="0002766A" w:rsidRDefault="00A96132">
            <w:pPr>
              <w:jc w:val="center"/>
              <w:rPr>
                <w:rFonts w:hint="eastAsia"/>
              </w:rPr>
            </w:pPr>
            <w:r>
              <w:rPr>
                <w:sz w:val="16"/>
              </w:rPr>
              <w:t>Field Axis</w:t>
            </w:r>
          </w:p>
        </w:tc>
        <w:tc>
          <w:tcPr>
            <w:tcW w:w="6624" w:type="dxa"/>
            <w:shd w:val="clear" w:color="auto" w:fill="F7F9FA"/>
            <w:tcMar>
              <w:top w:w="100" w:type="dxa"/>
              <w:left w:w="110" w:type="dxa"/>
              <w:bottom w:w="100" w:type="dxa"/>
              <w:right w:w="110" w:type="dxa"/>
            </w:tcMar>
            <w:vAlign w:val="center"/>
          </w:tcPr>
          <w:p w14:paraId="4EC41AC8" w14:textId="77777777" w:rsidR="0002766A" w:rsidRDefault="00A96132">
            <w:pPr>
              <w:rPr>
                <w:rFonts w:hint="eastAsia"/>
              </w:rPr>
            </w:pPr>
            <w:r>
              <w:rPr>
                <w:sz w:val="16"/>
              </w:rPr>
              <w:t>What one value field represents: condition, subject, constant slot, source slot, or other governed dimension.</w:t>
            </w:r>
          </w:p>
        </w:tc>
      </w:tr>
      <w:tr w:rsidR="0002766A" w14:paraId="25E8E8DE" w14:textId="77777777">
        <w:trPr>
          <w:jc w:val="center"/>
        </w:trPr>
        <w:tc>
          <w:tcPr>
            <w:tcW w:w="2880" w:type="dxa"/>
            <w:shd w:val="clear" w:color="auto" w:fill="F7F9FA"/>
            <w:tcMar>
              <w:top w:w="100" w:type="dxa"/>
              <w:left w:w="110" w:type="dxa"/>
              <w:bottom w:w="100" w:type="dxa"/>
              <w:right w:w="110" w:type="dxa"/>
            </w:tcMar>
            <w:vAlign w:val="center"/>
          </w:tcPr>
          <w:p w14:paraId="59F34E95" w14:textId="77777777" w:rsidR="0002766A" w:rsidRDefault="00A96132">
            <w:pPr>
              <w:jc w:val="center"/>
              <w:rPr>
                <w:rFonts w:hint="eastAsia"/>
              </w:rPr>
            </w:pPr>
            <w:r>
              <w:rPr>
                <w:sz w:val="16"/>
              </w:rPr>
              <w:t>Semantic Binding</w:t>
            </w:r>
          </w:p>
        </w:tc>
        <w:tc>
          <w:tcPr>
            <w:tcW w:w="6624" w:type="dxa"/>
            <w:shd w:val="clear" w:color="auto" w:fill="F7F9FA"/>
            <w:tcMar>
              <w:top w:w="100" w:type="dxa"/>
              <w:left w:w="110" w:type="dxa"/>
              <w:bottom w:w="100" w:type="dxa"/>
              <w:right w:w="110" w:type="dxa"/>
            </w:tcMar>
            <w:vAlign w:val="center"/>
          </w:tcPr>
          <w:p w14:paraId="661A9C3E" w14:textId="77777777" w:rsidR="0002766A" w:rsidRDefault="00A96132">
            <w:pPr>
              <w:rPr>
                <w:rFonts w:hint="eastAsia"/>
              </w:rPr>
            </w:pPr>
            <w:r>
              <w:rPr>
                <w:sz w:val="16"/>
              </w:rPr>
              <w:t>Link from quantitative Family or field meaning into the Semiotic system.</w:t>
            </w:r>
          </w:p>
        </w:tc>
      </w:tr>
      <w:tr w:rsidR="0002766A" w14:paraId="45A367B9" w14:textId="77777777">
        <w:trPr>
          <w:jc w:val="center"/>
        </w:trPr>
        <w:tc>
          <w:tcPr>
            <w:tcW w:w="2880" w:type="dxa"/>
            <w:shd w:val="clear" w:color="auto" w:fill="F7F9FA"/>
            <w:tcMar>
              <w:top w:w="100" w:type="dxa"/>
              <w:left w:w="110" w:type="dxa"/>
              <w:bottom w:w="100" w:type="dxa"/>
              <w:right w:w="110" w:type="dxa"/>
            </w:tcMar>
            <w:vAlign w:val="center"/>
          </w:tcPr>
          <w:p w14:paraId="733A472A" w14:textId="77777777" w:rsidR="0002766A" w:rsidRDefault="00A96132">
            <w:pPr>
              <w:jc w:val="center"/>
              <w:rPr>
                <w:rFonts w:hint="eastAsia"/>
              </w:rPr>
            </w:pPr>
            <w:r>
              <w:rPr>
                <w:sz w:val="16"/>
              </w:rPr>
              <w:t>Provenance Binding</w:t>
            </w:r>
          </w:p>
        </w:tc>
        <w:tc>
          <w:tcPr>
            <w:tcW w:w="6624" w:type="dxa"/>
            <w:shd w:val="clear" w:color="auto" w:fill="F7F9FA"/>
            <w:tcMar>
              <w:top w:w="100" w:type="dxa"/>
              <w:left w:w="110" w:type="dxa"/>
              <w:bottom w:w="100" w:type="dxa"/>
              <w:right w:w="110" w:type="dxa"/>
            </w:tcMar>
            <w:vAlign w:val="center"/>
          </w:tcPr>
          <w:p w14:paraId="1DC91125" w14:textId="77777777" w:rsidR="0002766A" w:rsidRDefault="00A96132">
            <w:pPr>
              <w:rPr>
                <w:rFonts w:hint="eastAsia"/>
              </w:rPr>
            </w:pPr>
            <w:r>
              <w:rPr>
                <w:sz w:val="16"/>
              </w:rPr>
              <w:t>How source, method, uncertainty, condition, or version context is resolved.</w:t>
            </w:r>
          </w:p>
        </w:tc>
      </w:tr>
      <w:tr w:rsidR="0002766A" w14:paraId="1CAD63D6" w14:textId="77777777">
        <w:trPr>
          <w:jc w:val="center"/>
        </w:trPr>
        <w:tc>
          <w:tcPr>
            <w:tcW w:w="2880" w:type="dxa"/>
            <w:shd w:val="clear" w:color="auto" w:fill="F7F9FA"/>
            <w:tcMar>
              <w:top w:w="100" w:type="dxa"/>
              <w:left w:w="110" w:type="dxa"/>
              <w:bottom w:w="100" w:type="dxa"/>
              <w:right w:w="110" w:type="dxa"/>
            </w:tcMar>
            <w:vAlign w:val="center"/>
          </w:tcPr>
          <w:p w14:paraId="28CEEF49" w14:textId="77777777" w:rsidR="0002766A" w:rsidRDefault="00A96132">
            <w:pPr>
              <w:jc w:val="center"/>
              <w:rPr>
                <w:rFonts w:hint="eastAsia"/>
              </w:rPr>
            </w:pPr>
            <w:r>
              <w:rPr>
                <w:sz w:val="16"/>
              </w:rPr>
              <w:t>Status / Version</w:t>
            </w:r>
          </w:p>
        </w:tc>
        <w:tc>
          <w:tcPr>
            <w:tcW w:w="6624" w:type="dxa"/>
            <w:shd w:val="clear" w:color="auto" w:fill="F7F9FA"/>
            <w:tcMar>
              <w:top w:w="100" w:type="dxa"/>
              <w:left w:w="110" w:type="dxa"/>
              <w:bottom w:w="100" w:type="dxa"/>
              <w:right w:w="110" w:type="dxa"/>
            </w:tcMar>
            <w:vAlign w:val="center"/>
          </w:tcPr>
          <w:p w14:paraId="25BE9D83" w14:textId="77777777" w:rsidR="0002766A" w:rsidRDefault="00A96132">
            <w:pPr>
              <w:rPr>
                <w:rFonts w:hint="eastAsia"/>
              </w:rPr>
            </w:pPr>
            <w:r>
              <w:rPr>
                <w:sz w:val="16"/>
              </w:rPr>
              <w:t>Current interpretation and historical reproducibility.</w:t>
            </w:r>
          </w:p>
        </w:tc>
      </w:tr>
    </w:tbl>
    <w:p w14:paraId="42DBD9E4" w14:textId="77777777" w:rsidR="0002766A" w:rsidRDefault="0002766A">
      <w:pPr>
        <w:spacing w:after="60"/>
        <w:rPr>
          <w:rFonts w:hint="eastAsia"/>
        </w:rPr>
      </w:pPr>
    </w:p>
    <w:p w14:paraId="0742CECE" w14:textId="77777777" w:rsidR="0002766A" w:rsidRDefault="00A96132">
      <w:pPr>
        <w:pStyle w:val="Heading2"/>
      </w:pPr>
      <w:r>
        <w:t>23. Constant Addressing</w:t>
      </w:r>
    </w:p>
    <w:p w14:paraId="2904798C" w14:textId="77777777" w:rsidR="0002766A" w:rsidRDefault="00A96132">
      <w:pPr>
        <w:rPr>
          <w:rFonts w:hint="eastAsia"/>
        </w:rPr>
      </w:pPr>
      <w:r>
        <w:t>The implementation should treat one quantitative cell as the singular Constant whenever the Family table is a matrix. The address is therefore not “the number 950”; it is the governed intersection of Family identity, record identity, value-field identity, and the applicable unit/context/provenance contract. This gives the system a precise quantitative coordinate without requiring tens of thousands of extra Constant records merely to duplicate cell identity.</w:t>
      </w:r>
    </w:p>
    <w:tbl>
      <w:tblPr>
        <w:tblW w:w="0" w:type="auto"/>
        <w:jc w:val="center"/>
        <w:tblLayout w:type="fixed"/>
        <w:tblLook w:val="04A0" w:firstRow="1" w:lastRow="0" w:firstColumn="1" w:lastColumn="0" w:noHBand="0" w:noVBand="1"/>
      </w:tblPr>
      <w:tblGrid>
        <w:gridCol w:w="10166"/>
      </w:tblGrid>
      <w:tr w:rsidR="0002766A" w14:paraId="4541D3CD" w14:textId="77777777">
        <w:trPr>
          <w:jc w:val="center"/>
        </w:trPr>
        <w:tc>
          <w:tcPr>
            <w:tcW w:w="10166" w:type="dxa"/>
            <w:shd w:val="clear" w:color="auto" w:fill="EAF0F2"/>
            <w:tcMar>
              <w:top w:w="140" w:type="dxa"/>
              <w:left w:w="180" w:type="dxa"/>
              <w:bottom w:w="140" w:type="dxa"/>
              <w:right w:w="180" w:type="dxa"/>
            </w:tcMar>
          </w:tcPr>
          <w:p w14:paraId="2BB7B8FE" w14:textId="77777777" w:rsidR="0002766A" w:rsidRDefault="00A96132">
            <w:pPr>
              <w:spacing w:after="40"/>
              <w:rPr>
                <w:rFonts w:hint="eastAsia"/>
              </w:rPr>
            </w:pPr>
            <w:r>
              <w:rPr>
                <w:b/>
                <w:color w:val="1E8D8D"/>
                <w:sz w:val="18"/>
              </w:rPr>
              <w:t>CONCEPTUAL CONSTANT ADDRESS</w:t>
            </w:r>
          </w:p>
          <w:p w14:paraId="4240A68A" w14:textId="77777777" w:rsidR="0002766A" w:rsidRDefault="00A96132">
            <w:pPr>
              <w:spacing w:after="0" w:line="252" w:lineRule="auto"/>
              <w:rPr>
                <w:rFonts w:hint="eastAsia"/>
              </w:rPr>
            </w:pPr>
            <w:r>
              <w:t>Family → Record → Field → Value, with inherited or paired Unit plus Context and Provenance. Exact physical field IDs and routing keys should be taken from the implemented Airtable registries rather than invented in prose.</w:t>
            </w:r>
          </w:p>
        </w:tc>
      </w:tr>
    </w:tbl>
    <w:p w14:paraId="096726E2" w14:textId="77777777" w:rsidR="0002766A" w:rsidRDefault="0002766A">
      <w:pPr>
        <w:spacing w:after="40"/>
        <w:rPr>
          <w:rFonts w:hint="eastAsia"/>
        </w:rPr>
      </w:pPr>
    </w:p>
    <w:p w14:paraId="554B638C" w14:textId="77777777" w:rsidR="0002766A" w:rsidRDefault="00A96132">
      <w:pPr>
        <w:pStyle w:val="Heading2"/>
      </w:pPr>
      <w:r>
        <w:t>24. Example Initial Science World</w:t>
      </w:r>
    </w:p>
    <w:tbl>
      <w:tblPr>
        <w:tblW w:w="0" w:type="auto"/>
        <w:jc w:val="center"/>
        <w:tblLayout w:type="fixed"/>
        <w:tblLook w:val="04A0" w:firstRow="1" w:lastRow="0" w:firstColumn="1" w:lastColumn="0" w:noHBand="0" w:noVBand="1"/>
      </w:tblPr>
      <w:tblGrid>
        <w:gridCol w:w="1584"/>
        <w:gridCol w:w="2304"/>
        <w:gridCol w:w="5616"/>
      </w:tblGrid>
      <w:tr w:rsidR="0002766A" w14:paraId="121E7929" w14:textId="77777777">
        <w:trPr>
          <w:tblHeader/>
          <w:jc w:val="center"/>
        </w:trPr>
        <w:tc>
          <w:tcPr>
            <w:tcW w:w="1584" w:type="dxa"/>
            <w:shd w:val="clear" w:color="auto" w:fill="102C43"/>
            <w:tcMar>
              <w:top w:w="110" w:type="dxa"/>
              <w:left w:w="110" w:type="dxa"/>
              <w:bottom w:w="110" w:type="dxa"/>
              <w:right w:w="110" w:type="dxa"/>
            </w:tcMar>
            <w:vAlign w:val="center"/>
          </w:tcPr>
          <w:p w14:paraId="4836DB95" w14:textId="77777777" w:rsidR="0002766A" w:rsidRDefault="00A96132">
            <w:pPr>
              <w:jc w:val="center"/>
              <w:rPr>
                <w:rFonts w:hint="eastAsia"/>
              </w:rPr>
            </w:pPr>
            <w:r>
              <w:rPr>
                <w:b/>
                <w:color w:val="FFFFFF"/>
                <w:sz w:val="16"/>
              </w:rPr>
              <w:t>World</w:t>
            </w:r>
          </w:p>
        </w:tc>
        <w:tc>
          <w:tcPr>
            <w:tcW w:w="2304" w:type="dxa"/>
            <w:shd w:val="clear" w:color="auto" w:fill="102C43"/>
            <w:tcMar>
              <w:top w:w="110" w:type="dxa"/>
              <w:left w:w="110" w:type="dxa"/>
              <w:bottom w:w="110" w:type="dxa"/>
              <w:right w:w="110" w:type="dxa"/>
            </w:tcMar>
            <w:vAlign w:val="center"/>
          </w:tcPr>
          <w:p w14:paraId="7B92C847" w14:textId="77777777" w:rsidR="0002766A" w:rsidRDefault="00A96132">
            <w:pPr>
              <w:jc w:val="center"/>
              <w:rPr>
                <w:rFonts w:hint="eastAsia"/>
              </w:rPr>
            </w:pPr>
            <w:r>
              <w:rPr>
                <w:b/>
                <w:color w:val="FFFFFF"/>
                <w:sz w:val="16"/>
              </w:rPr>
              <w:t>Community</w:t>
            </w:r>
          </w:p>
        </w:tc>
        <w:tc>
          <w:tcPr>
            <w:tcW w:w="5616" w:type="dxa"/>
            <w:shd w:val="clear" w:color="auto" w:fill="102C43"/>
            <w:tcMar>
              <w:top w:w="110" w:type="dxa"/>
              <w:left w:w="110" w:type="dxa"/>
              <w:bottom w:w="110" w:type="dxa"/>
              <w:right w:w="110" w:type="dxa"/>
            </w:tcMar>
            <w:vAlign w:val="center"/>
          </w:tcPr>
          <w:p w14:paraId="491A543D" w14:textId="77777777" w:rsidR="0002766A" w:rsidRDefault="00A96132">
            <w:pPr>
              <w:jc w:val="center"/>
              <w:rPr>
                <w:rFonts w:hint="eastAsia"/>
              </w:rPr>
            </w:pPr>
            <w:r>
              <w:rPr>
                <w:b/>
                <w:color w:val="FFFFFF"/>
                <w:sz w:val="16"/>
              </w:rPr>
              <w:t>Illustrative Families</w:t>
            </w:r>
          </w:p>
        </w:tc>
      </w:tr>
      <w:tr w:rsidR="0002766A" w14:paraId="63672B28" w14:textId="77777777">
        <w:trPr>
          <w:jc w:val="center"/>
        </w:trPr>
        <w:tc>
          <w:tcPr>
            <w:tcW w:w="1584" w:type="dxa"/>
            <w:shd w:val="clear" w:color="auto" w:fill="F7F9FA"/>
            <w:tcMar>
              <w:top w:w="100" w:type="dxa"/>
              <w:left w:w="110" w:type="dxa"/>
              <w:bottom w:w="100" w:type="dxa"/>
              <w:right w:w="110" w:type="dxa"/>
            </w:tcMar>
            <w:vAlign w:val="center"/>
          </w:tcPr>
          <w:p w14:paraId="361ADAEF" w14:textId="77777777" w:rsidR="0002766A" w:rsidRDefault="00A96132">
            <w:pPr>
              <w:jc w:val="center"/>
              <w:rPr>
                <w:rFonts w:hint="eastAsia"/>
              </w:rPr>
            </w:pPr>
            <w:r>
              <w:rPr>
                <w:sz w:val="16"/>
              </w:rPr>
              <w:t>Science</w:t>
            </w:r>
          </w:p>
        </w:tc>
        <w:tc>
          <w:tcPr>
            <w:tcW w:w="2304" w:type="dxa"/>
            <w:shd w:val="clear" w:color="auto" w:fill="F7F9FA"/>
            <w:tcMar>
              <w:top w:w="100" w:type="dxa"/>
              <w:left w:w="110" w:type="dxa"/>
              <w:bottom w:w="100" w:type="dxa"/>
              <w:right w:w="110" w:type="dxa"/>
            </w:tcMar>
            <w:vAlign w:val="center"/>
          </w:tcPr>
          <w:p w14:paraId="3F4DCFC7" w14:textId="77777777" w:rsidR="0002766A" w:rsidRDefault="00A96132">
            <w:pPr>
              <w:jc w:val="center"/>
              <w:rPr>
                <w:rFonts w:hint="eastAsia"/>
              </w:rPr>
            </w:pPr>
            <w:r>
              <w:rPr>
                <w:sz w:val="16"/>
              </w:rPr>
              <w:t>Material Science</w:t>
            </w:r>
          </w:p>
        </w:tc>
        <w:tc>
          <w:tcPr>
            <w:tcW w:w="5616" w:type="dxa"/>
            <w:shd w:val="clear" w:color="auto" w:fill="F7F9FA"/>
            <w:tcMar>
              <w:top w:w="100" w:type="dxa"/>
              <w:left w:w="110" w:type="dxa"/>
              <w:bottom w:w="100" w:type="dxa"/>
              <w:right w:w="110" w:type="dxa"/>
            </w:tcMar>
            <w:vAlign w:val="center"/>
          </w:tcPr>
          <w:p w14:paraId="2728CDAD" w14:textId="77777777" w:rsidR="0002766A" w:rsidRDefault="00A96132">
            <w:pPr>
              <w:rPr>
                <w:rFonts w:hint="eastAsia"/>
              </w:rPr>
            </w:pPr>
            <w:r>
              <w:rPr>
                <w:sz w:val="16"/>
              </w:rPr>
              <w:t>Tensile Strength; Compression Strength; Shear Strength; Yield Strength; Elastic Modulus; Fatigue Strength; Fracture Toughness; Density; Thermal Conductivity</w:t>
            </w:r>
          </w:p>
        </w:tc>
      </w:tr>
      <w:tr w:rsidR="0002766A" w14:paraId="08189A49" w14:textId="77777777">
        <w:trPr>
          <w:jc w:val="center"/>
        </w:trPr>
        <w:tc>
          <w:tcPr>
            <w:tcW w:w="1584" w:type="dxa"/>
            <w:shd w:val="clear" w:color="auto" w:fill="F7F9FA"/>
            <w:tcMar>
              <w:top w:w="100" w:type="dxa"/>
              <w:left w:w="110" w:type="dxa"/>
              <w:bottom w:w="100" w:type="dxa"/>
              <w:right w:w="110" w:type="dxa"/>
            </w:tcMar>
            <w:vAlign w:val="center"/>
          </w:tcPr>
          <w:p w14:paraId="07EF780C" w14:textId="77777777" w:rsidR="0002766A" w:rsidRDefault="00A96132">
            <w:pPr>
              <w:jc w:val="center"/>
              <w:rPr>
                <w:rFonts w:hint="eastAsia"/>
              </w:rPr>
            </w:pPr>
            <w:r>
              <w:rPr>
                <w:sz w:val="16"/>
              </w:rPr>
              <w:t>Science</w:t>
            </w:r>
          </w:p>
        </w:tc>
        <w:tc>
          <w:tcPr>
            <w:tcW w:w="2304" w:type="dxa"/>
            <w:shd w:val="clear" w:color="auto" w:fill="F7F9FA"/>
            <w:tcMar>
              <w:top w:w="100" w:type="dxa"/>
              <w:left w:w="110" w:type="dxa"/>
              <w:bottom w:w="100" w:type="dxa"/>
              <w:right w:w="110" w:type="dxa"/>
            </w:tcMar>
            <w:vAlign w:val="center"/>
          </w:tcPr>
          <w:p w14:paraId="08DD2806" w14:textId="77777777" w:rsidR="0002766A" w:rsidRDefault="00A96132">
            <w:pPr>
              <w:jc w:val="center"/>
              <w:rPr>
                <w:rFonts w:hint="eastAsia"/>
              </w:rPr>
            </w:pPr>
            <w:r>
              <w:rPr>
                <w:sz w:val="16"/>
              </w:rPr>
              <w:t>Cybernetics</w:t>
            </w:r>
          </w:p>
        </w:tc>
        <w:tc>
          <w:tcPr>
            <w:tcW w:w="5616" w:type="dxa"/>
            <w:shd w:val="clear" w:color="auto" w:fill="F7F9FA"/>
            <w:tcMar>
              <w:top w:w="100" w:type="dxa"/>
              <w:left w:w="110" w:type="dxa"/>
              <w:bottom w:w="100" w:type="dxa"/>
              <w:right w:w="110" w:type="dxa"/>
            </w:tcMar>
            <w:vAlign w:val="center"/>
          </w:tcPr>
          <w:p w14:paraId="2755227B" w14:textId="77777777" w:rsidR="0002766A" w:rsidRDefault="00A96132">
            <w:pPr>
              <w:rPr>
                <w:rFonts w:hint="eastAsia"/>
              </w:rPr>
            </w:pPr>
            <w:r>
              <w:rPr>
                <w:sz w:val="16"/>
              </w:rPr>
              <w:t>Gain; Damping; Response Time; Feedback Delay; Stability Margin; Noise; Thresholds; other measured or reference control quantities</w:t>
            </w:r>
          </w:p>
        </w:tc>
      </w:tr>
      <w:tr w:rsidR="0002766A" w14:paraId="70785D81" w14:textId="77777777">
        <w:trPr>
          <w:jc w:val="center"/>
        </w:trPr>
        <w:tc>
          <w:tcPr>
            <w:tcW w:w="1584" w:type="dxa"/>
            <w:shd w:val="clear" w:color="auto" w:fill="F7F9FA"/>
            <w:tcMar>
              <w:top w:w="100" w:type="dxa"/>
              <w:left w:w="110" w:type="dxa"/>
              <w:bottom w:w="100" w:type="dxa"/>
              <w:right w:w="110" w:type="dxa"/>
            </w:tcMar>
            <w:vAlign w:val="center"/>
          </w:tcPr>
          <w:p w14:paraId="32E38E94" w14:textId="77777777" w:rsidR="0002766A" w:rsidRDefault="00A96132">
            <w:pPr>
              <w:jc w:val="center"/>
              <w:rPr>
                <w:rFonts w:hint="eastAsia"/>
              </w:rPr>
            </w:pPr>
            <w:r>
              <w:rPr>
                <w:sz w:val="16"/>
              </w:rPr>
              <w:t>Science</w:t>
            </w:r>
          </w:p>
        </w:tc>
        <w:tc>
          <w:tcPr>
            <w:tcW w:w="2304" w:type="dxa"/>
            <w:shd w:val="clear" w:color="auto" w:fill="F7F9FA"/>
            <w:tcMar>
              <w:top w:w="100" w:type="dxa"/>
              <w:left w:w="110" w:type="dxa"/>
              <w:bottom w:w="100" w:type="dxa"/>
              <w:right w:w="110" w:type="dxa"/>
            </w:tcMar>
            <w:vAlign w:val="center"/>
          </w:tcPr>
          <w:p w14:paraId="5EE1961C" w14:textId="77777777" w:rsidR="0002766A" w:rsidRDefault="00A96132">
            <w:pPr>
              <w:jc w:val="center"/>
              <w:rPr>
                <w:rFonts w:hint="eastAsia"/>
              </w:rPr>
            </w:pPr>
            <w:r>
              <w:rPr>
                <w:sz w:val="16"/>
              </w:rPr>
              <w:t>Chemistry</w:t>
            </w:r>
          </w:p>
        </w:tc>
        <w:tc>
          <w:tcPr>
            <w:tcW w:w="5616" w:type="dxa"/>
            <w:shd w:val="clear" w:color="auto" w:fill="F7F9FA"/>
            <w:tcMar>
              <w:top w:w="100" w:type="dxa"/>
              <w:left w:w="110" w:type="dxa"/>
              <w:bottom w:w="100" w:type="dxa"/>
              <w:right w:w="110" w:type="dxa"/>
            </w:tcMar>
            <w:vAlign w:val="center"/>
          </w:tcPr>
          <w:p w14:paraId="0F48A1EB" w14:textId="77777777" w:rsidR="0002766A" w:rsidRDefault="00A96132">
            <w:pPr>
              <w:rPr>
                <w:rFonts w:hint="eastAsia"/>
              </w:rPr>
            </w:pPr>
            <w:r>
              <w:rPr>
                <w:sz w:val="16"/>
              </w:rPr>
              <w:t>Organic Chemistry; Biochemistry; Physical Chemistry; Analytical Chemistry; other governed quantitative domain Families</w:t>
            </w:r>
          </w:p>
        </w:tc>
      </w:tr>
    </w:tbl>
    <w:p w14:paraId="54A8135A" w14:textId="77777777" w:rsidR="0002766A" w:rsidRDefault="0002766A">
      <w:pPr>
        <w:spacing w:after="60"/>
        <w:rPr>
          <w:rFonts w:hint="eastAsia"/>
        </w:rPr>
      </w:pPr>
    </w:p>
    <w:p w14:paraId="4EFB3657" w14:textId="77777777" w:rsidR="0002766A" w:rsidRDefault="00A96132">
      <w:pPr>
        <w:rPr>
          <w:rFonts w:hint="eastAsia"/>
        </w:rPr>
      </w:pPr>
      <w:r>
        <w:t>These are starting examples, not claims that every scientific quantity must be organized under these exact Families. The RESIDUAL hierarchy is deliberately versioned and extensible so the system can adopt better organization as actual datasets and research communities are incorporated.</w:t>
      </w:r>
    </w:p>
    <w:p w14:paraId="16608EDC" w14:textId="77777777" w:rsidR="0002766A" w:rsidRDefault="00A96132">
      <w:pPr>
        <w:pStyle w:val="Heading2"/>
      </w:pPr>
      <w:r>
        <w:t>25. Conformance Checklist</w:t>
      </w:r>
    </w:p>
    <w:tbl>
      <w:tblPr>
        <w:tblW w:w="0" w:type="auto"/>
        <w:jc w:val="center"/>
        <w:tblLayout w:type="fixed"/>
        <w:tblLook w:val="04A0" w:firstRow="1" w:lastRow="0" w:firstColumn="1" w:lastColumn="0" w:noHBand="0" w:noVBand="1"/>
      </w:tblPr>
      <w:tblGrid>
        <w:gridCol w:w="1008"/>
        <w:gridCol w:w="8496"/>
      </w:tblGrid>
      <w:tr w:rsidR="0002766A" w14:paraId="0282E720" w14:textId="77777777">
        <w:trPr>
          <w:tblHeader/>
          <w:jc w:val="center"/>
        </w:trPr>
        <w:tc>
          <w:tcPr>
            <w:tcW w:w="1008" w:type="dxa"/>
            <w:shd w:val="clear" w:color="auto" w:fill="102C43"/>
            <w:tcMar>
              <w:top w:w="110" w:type="dxa"/>
              <w:left w:w="110" w:type="dxa"/>
              <w:bottom w:w="110" w:type="dxa"/>
              <w:right w:w="110" w:type="dxa"/>
            </w:tcMar>
            <w:vAlign w:val="center"/>
          </w:tcPr>
          <w:p w14:paraId="11554CF1" w14:textId="77777777" w:rsidR="0002766A" w:rsidRDefault="00A96132">
            <w:pPr>
              <w:jc w:val="center"/>
              <w:rPr>
                <w:rFonts w:hint="eastAsia"/>
              </w:rPr>
            </w:pPr>
            <w:r>
              <w:rPr>
                <w:b/>
                <w:color w:val="FFFFFF"/>
                <w:sz w:val="17"/>
              </w:rPr>
              <w:t>ID</w:t>
            </w:r>
          </w:p>
        </w:tc>
        <w:tc>
          <w:tcPr>
            <w:tcW w:w="8496" w:type="dxa"/>
            <w:shd w:val="clear" w:color="auto" w:fill="102C43"/>
            <w:tcMar>
              <w:top w:w="110" w:type="dxa"/>
              <w:left w:w="110" w:type="dxa"/>
              <w:bottom w:w="110" w:type="dxa"/>
              <w:right w:w="110" w:type="dxa"/>
            </w:tcMar>
            <w:vAlign w:val="center"/>
          </w:tcPr>
          <w:p w14:paraId="107563D0" w14:textId="77777777" w:rsidR="0002766A" w:rsidRDefault="00A96132">
            <w:pPr>
              <w:jc w:val="center"/>
              <w:rPr>
                <w:rFonts w:hint="eastAsia"/>
              </w:rPr>
            </w:pPr>
            <w:r>
              <w:rPr>
                <w:b/>
                <w:color w:val="FFFFFF"/>
                <w:sz w:val="17"/>
              </w:rPr>
              <w:t>Check</w:t>
            </w:r>
          </w:p>
        </w:tc>
      </w:tr>
      <w:tr w:rsidR="0002766A" w14:paraId="6C28BF07" w14:textId="77777777">
        <w:trPr>
          <w:jc w:val="center"/>
        </w:trPr>
        <w:tc>
          <w:tcPr>
            <w:tcW w:w="1008" w:type="dxa"/>
            <w:shd w:val="clear" w:color="auto" w:fill="F7F9FA"/>
            <w:tcMar>
              <w:top w:w="100" w:type="dxa"/>
              <w:left w:w="110" w:type="dxa"/>
              <w:bottom w:w="100" w:type="dxa"/>
              <w:right w:w="110" w:type="dxa"/>
            </w:tcMar>
            <w:vAlign w:val="center"/>
          </w:tcPr>
          <w:p w14:paraId="72E971D1" w14:textId="77777777" w:rsidR="0002766A" w:rsidRDefault="00A96132">
            <w:pPr>
              <w:jc w:val="center"/>
              <w:rPr>
                <w:rFonts w:hint="eastAsia"/>
              </w:rPr>
            </w:pPr>
            <w:r>
              <w:rPr>
                <w:sz w:val="17"/>
              </w:rPr>
              <w:t>C01</w:t>
            </w:r>
          </w:p>
        </w:tc>
        <w:tc>
          <w:tcPr>
            <w:tcW w:w="8496" w:type="dxa"/>
            <w:shd w:val="clear" w:color="auto" w:fill="F7F9FA"/>
            <w:tcMar>
              <w:top w:w="100" w:type="dxa"/>
              <w:left w:w="110" w:type="dxa"/>
              <w:bottom w:w="100" w:type="dxa"/>
              <w:right w:w="110" w:type="dxa"/>
            </w:tcMar>
            <w:vAlign w:val="center"/>
          </w:tcPr>
          <w:p w14:paraId="00C04BCE" w14:textId="77777777" w:rsidR="0002766A" w:rsidRDefault="00A96132">
            <w:pPr>
              <w:rPr>
                <w:rFonts w:hint="eastAsia"/>
              </w:rPr>
            </w:pPr>
            <w:r>
              <w:rPr>
                <w:sz w:val="17"/>
              </w:rPr>
              <w:t>Every governed Constant resolves through one Family, Community, and World path.</w:t>
            </w:r>
          </w:p>
        </w:tc>
      </w:tr>
      <w:tr w:rsidR="0002766A" w14:paraId="786E0CD8" w14:textId="77777777">
        <w:trPr>
          <w:jc w:val="center"/>
        </w:trPr>
        <w:tc>
          <w:tcPr>
            <w:tcW w:w="1008" w:type="dxa"/>
            <w:shd w:val="clear" w:color="auto" w:fill="F7F9FA"/>
            <w:tcMar>
              <w:top w:w="100" w:type="dxa"/>
              <w:left w:w="110" w:type="dxa"/>
              <w:bottom w:w="100" w:type="dxa"/>
              <w:right w:w="110" w:type="dxa"/>
            </w:tcMar>
            <w:vAlign w:val="center"/>
          </w:tcPr>
          <w:p w14:paraId="72355B4A" w14:textId="77777777" w:rsidR="0002766A" w:rsidRDefault="00A96132">
            <w:pPr>
              <w:jc w:val="center"/>
              <w:rPr>
                <w:rFonts w:hint="eastAsia"/>
              </w:rPr>
            </w:pPr>
            <w:r>
              <w:rPr>
                <w:sz w:val="17"/>
              </w:rPr>
              <w:t>C02</w:t>
            </w:r>
          </w:p>
        </w:tc>
        <w:tc>
          <w:tcPr>
            <w:tcW w:w="8496" w:type="dxa"/>
            <w:shd w:val="clear" w:color="auto" w:fill="F7F9FA"/>
            <w:tcMar>
              <w:top w:w="100" w:type="dxa"/>
              <w:left w:w="110" w:type="dxa"/>
              <w:bottom w:w="100" w:type="dxa"/>
              <w:right w:w="110" w:type="dxa"/>
            </w:tcMar>
            <w:vAlign w:val="center"/>
          </w:tcPr>
          <w:p w14:paraId="03FC12E8" w14:textId="77777777" w:rsidR="0002766A" w:rsidRDefault="00A96132">
            <w:pPr>
              <w:rPr>
                <w:rFonts w:hint="eastAsia"/>
              </w:rPr>
            </w:pPr>
            <w:r>
              <w:rPr>
                <w:sz w:val="17"/>
              </w:rPr>
              <w:t>Every Family resolves to an exact quantitative table or declared data surface.</w:t>
            </w:r>
          </w:p>
        </w:tc>
      </w:tr>
      <w:tr w:rsidR="0002766A" w14:paraId="14B73267" w14:textId="77777777">
        <w:trPr>
          <w:jc w:val="center"/>
        </w:trPr>
        <w:tc>
          <w:tcPr>
            <w:tcW w:w="1008" w:type="dxa"/>
            <w:shd w:val="clear" w:color="auto" w:fill="F7F9FA"/>
            <w:tcMar>
              <w:top w:w="100" w:type="dxa"/>
              <w:left w:w="110" w:type="dxa"/>
              <w:bottom w:w="100" w:type="dxa"/>
              <w:right w:w="110" w:type="dxa"/>
            </w:tcMar>
            <w:vAlign w:val="center"/>
          </w:tcPr>
          <w:p w14:paraId="30EFAE02" w14:textId="77777777" w:rsidR="0002766A" w:rsidRDefault="00A96132">
            <w:pPr>
              <w:jc w:val="center"/>
              <w:rPr>
                <w:rFonts w:hint="eastAsia"/>
              </w:rPr>
            </w:pPr>
            <w:r>
              <w:rPr>
                <w:sz w:val="17"/>
              </w:rPr>
              <w:t>C03</w:t>
            </w:r>
          </w:p>
        </w:tc>
        <w:tc>
          <w:tcPr>
            <w:tcW w:w="8496" w:type="dxa"/>
            <w:shd w:val="clear" w:color="auto" w:fill="F7F9FA"/>
            <w:tcMar>
              <w:top w:w="100" w:type="dxa"/>
              <w:left w:w="110" w:type="dxa"/>
              <w:bottom w:w="100" w:type="dxa"/>
              <w:right w:w="110" w:type="dxa"/>
            </w:tcMar>
            <w:vAlign w:val="center"/>
          </w:tcPr>
          <w:p w14:paraId="75F36002" w14:textId="77777777" w:rsidR="0002766A" w:rsidRDefault="00A96132">
            <w:pPr>
              <w:rPr>
                <w:rFonts w:hint="eastAsia"/>
              </w:rPr>
            </w:pPr>
            <w:r>
              <w:rPr>
                <w:sz w:val="17"/>
              </w:rPr>
              <w:t>Every quantitative cell has an interpretable unit through a paired field or governed unit contract.</w:t>
            </w:r>
          </w:p>
        </w:tc>
      </w:tr>
      <w:tr w:rsidR="0002766A" w14:paraId="79C7EB0C" w14:textId="77777777">
        <w:trPr>
          <w:jc w:val="center"/>
        </w:trPr>
        <w:tc>
          <w:tcPr>
            <w:tcW w:w="1008" w:type="dxa"/>
            <w:shd w:val="clear" w:color="auto" w:fill="F7F9FA"/>
            <w:tcMar>
              <w:top w:w="100" w:type="dxa"/>
              <w:left w:w="110" w:type="dxa"/>
              <w:bottom w:w="100" w:type="dxa"/>
              <w:right w:w="110" w:type="dxa"/>
            </w:tcMar>
            <w:vAlign w:val="center"/>
          </w:tcPr>
          <w:p w14:paraId="53154EB1" w14:textId="77777777" w:rsidR="0002766A" w:rsidRDefault="00A96132">
            <w:pPr>
              <w:jc w:val="center"/>
              <w:rPr>
                <w:rFonts w:hint="eastAsia"/>
              </w:rPr>
            </w:pPr>
            <w:r>
              <w:rPr>
                <w:sz w:val="17"/>
              </w:rPr>
              <w:t>C04</w:t>
            </w:r>
          </w:p>
        </w:tc>
        <w:tc>
          <w:tcPr>
            <w:tcW w:w="8496" w:type="dxa"/>
            <w:shd w:val="clear" w:color="auto" w:fill="F7F9FA"/>
            <w:tcMar>
              <w:top w:w="100" w:type="dxa"/>
              <w:left w:w="110" w:type="dxa"/>
              <w:bottom w:w="100" w:type="dxa"/>
              <w:right w:w="110" w:type="dxa"/>
            </w:tcMar>
            <w:vAlign w:val="center"/>
          </w:tcPr>
          <w:p w14:paraId="7378BBC2" w14:textId="77777777" w:rsidR="0002766A" w:rsidRDefault="00A96132">
            <w:pPr>
              <w:rPr>
                <w:rFonts w:hint="eastAsia"/>
              </w:rPr>
            </w:pPr>
            <w:r>
              <w:rPr>
                <w:sz w:val="17"/>
              </w:rPr>
              <w:t>Context-sensitive values do not silently generalize beyond declared applicability.</w:t>
            </w:r>
          </w:p>
        </w:tc>
      </w:tr>
      <w:tr w:rsidR="0002766A" w14:paraId="0D11E087" w14:textId="77777777">
        <w:trPr>
          <w:jc w:val="center"/>
        </w:trPr>
        <w:tc>
          <w:tcPr>
            <w:tcW w:w="1008" w:type="dxa"/>
            <w:shd w:val="clear" w:color="auto" w:fill="F7F9FA"/>
            <w:tcMar>
              <w:top w:w="100" w:type="dxa"/>
              <w:left w:w="110" w:type="dxa"/>
              <w:bottom w:w="100" w:type="dxa"/>
              <w:right w:w="110" w:type="dxa"/>
            </w:tcMar>
            <w:vAlign w:val="center"/>
          </w:tcPr>
          <w:p w14:paraId="05912905" w14:textId="77777777" w:rsidR="0002766A" w:rsidRDefault="00A96132">
            <w:pPr>
              <w:jc w:val="center"/>
              <w:rPr>
                <w:rFonts w:hint="eastAsia"/>
              </w:rPr>
            </w:pPr>
            <w:r>
              <w:rPr>
                <w:sz w:val="17"/>
              </w:rPr>
              <w:t>C05</w:t>
            </w:r>
          </w:p>
        </w:tc>
        <w:tc>
          <w:tcPr>
            <w:tcW w:w="8496" w:type="dxa"/>
            <w:shd w:val="clear" w:color="auto" w:fill="F7F9FA"/>
            <w:tcMar>
              <w:top w:w="100" w:type="dxa"/>
              <w:left w:w="110" w:type="dxa"/>
              <w:bottom w:w="100" w:type="dxa"/>
              <w:right w:w="110" w:type="dxa"/>
            </w:tcMar>
            <w:vAlign w:val="center"/>
          </w:tcPr>
          <w:p w14:paraId="2CDF4975" w14:textId="77777777" w:rsidR="0002766A" w:rsidRDefault="00A96132">
            <w:pPr>
              <w:rPr>
                <w:rFonts w:hint="eastAsia"/>
              </w:rPr>
            </w:pPr>
            <w:r>
              <w:rPr>
                <w:sz w:val="17"/>
              </w:rPr>
              <w:t>Multiple evidence records may coexist without forced flattening.</w:t>
            </w:r>
          </w:p>
        </w:tc>
      </w:tr>
      <w:tr w:rsidR="0002766A" w14:paraId="35AAFDDF" w14:textId="77777777">
        <w:trPr>
          <w:jc w:val="center"/>
        </w:trPr>
        <w:tc>
          <w:tcPr>
            <w:tcW w:w="1008" w:type="dxa"/>
            <w:shd w:val="clear" w:color="auto" w:fill="F7F9FA"/>
            <w:tcMar>
              <w:top w:w="100" w:type="dxa"/>
              <w:left w:w="110" w:type="dxa"/>
              <w:bottom w:w="100" w:type="dxa"/>
              <w:right w:w="110" w:type="dxa"/>
            </w:tcMar>
            <w:vAlign w:val="center"/>
          </w:tcPr>
          <w:p w14:paraId="01DF586A" w14:textId="77777777" w:rsidR="0002766A" w:rsidRDefault="00A96132">
            <w:pPr>
              <w:jc w:val="center"/>
              <w:rPr>
                <w:rFonts w:hint="eastAsia"/>
              </w:rPr>
            </w:pPr>
            <w:r>
              <w:rPr>
                <w:sz w:val="17"/>
              </w:rPr>
              <w:t>C06</w:t>
            </w:r>
          </w:p>
        </w:tc>
        <w:tc>
          <w:tcPr>
            <w:tcW w:w="8496" w:type="dxa"/>
            <w:shd w:val="clear" w:color="auto" w:fill="F7F9FA"/>
            <w:tcMar>
              <w:top w:w="100" w:type="dxa"/>
              <w:left w:w="110" w:type="dxa"/>
              <w:bottom w:w="100" w:type="dxa"/>
              <w:right w:w="110" w:type="dxa"/>
            </w:tcMar>
            <w:vAlign w:val="center"/>
          </w:tcPr>
          <w:p w14:paraId="704F84EA" w14:textId="77777777" w:rsidR="0002766A" w:rsidRDefault="00A96132">
            <w:pPr>
              <w:rPr>
                <w:rFonts w:hint="eastAsia"/>
              </w:rPr>
            </w:pPr>
            <w:r>
              <w:rPr>
                <w:sz w:val="17"/>
              </w:rPr>
              <w:t>Current/superseded/disputed status affects routing but preserves history.</w:t>
            </w:r>
          </w:p>
        </w:tc>
      </w:tr>
      <w:tr w:rsidR="0002766A" w14:paraId="4D52CE38" w14:textId="77777777">
        <w:trPr>
          <w:jc w:val="center"/>
        </w:trPr>
        <w:tc>
          <w:tcPr>
            <w:tcW w:w="1008" w:type="dxa"/>
            <w:shd w:val="clear" w:color="auto" w:fill="F7F9FA"/>
            <w:tcMar>
              <w:top w:w="100" w:type="dxa"/>
              <w:left w:w="110" w:type="dxa"/>
              <w:bottom w:w="100" w:type="dxa"/>
              <w:right w:w="110" w:type="dxa"/>
            </w:tcMar>
            <w:vAlign w:val="center"/>
          </w:tcPr>
          <w:p w14:paraId="7BDA1DF6" w14:textId="77777777" w:rsidR="0002766A" w:rsidRDefault="00A96132">
            <w:pPr>
              <w:jc w:val="center"/>
              <w:rPr>
                <w:rFonts w:hint="eastAsia"/>
              </w:rPr>
            </w:pPr>
            <w:r>
              <w:rPr>
                <w:sz w:val="17"/>
              </w:rPr>
              <w:t>C07</w:t>
            </w:r>
          </w:p>
        </w:tc>
        <w:tc>
          <w:tcPr>
            <w:tcW w:w="8496" w:type="dxa"/>
            <w:shd w:val="clear" w:color="auto" w:fill="F7F9FA"/>
            <w:tcMar>
              <w:top w:w="100" w:type="dxa"/>
              <w:left w:w="110" w:type="dxa"/>
              <w:bottom w:w="100" w:type="dxa"/>
              <w:right w:w="110" w:type="dxa"/>
            </w:tcMar>
            <w:vAlign w:val="center"/>
          </w:tcPr>
          <w:p w14:paraId="79BC7148" w14:textId="77777777" w:rsidR="0002766A" w:rsidRDefault="00A96132">
            <w:pPr>
              <w:rPr>
                <w:rFonts w:hint="eastAsia"/>
              </w:rPr>
            </w:pPr>
            <w:r>
              <w:rPr>
                <w:sz w:val="17"/>
              </w:rPr>
              <w:t>Semiotic meaning and RESIDUAL quantity remain separately governed and explicitly linked.</w:t>
            </w:r>
          </w:p>
        </w:tc>
      </w:tr>
      <w:tr w:rsidR="0002766A" w14:paraId="3DC7818D" w14:textId="77777777">
        <w:trPr>
          <w:jc w:val="center"/>
        </w:trPr>
        <w:tc>
          <w:tcPr>
            <w:tcW w:w="1008" w:type="dxa"/>
            <w:shd w:val="clear" w:color="auto" w:fill="F7F9FA"/>
            <w:tcMar>
              <w:top w:w="100" w:type="dxa"/>
              <w:left w:w="110" w:type="dxa"/>
              <w:bottom w:w="100" w:type="dxa"/>
              <w:right w:w="110" w:type="dxa"/>
            </w:tcMar>
            <w:vAlign w:val="center"/>
          </w:tcPr>
          <w:p w14:paraId="7CBE05F1" w14:textId="77777777" w:rsidR="0002766A" w:rsidRDefault="00A96132">
            <w:pPr>
              <w:jc w:val="center"/>
              <w:rPr>
                <w:rFonts w:hint="eastAsia"/>
              </w:rPr>
            </w:pPr>
            <w:r>
              <w:rPr>
                <w:sz w:val="17"/>
              </w:rPr>
              <w:t>C08</w:t>
            </w:r>
          </w:p>
        </w:tc>
        <w:tc>
          <w:tcPr>
            <w:tcW w:w="8496" w:type="dxa"/>
            <w:shd w:val="clear" w:color="auto" w:fill="F7F9FA"/>
            <w:tcMar>
              <w:top w:w="100" w:type="dxa"/>
              <w:left w:w="110" w:type="dxa"/>
              <w:bottom w:w="100" w:type="dxa"/>
              <w:right w:w="110" w:type="dxa"/>
            </w:tcMar>
            <w:vAlign w:val="center"/>
          </w:tcPr>
          <w:p w14:paraId="20F6F952" w14:textId="77777777" w:rsidR="0002766A" w:rsidRDefault="00A96132">
            <w:pPr>
              <w:rPr>
                <w:rFonts w:hint="eastAsia"/>
              </w:rPr>
            </w:pPr>
            <w:r>
              <w:rPr>
                <w:sz w:val="17"/>
              </w:rPr>
              <w:t>Lens calculations retain routes back to the RESIDUAL evidence they consumed.</w:t>
            </w:r>
          </w:p>
        </w:tc>
      </w:tr>
      <w:tr w:rsidR="0002766A" w14:paraId="5B33804B" w14:textId="77777777">
        <w:trPr>
          <w:jc w:val="center"/>
        </w:trPr>
        <w:tc>
          <w:tcPr>
            <w:tcW w:w="1008" w:type="dxa"/>
            <w:shd w:val="clear" w:color="auto" w:fill="F7F9FA"/>
            <w:tcMar>
              <w:top w:w="100" w:type="dxa"/>
              <w:left w:w="110" w:type="dxa"/>
              <w:bottom w:w="100" w:type="dxa"/>
              <w:right w:w="110" w:type="dxa"/>
            </w:tcMar>
            <w:vAlign w:val="center"/>
          </w:tcPr>
          <w:p w14:paraId="29C1D1FF" w14:textId="77777777" w:rsidR="0002766A" w:rsidRDefault="00A96132">
            <w:pPr>
              <w:jc w:val="center"/>
              <w:rPr>
                <w:rFonts w:hint="eastAsia"/>
              </w:rPr>
            </w:pPr>
            <w:r>
              <w:rPr>
                <w:sz w:val="17"/>
              </w:rPr>
              <w:t>C09</w:t>
            </w:r>
          </w:p>
        </w:tc>
        <w:tc>
          <w:tcPr>
            <w:tcW w:w="8496" w:type="dxa"/>
            <w:shd w:val="clear" w:color="auto" w:fill="F7F9FA"/>
            <w:tcMar>
              <w:top w:w="100" w:type="dxa"/>
              <w:left w:w="110" w:type="dxa"/>
              <w:bottom w:w="100" w:type="dxa"/>
              <w:right w:w="110" w:type="dxa"/>
            </w:tcMar>
            <w:vAlign w:val="center"/>
          </w:tcPr>
          <w:p w14:paraId="0BA1D9F7" w14:textId="77777777" w:rsidR="0002766A" w:rsidRDefault="00A96132">
            <w:pPr>
              <w:rPr>
                <w:rFonts w:hint="eastAsia"/>
              </w:rPr>
            </w:pPr>
            <w:r>
              <w:rPr>
                <w:sz w:val="17"/>
              </w:rPr>
              <w:t>Source correction changes the recorded representation, not the ontological status of external reality.</w:t>
            </w:r>
          </w:p>
        </w:tc>
      </w:tr>
      <w:tr w:rsidR="0002766A" w14:paraId="63019065" w14:textId="77777777">
        <w:trPr>
          <w:jc w:val="center"/>
        </w:trPr>
        <w:tc>
          <w:tcPr>
            <w:tcW w:w="1008" w:type="dxa"/>
            <w:shd w:val="clear" w:color="auto" w:fill="F7F9FA"/>
            <w:tcMar>
              <w:top w:w="100" w:type="dxa"/>
              <w:left w:w="110" w:type="dxa"/>
              <w:bottom w:w="100" w:type="dxa"/>
              <w:right w:w="110" w:type="dxa"/>
            </w:tcMar>
            <w:vAlign w:val="center"/>
          </w:tcPr>
          <w:p w14:paraId="61CD937D" w14:textId="77777777" w:rsidR="0002766A" w:rsidRDefault="00A96132">
            <w:pPr>
              <w:jc w:val="center"/>
              <w:rPr>
                <w:rFonts w:hint="eastAsia"/>
              </w:rPr>
            </w:pPr>
            <w:r>
              <w:rPr>
                <w:sz w:val="17"/>
              </w:rPr>
              <w:t>C10</w:t>
            </w:r>
          </w:p>
        </w:tc>
        <w:tc>
          <w:tcPr>
            <w:tcW w:w="8496" w:type="dxa"/>
            <w:shd w:val="clear" w:color="auto" w:fill="F7F9FA"/>
            <w:tcMar>
              <w:top w:w="100" w:type="dxa"/>
              <w:left w:w="110" w:type="dxa"/>
              <w:bottom w:w="100" w:type="dxa"/>
              <w:right w:w="110" w:type="dxa"/>
            </w:tcMar>
            <w:vAlign w:val="center"/>
          </w:tcPr>
          <w:p w14:paraId="269FFEE0" w14:textId="77777777" w:rsidR="0002766A" w:rsidRDefault="00A96132">
            <w:pPr>
              <w:rPr>
                <w:rFonts w:hint="eastAsia"/>
              </w:rPr>
            </w:pPr>
            <w:r>
              <w:rPr>
                <w:sz w:val="17"/>
              </w:rPr>
              <w:t>Historical uses can resolve the RESIDUAL version and provenance originally available to them.</w:t>
            </w:r>
          </w:p>
        </w:tc>
      </w:tr>
    </w:tbl>
    <w:p w14:paraId="4E0D554C" w14:textId="77777777" w:rsidR="0002766A" w:rsidRDefault="0002766A">
      <w:pPr>
        <w:spacing w:after="60"/>
        <w:rPr>
          <w:rFonts w:hint="eastAsia"/>
        </w:rPr>
      </w:pPr>
    </w:p>
    <w:p w14:paraId="708E1FF2" w14:textId="77777777" w:rsidR="0002766A" w:rsidRDefault="00A96132">
      <w:pPr>
        <w:pStyle w:val="Heading2"/>
      </w:pPr>
      <w:r>
        <w:t>26. Closing Architecture Statement</w:t>
      </w:r>
    </w:p>
    <w:p w14:paraId="176C70DE" w14:textId="77777777" w:rsidR="0002766A" w:rsidRDefault="00A96132">
      <w:pPr>
        <w:rPr>
          <w:rFonts w:hint="eastAsia"/>
        </w:rPr>
      </w:pPr>
      <w:r>
        <w:t>RESIDUAL gives CERBERUS a quantitative memory of humanity’s encounters with reality. It does not reduce reality to the values we happen to have recorded, and it does not force one interpretation to own the evidence. A Constant can remain singular and precise; Families can become enormous dense tables; Communities and Worlds can provide domain-scale organization; Semiotics can explain what the values mean; Lenses can reuse them dynamically; and provenance can preserve the intellectual and experimental work t</w:t>
      </w:r>
      <w:r>
        <w:t>hat made the values available in the first place.</w:t>
      </w:r>
    </w:p>
    <w:tbl>
      <w:tblPr>
        <w:tblW w:w="0" w:type="auto"/>
        <w:jc w:val="center"/>
        <w:tblLayout w:type="fixed"/>
        <w:tblLook w:val="04A0" w:firstRow="1" w:lastRow="0" w:firstColumn="1" w:lastColumn="0" w:noHBand="0" w:noVBand="1"/>
      </w:tblPr>
      <w:tblGrid>
        <w:gridCol w:w="10166"/>
      </w:tblGrid>
      <w:tr w:rsidR="0002766A" w14:paraId="070C42F8" w14:textId="77777777">
        <w:trPr>
          <w:jc w:val="center"/>
        </w:trPr>
        <w:tc>
          <w:tcPr>
            <w:tcW w:w="10166" w:type="dxa"/>
            <w:shd w:val="clear" w:color="auto" w:fill="F2EAE4"/>
            <w:tcMar>
              <w:top w:w="140" w:type="dxa"/>
              <w:left w:w="180" w:type="dxa"/>
              <w:bottom w:w="140" w:type="dxa"/>
              <w:right w:w="180" w:type="dxa"/>
            </w:tcMar>
          </w:tcPr>
          <w:p w14:paraId="3632A1FB" w14:textId="77777777" w:rsidR="0002766A" w:rsidRDefault="00A96132">
            <w:pPr>
              <w:spacing w:after="40"/>
              <w:rPr>
                <w:rFonts w:hint="eastAsia"/>
              </w:rPr>
            </w:pPr>
            <w:r>
              <w:rPr>
                <w:b/>
                <w:color w:val="9A5B3A"/>
                <w:sz w:val="18"/>
              </w:rPr>
              <w:t>CLOSING PRINCIPLE</w:t>
            </w:r>
          </w:p>
          <w:p w14:paraId="4F7CEFE7" w14:textId="77777777" w:rsidR="0002766A" w:rsidRDefault="00A96132">
            <w:pPr>
              <w:spacing w:after="0" w:line="252" w:lineRule="auto"/>
              <w:rPr>
                <w:rFonts w:hint="eastAsia"/>
              </w:rPr>
            </w:pPr>
            <w:r>
              <w:t>Reality exists. People study it. RESIDUAL records what they found. Lenses decide what to do with it.</w:t>
            </w:r>
          </w:p>
        </w:tc>
      </w:tr>
    </w:tbl>
    <w:p w14:paraId="7C71D398" w14:textId="77777777" w:rsidR="0002766A" w:rsidRDefault="0002766A">
      <w:pPr>
        <w:spacing w:after="40"/>
        <w:rPr>
          <w:rFonts w:hint="eastAsia"/>
        </w:rPr>
      </w:pPr>
    </w:p>
    <w:p w14:paraId="35CF7491" w14:textId="77777777" w:rsidR="0002766A" w:rsidRDefault="00A96132">
      <w:pPr>
        <w:spacing w:before="280"/>
        <w:jc w:val="center"/>
        <w:rPr>
          <w:rFonts w:hint="eastAsia"/>
        </w:rPr>
      </w:pPr>
      <w:r>
        <w:rPr>
          <w:b/>
          <w:color w:val="5B6874"/>
          <w:sz w:val="20"/>
        </w:rPr>
        <w:t>CERBERUS RESIDUAL Architecture • v0.1</w:t>
      </w:r>
    </w:p>
    <w:sectPr w:rsidR="0002766A" w:rsidSect="00034616">
      <w:footerReference w:type="default" r:id="rId40"/>
      <w:pgSz w:w="12240" w:h="15840"/>
      <w:pgMar w:top="936" w:right="1037" w:bottom="893"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5925A" w14:textId="77777777" w:rsidR="00A96132" w:rsidRDefault="00A96132">
      <w:pPr>
        <w:spacing w:after="0" w:line="240" w:lineRule="auto"/>
        <w:rPr>
          <w:rFonts w:hint="eastAsia"/>
        </w:rPr>
      </w:pPr>
      <w:r>
        <w:separator/>
      </w:r>
    </w:p>
  </w:endnote>
  <w:endnote w:type="continuationSeparator" w:id="0">
    <w:p w14:paraId="2C5BC97B" w14:textId="77777777" w:rsidR="00A96132" w:rsidRDefault="00A9613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A4D23" w14:textId="77777777" w:rsidR="0002766A" w:rsidRDefault="00A96132">
    <w:pPr>
      <w:jc w:val="center"/>
      <w:rPr>
        <w:rFonts w:hint="eastAsia"/>
      </w:rPr>
    </w:pPr>
    <w:r>
      <w:rPr>
        <w:b/>
        <w:color w:val="5B6874"/>
        <w:sz w:val="16"/>
      </w:rPr>
      <w:t>CERBERUS RESIDUAL •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9AF23" w14:textId="77777777" w:rsidR="00A96132" w:rsidRDefault="00A96132">
      <w:pPr>
        <w:spacing w:after="0" w:line="240" w:lineRule="auto"/>
        <w:rPr>
          <w:rFonts w:hint="eastAsia"/>
        </w:rPr>
      </w:pPr>
      <w:r>
        <w:separator/>
      </w:r>
    </w:p>
  </w:footnote>
  <w:footnote w:type="continuationSeparator" w:id="0">
    <w:p w14:paraId="42CA2FFB" w14:textId="77777777" w:rsidR="00A96132" w:rsidRDefault="00A96132">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86111040">
    <w:abstractNumId w:val="8"/>
  </w:num>
  <w:num w:numId="2" w16cid:durableId="172650437">
    <w:abstractNumId w:val="6"/>
  </w:num>
  <w:num w:numId="3" w16cid:durableId="1982735891">
    <w:abstractNumId w:val="5"/>
  </w:num>
  <w:num w:numId="4" w16cid:durableId="1947536218">
    <w:abstractNumId w:val="4"/>
  </w:num>
  <w:num w:numId="5" w16cid:durableId="1977758095">
    <w:abstractNumId w:val="7"/>
  </w:num>
  <w:num w:numId="6" w16cid:durableId="1671979337">
    <w:abstractNumId w:val="3"/>
  </w:num>
  <w:num w:numId="7" w16cid:durableId="1677876166">
    <w:abstractNumId w:val="2"/>
  </w:num>
  <w:num w:numId="8" w16cid:durableId="1422683633">
    <w:abstractNumId w:val="1"/>
  </w:num>
  <w:num w:numId="9" w16cid:durableId="1901864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766A"/>
    <w:rsid w:val="00034616"/>
    <w:rsid w:val="0006063C"/>
    <w:rsid w:val="0015074B"/>
    <w:rsid w:val="0029639D"/>
    <w:rsid w:val="00326F90"/>
    <w:rsid w:val="00A96132"/>
    <w:rsid w:val="00AA1D8D"/>
    <w:rsid w:val="00B4340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86C4B1"/>
  <w14:defaultImageDpi w14:val="300"/>
  <w15:docId w15:val="{B24690ED-2B92-CF49-91D5-2E846707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2313F"/>
      <w:sz w:val="21"/>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02C43"/>
      <w:sz w:val="36"/>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1E8D8D"/>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9A5B3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0283D"/>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3630</Words>
  <Characters>20693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24275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RESIDUAL Architecture</dc:title>
  <dc:subject>Recorded Experimental Statistics Informing Dynamic Utilization Across Lenses</dc:subject>
  <dc:creator>CERBERUS</dc:creator>
  <cp:keywords>RESIDUAL, quantitative evidence, provenance, constants, CERBERUS, science, lenses</cp:keywords>
  <dc:description>Architecture v0.1</dc:description>
  <cp:lastModifiedBy>Shane Conrad</cp:lastModifiedBy>
  <cp:revision>2</cp:revision>
  <dcterms:created xsi:type="dcterms:W3CDTF">2026-08-19T22:17:00Z</dcterms:created>
  <dcterms:modified xsi:type="dcterms:W3CDTF">2026-08-19T22:17:00Z</dcterms:modified>
  <cp:category/>
</cp:coreProperties>
</file>