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ED90A" w14:textId="77777777" w:rsidR="00AC1B78" w:rsidRDefault="002C0F08">
      <w:pPr>
        <w:spacing w:before="1400" w:after="140" w:line="240" w:lineRule="auto"/>
        <w:rPr>
          <w:rFonts w:hint="eastAsia"/>
        </w:rPr>
      </w:pPr>
      <w:r>
        <w:rPr>
          <w:b/>
          <w:color w:val="1F8A8A"/>
          <w:sz w:val="26"/>
        </w:rPr>
        <w:t>CERBERUS</w:t>
      </w:r>
    </w:p>
    <w:p w14:paraId="3EB93E48" w14:textId="77777777" w:rsidR="00AC1B78" w:rsidRDefault="002C0F08">
      <w:pPr>
        <w:spacing w:after="80" w:line="240" w:lineRule="auto"/>
        <w:rPr>
          <w:rFonts w:hint="eastAsia"/>
        </w:rPr>
      </w:pPr>
      <w:r>
        <w:rPr>
          <w:b/>
          <w:color w:val="17324D"/>
          <w:sz w:val="56"/>
        </w:rPr>
        <w:t>BITS BEFORE TOKENS</w:t>
      </w:r>
    </w:p>
    <w:p w14:paraId="63972E57" w14:textId="77777777" w:rsidR="00AC1B78" w:rsidRDefault="002C0F08">
      <w:pPr>
        <w:spacing w:after="320" w:line="240" w:lineRule="auto"/>
        <w:rPr>
          <w:rFonts w:hint="eastAsia"/>
        </w:rPr>
      </w:pPr>
      <w:r>
        <w:rPr>
          <w:b/>
          <w:color w:val="1F2933"/>
          <w:sz w:val="32"/>
        </w:rPr>
        <w:t>Semantic Searching through Hierarchical Bitcode Routing,</w:t>
      </w:r>
      <w:r>
        <w:rPr>
          <w:b/>
          <w:color w:val="1F2933"/>
          <w:sz w:val="32"/>
        </w:rPr>
        <w:br/>
        <w:t>Relevance Fade, and Accreted GROOVE Networks</w:t>
      </w:r>
    </w:p>
    <w:tbl>
      <w:tblPr>
        <w:tblW w:w="0" w:type="auto"/>
        <w:jc w:val="center"/>
        <w:tblLayout w:type="fixed"/>
        <w:tblLook w:val="04A0" w:firstRow="1" w:lastRow="0" w:firstColumn="1" w:lastColumn="0" w:noHBand="0" w:noVBand="1"/>
      </w:tblPr>
      <w:tblGrid>
        <w:gridCol w:w="5026"/>
        <w:gridCol w:w="5026"/>
      </w:tblGrid>
      <w:tr w:rsidR="00AC1B78" w14:paraId="6873FC48" w14:textId="77777777">
        <w:trPr>
          <w:tblHeader/>
          <w:jc w:val="center"/>
        </w:trPr>
        <w:tc>
          <w:tcPr>
            <w:tcW w:w="5026" w:type="dxa"/>
            <w:shd w:val="clear" w:color="auto" w:fill="2D6CDF"/>
            <w:tcMar>
              <w:top w:w="60" w:type="dxa"/>
              <w:left w:w="40" w:type="dxa"/>
              <w:bottom w:w="60" w:type="dxa"/>
              <w:right w:w="40" w:type="dxa"/>
            </w:tcMar>
          </w:tcPr>
          <w:p w14:paraId="39D9A5CF" w14:textId="77777777" w:rsidR="00AC1B78" w:rsidRDefault="00AC1B78">
            <w:pPr>
              <w:rPr>
                <w:rFonts w:hint="eastAsia"/>
              </w:rPr>
            </w:pPr>
          </w:p>
        </w:tc>
        <w:tc>
          <w:tcPr>
            <w:tcW w:w="5026" w:type="dxa"/>
            <w:shd w:val="clear" w:color="auto" w:fill="EAF1FB"/>
            <w:tcMar>
              <w:top w:w="110" w:type="dxa"/>
              <w:left w:w="140" w:type="dxa"/>
              <w:bottom w:w="110" w:type="dxa"/>
              <w:right w:w="140" w:type="dxa"/>
            </w:tcMar>
          </w:tcPr>
          <w:p w14:paraId="6DBAC6BF" w14:textId="77777777" w:rsidR="00AC1B78" w:rsidRDefault="002C0F08">
            <w:pPr>
              <w:spacing w:after="40" w:line="252" w:lineRule="auto"/>
              <w:rPr>
                <w:rFonts w:hint="eastAsia"/>
              </w:rPr>
            </w:pPr>
            <w:r>
              <w:rPr>
                <w:b/>
                <w:color w:val="2D6CDF"/>
                <w:sz w:val="18"/>
              </w:rPr>
              <w:t>CORE SYSTEM STATEMENT</w:t>
            </w:r>
          </w:p>
          <w:p w14:paraId="31677158" w14:textId="77777777" w:rsidR="00AC1B78" w:rsidRDefault="002C0F08">
            <w:pPr>
              <w:spacing w:after="0" w:line="259" w:lineRule="auto"/>
              <w:rPr>
                <w:rFonts w:hint="eastAsia"/>
              </w:rPr>
            </w:pPr>
            <w:r>
              <w:rPr>
                <w:color w:val="1F2933"/>
                <w:sz w:val="19"/>
              </w:rPr>
              <w:t>Use small, bounded semantic measurements to decide where expensive language-model attention is worth spending. Route broadly with tiny words. Let irrelevant meaning fade. Spend tokens only where semantics survive.</w:t>
            </w:r>
          </w:p>
        </w:tc>
      </w:tr>
    </w:tbl>
    <w:p w14:paraId="44A242A7" w14:textId="77777777" w:rsidR="00AC1B78" w:rsidRDefault="00AC1B78">
      <w:pPr>
        <w:spacing w:after="40"/>
        <w:rPr>
          <w:rFonts w:hint="eastAsia"/>
        </w:rPr>
      </w:pPr>
    </w:p>
    <w:p w14:paraId="1FE3DB1C" w14:textId="77777777" w:rsidR="00AC1B78" w:rsidRDefault="002C0F08">
      <w:pPr>
        <w:spacing w:before="160" w:after="80" w:line="240" w:lineRule="auto"/>
        <w:rPr>
          <w:rFonts w:hint="eastAsia"/>
        </w:rPr>
      </w:pPr>
      <w:r>
        <w:rPr>
          <w:b/>
          <w:color w:val="17324D"/>
          <w:sz w:val="24"/>
        </w:rPr>
        <w:t>Formal Specification v0.1</w:t>
      </w:r>
    </w:p>
    <w:p w14:paraId="03597DDE" w14:textId="77777777" w:rsidR="00AC1B78" w:rsidRDefault="002C0F08">
      <w:pPr>
        <w:spacing w:after="40" w:line="240" w:lineRule="auto"/>
        <w:rPr>
          <w:rFonts w:hint="eastAsia"/>
        </w:rPr>
      </w:pPr>
      <w:r>
        <w:rPr>
          <w:color w:val="6B7785"/>
          <w:sz w:val="19"/>
        </w:rPr>
        <w:t>15 August 2026  |  CERBERUS / SOLAR / BIGFOOT / Routing SK / GROOVE</w:t>
      </w:r>
    </w:p>
    <w:p w14:paraId="1B3E6612" w14:textId="77777777" w:rsidR="00AC1B78" w:rsidRDefault="002C0F08">
      <w:pPr>
        <w:spacing w:after="40" w:line="240" w:lineRule="auto"/>
        <w:rPr>
          <w:rFonts w:hint="eastAsia"/>
        </w:rPr>
      </w:pPr>
      <w:r>
        <w:rPr>
          <w:color w:val="6B7785"/>
          <w:sz w:val="18"/>
        </w:rPr>
        <w:t>Status: Draft reference architecture for prototype routing, retrieval, interface design, semantic budget testing, and formal revision.</w:t>
      </w:r>
    </w:p>
    <w:p w14:paraId="43DE91C3" w14:textId="77777777" w:rsidR="00AC1B78" w:rsidRDefault="002C0F08">
      <w:pPr>
        <w:rPr>
          <w:rFonts w:hint="eastAsia"/>
        </w:rPr>
      </w:pPr>
      <w:r>
        <w:br w:type="page"/>
      </w:r>
    </w:p>
    <w:p w14:paraId="4C8ABBC8" w14:textId="77777777" w:rsidR="00AC1B78" w:rsidRDefault="002C0F08">
      <w:pPr>
        <w:pStyle w:val="Heading1"/>
        <w:spacing w:before="200" w:after="100" w:line="240" w:lineRule="auto"/>
      </w:pPr>
      <w:r>
        <w:rPr>
          <w:rFonts w:ascii="Carlito" w:hAnsi="Carlito"/>
        </w:rPr>
        <w:t>Document Control</w:t>
      </w:r>
    </w:p>
    <w:tbl>
      <w:tblPr>
        <w:tblW w:w="0" w:type="auto"/>
        <w:jc w:val="center"/>
        <w:tblLayout w:type="fixed"/>
        <w:tblLook w:val="04A0" w:firstRow="1" w:lastRow="0" w:firstColumn="1" w:lastColumn="0" w:noHBand="0" w:noVBand="1"/>
      </w:tblPr>
      <w:tblGrid>
        <w:gridCol w:w="5026"/>
        <w:gridCol w:w="6797"/>
      </w:tblGrid>
      <w:tr w:rsidR="00AC1B78" w14:paraId="338C9F75" w14:textId="77777777">
        <w:trPr>
          <w:tblHeader/>
          <w:jc w:val="center"/>
        </w:trPr>
        <w:tc>
          <w:tcPr>
            <w:tcW w:w="5026" w:type="dxa"/>
            <w:shd w:val="clear" w:color="auto" w:fill="17324D"/>
            <w:tcMar>
              <w:top w:w="90" w:type="dxa"/>
              <w:left w:w="100" w:type="dxa"/>
              <w:bottom w:w="90" w:type="dxa"/>
              <w:right w:w="100" w:type="dxa"/>
            </w:tcMar>
            <w:vAlign w:val="center"/>
          </w:tcPr>
          <w:p w14:paraId="0152CE9D" w14:textId="77777777" w:rsidR="00AC1B78" w:rsidRDefault="002C0F08">
            <w:pPr>
              <w:spacing w:after="0" w:line="240" w:lineRule="auto"/>
              <w:jc w:val="center"/>
              <w:rPr>
                <w:rFonts w:hint="eastAsia"/>
              </w:rPr>
            </w:pPr>
            <w:r>
              <w:rPr>
                <w:b/>
                <w:color w:val="FFFFFF"/>
                <w:sz w:val="17"/>
              </w:rPr>
              <w:t>Field</w:t>
            </w:r>
          </w:p>
        </w:tc>
        <w:tc>
          <w:tcPr>
            <w:tcW w:w="5026" w:type="dxa"/>
            <w:shd w:val="clear" w:color="auto" w:fill="17324D"/>
            <w:tcMar>
              <w:top w:w="90" w:type="dxa"/>
              <w:left w:w="100" w:type="dxa"/>
              <w:bottom w:w="90" w:type="dxa"/>
              <w:right w:w="100" w:type="dxa"/>
            </w:tcMar>
            <w:vAlign w:val="center"/>
          </w:tcPr>
          <w:p w14:paraId="60CD002D" w14:textId="77777777" w:rsidR="00AC1B78" w:rsidRDefault="002C0F08">
            <w:pPr>
              <w:spacing w:after="0" w:line="240" w:lineRule="auto"/>
              <w:jc w:val="center"/>
              <w:rPr>
                <w:rFonts w:hint="eastAsia"/>
              </w:rPr>
            </w:pPr>
            <w:r>
              <w:rPr>
                <w:b/>
                <w:color w:val="FFFFFF"/>
                <w:sz w:val="17"/>
              </w:rPr>
              <w:t>Value</w:t>
            </w:r>
          </w:p>
        </w:tc>
      </w:tr>
      <w:tr w:rsidR="00AC1B78" w14:paraId="0661617B" w14:textId="77777777">
        <w:trPr>
          <w:jc w:val="center"/>
        </w:trPr>
        <w:tc>
          <w:tcPr>
            <w:tcW w:w="2088" w:type="dxa"/>
            <w:tcMar>
              <w:top w:w="85" w:type="dxa"/>
              <w:left w:w="95" w:type="dxa"/>
              <w:bottom w:w="85" w:type="dxa"/>
              <w:right w:w="95" w:type="dxa"/>
            </w:tcMar>
            <w:vAlign w:val="center"/>
          </w:tcPr>
          <w:p w14:paraId="34CE1A08" w14:textId="77777777" w:rsidR="00AC1B78" w:rsidRDefault="002C0F08">
            <w:pPr>
              <w:spacing w:after="0" w:line="245" w:lineRule="auto"/>
              <w:rPr>
                <w:rFonts w:hint="eastAsia"/>
              </w:rPr>
            </w:pPr>
            <w:r>
              <w:rPr>
                <w:color w:val="1F2933"/>
                <w:sz w:val="18"/>
              </w:rPr>
              <w:t>Document</w:t>
            </w:r>
          </w:p>
        </w:tc>
        <w:tc>
          <w:tcPr>
            <w:tcW w:w="6797" w:type="dxa"/>
            <w:tcMar>
              <w:top w:w="85" w:type="dxa"/>
              <w:left w:w="95" w:type="dxa"/>
              <w:bottom w:w="85" w:type="dxa"/>
              <w:right w:w="95" w:type="dxa"/>
            </w:tcMar>
            <w:vAlign w:val="center"/>
          </w:tcPr>
          <w:p w14:paraId="61C9662B" w14:textId="77777777" w:rsidR="00AC1B78" w:rsidRDefault="002C0F08">
            <w:pPr>
              <w:spacing w:after="0" w:line="245" w:lineRule="auto"/>
              <w:rPr>
                <w:rFonts w:hint="eastAsia"/>
              </w:rPr>
            </w:pPr>
            <w:r>
              <w:rPr>
                <w:color w:val="1F2933"/>
                <w:sz w:val="18"/>
              </w:rPr>
              <w:t>CERBERUS Bits Before Tokens - Semantic Searching</w:t>
            </w:r>
          </w:p>
        </w:tc>
      </w:tr>
      <w:tr w:rsidR="00AC1B78" w14:paraId="291FB09A" w14:textId="77777777">
        <w:trPr>
          <w:jc w:val="center"/>
        </w:trPr>
        <w:tc>
          <w:tcPr>
            <w:tcW w:w="2088" w:type="dxa"/>
            <w:shd w:val="clear" w:color="auto" w:fill="F7F9FB"/>
            <w:tcMar>
              <w:top w:w="85" w:type="dxa"/>
              <w:left w:w="95" w:type="dxa"/>
              <w:bottom w:w="85" w:type="dxa"/>
              <w:right w:w="95" w:type="dxa"/>
            </w:tcMar>
            <w:vAlign w:val="center"/>
          </w:tcPr>
          <w:p w14:paraId="60E567B3" w14:textId="77777777" w:rsidR="00AC1B78" w:rsidRDefault="002C0F08">
            <w:pPr>
              <w:spacing w:after="0" w:line="245" w:lineRule="auto"/>
              <w:rPr>
                <w:rFonts w:hint="eastAsia"/>
              </w:rPr>
            </w:pPr>
            <w:r>
              <w:rPr>
                <w:color w:val="1F2933"/>
                <w:sz w:val="18"/>
              </w:rPr>
              <w:t>Version</w:t>
            </w:r>
          </w:p>
        </w:tc>
        <w:tc>
          <w:tcPr>
            <w:tcW w:w="6797" w:type="dxa"/>
            <w:shd w:val="clear" w:color="auto" w:fill="F7F9FB"/>
            <w:tcMar>
              <w:top w:w="85" w:type="dxa"/>
              <w:left w:w="95" w:type="dxa"/>
              <w:bottom w:w="85" w:type="dxa"/>
              <w:right w:w="95" w:type="dxa"/>
            </w:tcMar>
            <w:vAlign w:val="center"/>
          </w:tcPr>
          <w:p w14:paraId="5BC82AD2" w14:textId="77777777" w:rsidR="00AC1B78" w:rsidRDefault="002C0F08">
            <w:pPr>
              <w:spacing w:after="0" w:line="245" w:lineRule="auto"/>
              <w:jc w:val="center"/>
              <w:rPr>
                <w:rFonts w:hint="eastAsia"/>
              </w:rPr>
            </w:pPr>
            <w:r>
              <w:rPr>
                <w:color w:val="1F2933"/>
                <w:sz w:val="18"/>
              </w:rPr>
              <w:t>0.1</w:t>
            </w:r>
          </w:p>
        </w:tc>
      </w:tr>
      <w:tr w:rsidR="00AC1B78" w14:paraId="57FEF54B" w14:textId="77777777">
        <w:trPr>
          <w:jc w:val="center"/>
        </w:trPr>
        <w:tc>
          <w:tcPr>
            <w:tcW w:w="2088" w:type="dxa"/>
            <w:tcMar>
              <w:top w:w="85" w:type="dxa"/>
              <w:left w:w="95" w:type="dxa"/>
              <w:bottom w:w="85" w:type="dxa"/>
              <w:right w:w="95" w:type="dxa"/>
            </w:tcMar>
            <w:vAlign w:val="center"/>
          </w:tcPr>
          <w:p w14:paraId="3FC6D684" w14:textId="77777777" w:rsidR="00AC1B78" w:rsidRDefault="002C0F08">
            <w:pPr>
              <w:spacing w:after="0" w:line="245" w:lineRule="auto"/>
              <w:rPr>
                <w:rFonts w:hint="eastAsia"/>
              </w:rPr>
            </w:pPr>
            <w:r>
              <w:rPr>
                <w:color w:val="1F2933"/>
                <w:sz w:val="18"/>
              </w:rPr>
              <w:t>Date</w:t>
            </w:r>
          </w:p>
        </w:tc>
        <w:tc>
          <w:tcPr>
            <w:tcW w:w="6797" w:type="dxa"/>
            <w:tcMar>
              <w:top w:w="85" w:type="dxa"/>
              <w:left w:w="95" w:type="dxa"/>
              <w:bottom w:w="85" w:type="dxa"/>
              <w:right w:w="95" w:type="dxa"/>
            </w:tcMar>
            <w:vAlign w:val="center"/>
          </w:tcPr>
          <w:p w14:paraId="4A20663C" w14:textId="77777777" w:rsidR="00AC1B78" w:rsidRDefault="002C0F08">
            <w:pPr>
              <w:spacing w:after="0" w:line="245" w:lineRule="auto"/>
              <w:rPr>
                <w:rFonts w:hint="eastAsia"/>
              </w:rPr>
            </w:pPr>
            <w:r>
              <w:rPr>
                <w:color w:val="1F2933"/>
                <w:sz w:val="18"/>
              </w:rPr>
              <w:t>15 August 2026</w:t>
            </w:r>
          </w:p>
        </w:tc>
      </w:tr>
      <w:tr w:rsidR="00AC1B78" w14:paraId="4C358A29" w14:textId="77777777">
        <w:trPr>
          <w:jc w:val="center"/>
        </w:trPr>
        <w:tc>
          <w:tcPr>
            <w:tcW w:w="2088" w:type="dxa"/>
            <w:shd w:val="clear" w:color="auto" w:fill="F7F9FB"/>
            <w:tcMar>
              <w:top w:w="85" w:type="dxa"/>
              <w:left w:w="95" w:type="dxa"/>
              <w:bottom w:w="85" w:type="dxa"/>
              <w:right w:w="95" w:type="dxa"/>
            </w:tcMar>
            <w:vAlign w:val="center"/>
          </w:tcPr>
          <w:p w14:paraId="6B1534DB" w14:textId="77777777" w:rsidR="00AC1B78" w:rsidRDefault="002C0F08">
            <w:pPr>
              <w:spacing w:after="0" w:line="245" w:lineRule="auto"/>
              <w:rPr>
                <w:rFonts w:hint="eastAsia"/>
              </w:rPr>
            </w:pPr>
            <w:r>
              <w:rPr>
                <w:color w:val="1F2933"/>
                <w:sz w:val="18"/>
              </w:rPr>
              <w:t>System</w:t>
            </w:r>
          </w:p>
        </w:tc>
        <w:tc>
          <w:tcPr>
            <w:tcW w:w="6797" w:type="dxa"/>
            <w:shd w:val="clear" w:color="auto" w:fill="F7F9FB"/>
            <w:tcMar>
              <w:top w:w="85" w:type="dxa"/>
              <w:left w:w="95" w:type="dxa"/>
              <w:bottom w:w="85" w:type="dxa"/>
              <w:right w:w="95" w:type="dxa"/>
            </w:tcMar>
            <w:vAlign w:val="center"/>
          </w:tcPr>
          <w:p w14:paraId="2799A401" w14:textId="77777777" w:rsidR="00AC1B78" w:rsidRDefault="002C0F08">
            <w:pPr>
              <w:spacing w:after="0" w:line="245" w:lineRule="auto"/>
              <w:rPr>
                <w:rFonts w:hint="eastAsia"/>
              </w:rPr>
            </w:pPr>
            <w:r>
              <w:rPr>
                <w:color w:val="1F2933"/>
                <w:sz w:val="18"/>
              </w:rPr>
              <w:t>CERBERUS / SOLAR / BIGFOOT / Routing Semantic Kernels / GROOVE</w:t>
            </w:r>
          </w:p>
        </w:tc>
      </w:tr>
      <w:tr w:rsidR="00AC1B78" w14:paraId="0BEBC573" w14:textId="77777777">
        <w:trPr>
          <w:jc w:val="center"/>
        </w:trPr>
        <w:tc>
          <w:tcPr>
            <w:tcW w:w="2088" w:type="dxa"/>
            <w:tcMar>
              <w:top w:w="85" w:type="dxa"/>
              <w:left w:w="95" w:type="dxa"/>
              <w:bottom w:w="85" w:type="dxa"/>
              <w:right w:w="95" w:type="dxa"/>
            </w:tcMar>
            <w:vAlign w:val="center"/>
          </w:tcPr>
          <w:p w14:paraId="3D0231E5" w14:textId="77777777" w:rsidR="00AC1B78" w:rsidRDefault="002C0F08">
            <w:pPr>
              <w:spacing w:after="0" w:line="245" w:lineRule="auto"/>
              <w:rPr>
                <w:rFonts w:hint="eastAsia"/>
              </w:rPr>
            </w:pPr>
            <w:r>
              <w:rPr>
                <w:color w:val="1F2933"/>
                <w:sz w:val="18"/>
              </w:rPr>
              <w:t>Specification role</w:t>
            </w:r>
          </w:p>
        </w:tc>
        <w:tc>
          <w:tcPr>
            <w:tcW w:w="6797" w:type="dxa"/>
            <w:tcMar>
              <w:top w:w="85" w:type="dxa"/>
              <w:left w:w="95" w:type="dxa"/>
              <w:bottom w:w="85" w:type="dxa"/>
              <w:right w:w="95" w:type="dxa"/>
            </w:tcMar>
            <w:vAlign w:val="center"/>
          </w:tcPr>
          <w:p w14:paraId="1840E05B" w14:textId="77777777" w:rsidR="00AC1B78" w:rsidRDefault="002C0F08">
            <w:pPr>
              <w:spacing w:after="0" w:line="245" w:lineRule="auto"/>
              <w:rPr>
                <w:rFonts w:hint="eastAsia"/>
              </w:rPr>
            </w:pPr>
            <w:r>
              <w:rPr>
                <w:color w:val="1F2933"/>
                <w:sz w:val="18"/>
              </w:rPr>
              <w:t>Defines a hierarchical semantic retrieval architecture that routes queries through bounded BitWords and GROOVE networks before loading high-volume source tokens.</w:t>
            </w:r>
          </w:p>
        </w:tc>
      </w:tr>
      <w:tr w:rsidR="00AC1B78" w14:paraId="27A02CA1" w14:textId="77777777">
        <w:trPr>
          <w:jc w:val="center"/>
        </w:trPr>
        <w:tc>
          <w:tcPr>
            <w:tcW w:w="2088" w:type="dxa"/>
            <w:shd w:val="clear" w:color="auto" w:fill="F7F9FB"/>
            <w:tcMar>
              <w:top w:w="85" w:type="dxa"/>
              <w:left w:w="95" w:type="dxa"/>
              <w:bottom w:w="85" w:type="dxa"/>
              <w:right w:w="95" w:type="dxa"/>
            </w:tcMar>
            <w:vAlign w:val="center"/>
          </w:tcPr>
          <w:p w14:paraId="6F027DB4" w14:textId="77777777" w:rsidR="00AC1B78" w:rsidRDefault="002C0F08">
            <w:pPr>
              <w:spacing w:after="0" w:line="245" w:lineRule="auto"/>
              <w:rPr>
                <w:rFonts w:hint="eastAsia"/>
              </w:rPr>
            </w:pPr>
            <w:r>
              <w:rPr>
                <w:color w:val="1F2933"/>
                <w:sz w:val="18"/>
              </w:rPr>
              <w:t>Primary design boundary</w:t>
            </w:r>
          </w:p>
        </w:tc>
        <w:tc>
          <w:tcPr>
            <w:tcW w:w="6797" w:type="dxa"/>
            <w:shd w:val="clear" w:color="auto" w:fill="F7F9FB"/>
            <w:tcMar>
              <w:top w:w="85" w:type="dxa"/>
              <w:left w:w="95" w:type="dxa"/>
              <w:bottom w:w="85" w:type="dxa"/>
              <w:right w:w="95" w:type="dxa"/>
            </w:tcMar>
            <w:vAlign w:val="center"/>
          </w:tcPr>
          <w:p w14:paraId="4D9D53AF" w14:textId="77777777" w:rsidR="00AC1B78" w:rsidRDefault="002C0F08">
            <w:pPr>
              <w:spacing w:after="0" w:line="245" w:lineRule="auto"/>
              <w:rPr>
                <w:rFonts w:hint="eastAsia"/>
              </w:rPr>
            </w:pPr>
            <w:r>
              <w:rPr>
                <w:color w:val="1F2933"/>
                <w:sz w:val="18"/>
              </w:rPr>
              <w:t>Routing metadata guides attention; source material remains the ground for consequential factual claims.</w:t>
            </w:r>
          </w:p>
        </w:tc>
      </w:tr>
      <w:tr w:rsidR="00AC1B78" w14:paraId="08758A5D" w14:textId="77777777">
        <w:trPr>
          <w:jc w:val="center"/>
        </w:trPr>
        <w:tc>
          <w:tcPr>
            <w:tcW w:w="2088" w:type="dxa"/>
            <w:tcMar>
              <w:top w:w="85" w:type="dxa"/>
              <w:left w:w="95" w:type="dxa"/>
              <w:bottom w:w="85" w:type="dxa"/>
              <w:right w:w="95" w:type="dxa"/>
            </w:tcMar>
            <w:vAlign w:val="center"/>
          </w:tcPr>
          <w:p w14:paraId="46DCDDFA" w14:textId="77777777" w:rsidR="00AC1B78" w:rsidRDefault="002C0F08">
            <w:pPr>
              <w:spacing w:after="0" w:line="245" w:lineRule="auto"/>
              <w:rPr>
                <w:rFonts w:hint="eastAsia"/>
              </w:rPr>
            </w:pPr>
            <w:r>
              <w:rPr>
                <w:color w:val="1F2933"/>
                <w:sz w:val="18"/>
              </w:rPr>
              <w:t>Normative vocabulary</w:t>
            </w:r>
          </w:p>
        </w:tc>
        <w:tc>
          <w:tcPr>
            <w:tcW w:w="6797" w:type="dxa"/>
            <w:tcMar>
              <w:top w:w="85" w:type="dxa"/>
              <w:left w:w="95" w:type="dxa"/>
              <w:bottom w:w="85" w:type="dxa"/>
              <w:right w:w="95" w:type="dxa"/>
            </w:tcMar>
            <w:vAlign w:val="center"/>
          </w:tcPr>
          <w:p w14:paraId="223C9038" w14:textId="77777777" w:rsidR="00AC1B78" w:rsidRDefault="002C0F08">
            <w:pPr>
              <w:spacing w:after="0" w:line="245" w:lineRule="auto"/>
              <w:rPr>
                <w:rFonts w:hint="eastAsia"/>
              </w:rPr>
            </w:pPr>
            <w:r>
              <w:rPr>
                <w:color w:val="1F2933"/>
                <w:sz w:val="18"/>
              </w:rPr>
              <w:t>MUST, MUST NOT, SHALL, SHALL NOT, SHOULD, SHOULD NOT, MAY</w:t>
            </w:r>
          </w:p>
        </w:tc>
      </w:tr>
      <w:tr w:rsidR="00AC1B78" w14:paraId="1416C02E" w14:textId="77777777">
        <w:trPr>
          <w:jc w:val="center"/>
        </w:trPr>
        <w:tc>
          <w:tcPr>
            <w:tcW w:w="2088" w:type="dxa"/>
            <w:shd w:val="clear" w:color="auto" w:fill="F7F9FB"/>
            <w:tcMar>
              <w:top w:w="85" w:type="dxa"/>
              <w:left w:w="95" w:type="dxa"/>
              <w:bottom w:w="85" w:type="dxa"/>
              <w:right w:w="95" w:type="dxa"/>
            </w:tcMar>
            <w:vAlign w:val="center"/>
          </w:tcPr>
          <w:p w14:paraId="2049D958" w14:textId="77777777" w:rsidR="00AC1B78" w:rsidRDefault="002C0F08">
            <w:pPr>
              <w:spacing w:after="0" w:line="245" w:lineRule="auto"/>
              <w:rPr>
                <w:rFonts w:hint="eastAsia"/>
              </w:rPr>
            </w:pPr>
            <w:r>
              <w:rPr>
                <w:color w:val="1F2933"/>
                <w:sz w:val="18"/>
              </w:rPr>
              <w:t>Implementation status</w:t>
            </w:r>
          </w:p>
        </w:tc>
        <w:tc>
          <w:tcPr>
            <w:tcW w:w="6797" w:type="dxa"/>
            <w:shd w:val="clear" w:color="auto" w:fill="F7F9FB"/>
            <w:tcMar>
              <w:top w:w="85" w:type="dxa"/>
              <w:left w:w="95" w:type="dxa"/>
              <w:bottom w:w="85" w:type="dxa"/>
              <w:right w:w="95" w:type="dxa"/>
            </w:tcMar>
            <w:vAlign w:val="center"/>
          </w:tcPr>
          <w:p w14:paraId="4C23CA5A" w14:textId="77777777" w:rsidR="00AC1B78" w:rsidRDefault="002C0F08">
            <w:pPr>
              <w:spacing w:after="0" w:line="245" w:lineRule="auto"/>
              <w:rPr>
                <w:rFonts w:hint="eastAsia"/>
              </w:rPr>
            </w:pPr>
            <w:r>
              <w:rPr>
                <w:color w:val="1F2933"/>
                <w:sz w:val="18"/>
              </w:rPr>
              <w:t>Draft for prototype evaluation and comparative retrieval testing.</w:t>
            </w:r>
          </w:p>
        </w:tc>
      </w:tr>
    </w:tbl>
    <w:p w14:paraId="47D76440" w14:textId="77777777" w:rsidR="00AC1B78" w:rsidRDefault="00AC1B78">
      <w:pPr>
        <w:spacing w:after="40"/>
        <w:rPr>
          <w:rFonts w:hint="eastAsia"/>
        </w:rPr>
      </w:pPr>
    </w:p>
    <w:p w14:paraId="2D2DC64A" w14:textId="77777777" w:rsidR="00AC1B78" w:rsidRDefault="002C0F08">
      <w:pPr>
        <w:pStyle w:val="Heading1"/>
        <w:spacing w:before="200" w:after="100" w:line="240" w:lineRule="auto"/>
      </w:pPr>
      <w:r>
        <w:rPr>
          <w:rFonts w:ascii="Carlito" w:hAnsi="Carlito"/>
        </w:rPr>
        <w:t>Abstract</w:t>
      </w:r>
    </w:p>
    <w:p w14:paraId="501CD2F5" w14:textId="77777777" w:rsidR="00AC1B78" w:rsidRDefault="002C0F08">
      <w:pPr>
        <w:spacing w:after="120" w:line="259" w:lineRule="auto"/>
        <w:rPr>
          <w:rFonts w:hint="eastAsia"/>
        </w:rPr>
      </w:pPr>
      <w:r>
        <w:rPr>
          <w:color w:val="1F2933"/>
        </w:rPr>
        <w:t>Bits Before Tokens specifies a semantic search architecture in which large language models use bounded Routing Semantic Kernels, the GROOVE 000/00 network, and persistent semantic projections to narrow the knowledge space before reading substantial source text. A request is measured against small Routing SK vocabularies, preserved as a multifactor query state, factorized into independently traversable branches, and recursively resolved through increasingly precise semantic regions. Branch relevance is re-ev</w:t>
      </w:r>
      <w:r>
        <w:rPr>
          <w:color w:val="1F2933"/>
        </w:rPr>
        <w:t>aluated at every depth. Low-value paths undergo Semantic Fade and stop consuming computation. Surviving branches route into 000 domain maps, 00 knowledge bundles, registered Models, Operators, Rules, FASKs, and GROOVEd literature. Only after this semantic narrowing does the system spend large token budgets on source language.</w:t>
      </w:r>
    </w:p>
    <w:p w14:paraId="7CD5E52E" w14:textId="77777777" w:rsidR="00AC1B78" w:rsidRDefault="002C0F08">
      <w:pPr>
        <w:spacing w:after="120" w:line="259" w:lineRule="auto"/>
        <w:rPr>
          <w:rFonts w:hint="eastAsia"/>
        </w:rPr>
      </w:pPr>
      <w:r>
        <w:rPr>
          <w:color w:val="1F2933"/>
        </w:rPr>
        <w:t>The architecture separates semantic relevance, source authority, and contextual applicability. A company standard may be authoritative inside one organization; a game law may be fully authoritative inside a fictional world yet have zero applicability to a real-world question. This separation permits established, experimental, speculative, personal, company, historical, and fictional knowledge to coexist without collapsing their epistemic or contextual boundaries.</w:t>
      </w:r>
    </w:p>
    <w:p w14:paraId="34C6104B" w14:textId="77777777" w:rsidR="00AC1B78" w:rsidRDefault="002C0F08">
      <w:pPr>
        <w:spacing w:after="120" w:line="259" w:lineRule="auto"/>
        <w:rPr>
          <w:rFonts w:hint="eastAsia"/>
        </w:rPr>
      </w:pPr>
      <w:r>
        <w:rPr>
          <w:color w:val="1F2933"/>
        </w:rPr>
        <w:t>The specification does not prohibit embeddings, keyword search, full-text retrieval, or ordinary LLM reasoning. It repositions them. Textual and vector methods become lower-level candidate-generation and source-inspection tools inside a prior semantic routing plan. The resulting system aims to externalize semantic work that would otherwise be repeatedly reconstructed from prose, creating a search substrate that becomes more efficient as GROOVE projections, query traces, and routing structures accrete over t</w:t>
      </w:r>
      <w:r>
        <w:rPr>
          <w:color w:val="1F2933"/>
        </w:rPr>
        <w:t>ime.</w:t>
      </w:r>
    </w:p>
    <w:tbl>
      <w:tblPr>
        <w:tblW w:w="0" w:type="auto"/>
        <w:jc w:val="center"/>
        <w:tblLayout w:type="fixed"/>
        <w:tblLook w:val="04A0" w:firstRow="1" w:lastRow="0" w:firstColumn="1" w:lastColumn="0" w:noHBand="0" w:noVBand="1"/>
      </w:tblPr>
      <w:tblGrid>
        <w:gridCol w:w="5026"/>
        <w:gridCol w:w="5026"/>
      </w:tblGrid>
      <w:tr w:rsidR="00AC1B78" w14:paraId="19FE4011" w14:textId="77777777">
        <w:trPr>
          <w:tblHeader/>
          <w:jc w:val="center"/>
        </w:trPr>
        <w:tc>
          <w:tcPr>
            <w:tcW w:w="5026" w:type="dxa"/>
            <w:shd w:val="clear" w:color="auto" w:fill="1F8A8A"/>
            <w:tcMar>
              <w:top w:w="60" w:type="dxa"/>
              <w:left w:w="40" w:type="dxa"/>
              <w:bottom w:w="60" w:type="dxa"/>
              <w:right w:w="40" w:type="dxa"/>
            </w:tcMar>
          </w:tcPr>
          <w:p w14:paraId="2D6BED61" w14:textId="77777777" w:rsidR="00AC1B78" w:rsidRDefault="00AC1B78">
            <w:pPr>
              <w:rPr>
                <w:rFonts w:hint="eastAsia"/>
              </w:rPr>
            </w:pPr>
          </w:p>
        </w:tc>
        <w:tc>
          <w:tcPr>
            <w:tcW w:w="5026" w:type="dxa"/>
            <w:shd w:val="clear" w:color="auto" w:fill="E6F4F4"/>
            <w:tcMar>
              <w:top w:w="110" w:type="dxa"/>
              <w:left w:w="140" w:type="dxa"/>
              <w:bottom w:w="110" w:type="dxa"/>
              <w:right w:w="140" w:type="dxa"/>
            </w:tcMar>
          </w:tcPr>
          <w:p w14:paraId="207E7DCE" w14:textId="77777777" w:rsidR="00AC1B78" w:rsidRDefault="002C0F08">
            <w:pPr>
              <w:spacing w:after="40" w:line="252" w:lineRule="auto"/>
              <w:rPr>
                <w:rFonts w:hint="eastAsia"/>
              </w:rPr>
            </w:pPr>
            <w:r>
              <w:rPr>
                <w:b/>
                <w:color w:val="1F8A8A"/>
                <w:sz w:val="18"/>
              </w:rPr>
              <w:t>THESIS</w:t>
            </w:r>
          </w:p>
          <w:p w14:paraId="2FACF9F7" w14:textId="77777777" w:rsidR="00AC1B78" w:rsidRDefault="002C0F08">
            <w:pPr>
              <w:spacing w:after="0" w:line="259" w:lineRule="auto"/>
              <w:rPr>
                <w:rFonts w:hint="eastAsia"/>
              </w:rPr>
            </w:pPr>
            <w:r>
              <w:rPr>
                <w:color w:val="1F2933"/>
                <w:sz w:val="19"/>
              </w:rPr>
              <w:t>The system does not ask language to rediscover a semantic world that has already been mapped. It uses mapped semantic structure to decide where language-model attention should go.</w:t>
            </w:r>
          </w:p>
        </w:tc>
      </w:tr>
    </w:tbl>
    <w:p w14:paraId="49EC7CA7" w14:textId="77777777" w:rsidR="00AC1B78" w:rsidRDefault="00AC1B78">
      <w:pPr>
        <w:spacing w:after="40"/>
        <w:rPr>
          <w:rFonts w:hint="eastAsia"/>
        </w:rPr>
      </w:pPr>
    </w:p>
    <w:p w14:paraId="10770084" w14:textId="77777777" w:rsidR="00AC1B78" w:rsidRDefault="002C0F08">
      <w:pPr>
        <w:pStyle w:val="Heading1"/>
        <w:spacing w:before="200" w:after="100" w:line="240" w:lineRule="auto"/>
      </w:pPr>
      <w:r>
        <w:rPr>
          <w:rFonts w:ascii="Carlito" w:hAnsi="Carlito"/>
        </w:rPr>
        <w:t>Companion Architecture Basis</w:t>
      </w:r>
    </w:p>
    <w:tbl>
      <w:tblPr>
        <w:tblW w:w="0" w:type="auto"/>
        <w:jc w:val="center"/>
        <w:tblLayout w:type="fixed"/>
        <w:tblLook w:val="04A0" w:firstRow="1" w:lastRow="0" w:firstColumn="1" w:lastColumn="0" w:noHBand="0" w:noVBand="1"/>
      </w:tblPr>
      <w:tblGrid>
        <w:gridCol w:w="5026"/>
        <w:gridCol w:w="5501"/>
      </w:tblGrid>
      <w:tr w:rsidR="00AC1B78" w14:paraId="09031048" w14:textId="77777777">
        <w:trPr>
          <w:tblHeader/>
          <w:jc w:val="center"/>
        </w:trPr>
        <w:tc>
          <w:tcPr>
            <w:tcW w:w="5026" w:type="dxa"/>
            <w:shd w:val="clear" w:color="auto" w:fill="17324D"/>
            <w:tcMar>
              <w:top w:w="90" w:type="dxa"/>
              <w:left w:w="100" w:type="dxa"/>
              <w:bottom w:w="90" w:type="dxa"/>
              <w:right w:w="100" w:type="dxa"/>
            </w:tcMar>
            <w:vAlign w:val="center"/>
          </w:tcPr>
          <w:p w14:paraId="405B865E" w14:textId="77777777" w:rsidR="00AC1B78" w:rsidRDefault="002C0F08">
            <w:pPr>
              <w:spacing w:after="0" w:line="240" w:lineRule="auto"/>
              <w:jc w:val="center"/>
              <w:rPr>
                <w:rFonts w:hint="eastAsia"/>
              </w:rPr>
            </w:pPr>
            <w:r>
              <w:rPr>
                <w:b/>
                <w:color w:val="FFFFFF"/>
                <w:sz w:val="17"/>
              </w:rPr>
              <w:t>Companion artifact</w:t>
            </w:r>
          </w:p>
        </w:tc>
        <w:tc>
          <w:tcPr>
            <w:tcW w:w="5026" w:type="dxa"/>
            <w:shd w:val="clear" w:color="auto" w:fill="17324D"/>
            <w:tcMar>
              <w:top w:w="90" w:type="dxa"/>
              <w:left w:w="100" w:type="dxa"/>
              <w:bottom w:w="90" w:type="dxa"/>
              <w:right w:w="100" w:type="dxa"/>
            </w:tcMar>
            <w:vAlign w:val="center"/>
          </w:tcPr>
          <w:p w14:paraId="123EA9C1" w14:textId="77777777" w:rsidR="00AC1B78" w:rsidRDefault="002C0F08">
            <w:pPr>
              <w:spacing w:after="0" w:line="240" w:lineRule="auto"/>
              <w:jc w:val="center"/>
              <w:rPr>
                <w:rFonts w:hint="eastAsia"/>
              </w:rPr>
            </w:pPr>
            <w:r>
              <w:rPr>
                <w:b/>
                <w:color w:val="FFFFFF"/>
                <w:sz w:val="17"/>
              </w:rPr>
              <w:t>Role in this specification</w:t>
            </w:r>
          </w:p>
        </w:tc>
      </w:tr>
      <w:tr w:rsidR="00AC1B78" w14:paraId="3DC82A2E" w14:textId="77777777">
        <w:trPr>
          <w:jc w:val="center"/>
        </w:trPr>
        <w:tc>
          <w:tcPr>
            <w:tcW w:w="3384" w:type="dxa"/>
            <w:tcMar>
              <w:top w:w="85" w:type="dxa"/>
              <w:left w:w="95" w:type="dxa"/>
              <w:bottom w:w="85" w:type="dxa"/>
              <w:right w:w="95" w:type="dxa"/>
            </w:tcMar>
            <w:vAlign w:val="center"/>
          </w:tcPr>
          <w:p w14:paraId="5594525A" w14:textId="77777777" w:rsidR="00AC1B78" w:rsidRDefault="002C0F08">
            <w:pPr>
              <w:spacing w:after="0" w:line="245" w:lineRule="auto"/>
              <w:rPr>
                <w:rFonts w:hint="eastAsia"/>
              </w:rPr>
            </w:pPr>
            <w:r>
              <w:rPr>
                <w:color w:val="1F2933"/>
                <w:sz w:val="17"/>
              </w:rPr>
              <w:t>CERBERUS SOLAR - System Operational Lexical Alias Registry v0.1</w:t>
            </w:r>
          </w:p>
        </w:tc>
        <w:tc>
          <w:tcPr>
            <w:tcW w:w="5501" w:type="dxa"/>
            <w:tcMar>
              <w:top w:w="85" w:type="dxa"/>
              <w:left w:w="95" w:type="dxa"/>
              <w:bottom w:w="85" w:type="dxa"/>
              <w:right w:w="95" w:type="dxa"/>
            </w:tcMar>
            <w:vAlign w:val="center"/>
          </w:tcPr>
          <w:p w14:paraId="36282960" w14:textId="77777777" w:rsidR="00AC1B78" w:rsidRDefault="002C0F08">
            <w:pPr>
              <w:spacing w:after="0" w:line="245" w:lineRule="auto"/>
              <w:rPr>
                <w:rFonts w:hint="eastAsia"/>
              </w:rPr>
            </w:pPr>
            <w:r>
              <w:rPr>
                <w:color w:val="1F2933"/>
                <w:sz w:val="17"/>
              </w:rPr>
              <w:t>Provides exact lexical-to-typed-target resolution, ambiguity preservation, phrase parsing, and the rule that probabilistic similarity does not itself establish canonical correspondence.</w:t>
            </w:r>
          </w:p>
        </w:tc>
      </w:tr>
      <w:tr w:rsidR="00AC1B78" w14:paraId="37F14316" w14:textId="77777777">
        <w:trPr>
          <w:jc w:val="center"/>
        </w:trPr>
        <w:tc>
          <w:tcPr>
            <w:tcW w:w="3384" w:type="dxa"/>
            <w:shd w:val="clear" w:color="auto" w:fill="F7F9FB"/>
            <w:tcMar>
              <w:top w:w="85" w:type="dxa"/>
              <w:left w:w="95" w:type="dxa"/>
              <w:bottom w:w="85" w:type="dxa"/>
              <w:right w:w="95" w:type="dxa"/>
            </w:tcMar>
            <w:vAlign w:val="center"/>
          </w:tcPr>
          <w:p w14:paraId="43070C8A" w14:textId="77777777" w:rsidR="00AC1B78" w:rsidRDefault="002C0F08">
            <w:pPr>
              <w:spacing w:after="0" w:line="245" w:lineRule="auto"/>
              <w:rPr>
                <w:rFonts w:hint="eastAsia"/>
              </w:rPr>
            </w:pPr>
            <w:r>
              <w:rPr>
                <w:color w:val="1F2933"/>
                <w:sz w:val="17"/>
              </w:rPr>
              <w:t>BIGFOOT 4 Tables Details</w:t>
            </w:r>
          </w:p>
        </w:tc>
        <w:tc>
          <w:tcPr>
            <w:tcW w:w="5501" w:type="dxa"/>
            <w:shd w:val="clear" w:color="auto" w:fill="F7F9FB"/>
            <w:tcMar>
              <w:top w:w="85" w:type="dxa"/>
              <w:left w:w="95" w:type="dxa"/>
              <w:bottom w:w="85" w:type="dxa"/>
              <w:right w:w="95" w:type="dxa"/>
            </w:tcMar>
            <w:vAlign w:val="center"/>
          </w:tcPr>
          <w:p w14:paraId="0078DE35" w14:textId="77777777" w:rsidR="00AC1B78" w:rsidRDefault="002C0F08">
            <w:pPr>
              <w:spacing w:after="0" w:line="245" w:lineRule="auto"/>
              <w:rPr>
                <w:rFonts w:hint="eastAsia"/>
              </w:rPr>
            </w:pPr>
            <w:r>
              <w:rPr>
                <w:color w:val="1F2933"/>
                <w:sz w:val="17"/>
              </w:rPr>
              <w:t>Provides stable Bit, BitGroup, BitWord, and Compound BitWord identity and explicit composition/reuse relationships.</w:t>
            </w:r>
          </w:p>
        </w:tc>
      </w:tr>
      <w:tr w:rsidR="00AC1B78" w14:paraId="7DB6A0C8" w14:textId="77777777">
        <w:trPr>
          <w:jc w:val="center"/>
        </w:trPr>
        <w:tc>
          <w:tcPr>
            <w:tcW w:w="3384" w:type="dxa"/>
            <w:tcMar>
              <w:top w:w="85" w:type="dxa"/>
              <w:left w:w="95" w:type="dxa"/>
              <w:bottom w:w="85" w:type="dxa"/>
              <w:right w:w="95" w:type="dxa"/>
            </w:tcMar>
            <w:vAlign w:val="center"/>
          </w:tcPr>
          <w:p w14:paraId="3DA786CC" w14:textId="77777777" w:rsidR="00AC1B78" w:rsidRDefault="002C0F08">
            <w:pPr>
              <w:spacing w:after="0" w:line="245" w:lineRule="auto"/>
              <w:rPr>
                <w:rFonts w:hint="eastAsia"/>
              </w:rPr>
            </w:pPr>
            <w:r>
              <w:rPr>
                <w:color w:val="1F2933"/>
                <w:sz w:val="17"/>
              </w:rPr>
              <w:t>CERBERUS Routing Semantic Kernels v0.1</w:t>
            </w:r>
          </w:p>
        </w:tc>
        <w:tc>
          <w:tcPr>
            <w:tcW w:w="5501" w:type="dxa"/>
            <w:tcMar>
              <w:top w:w="85" w:type="dxa"/>
              <w:left w:w="95" w:type="dxa"/>
              <w:bottom w:w="85" w:type="dxa"/>
              <w:right w:w="95" w:type="dxa"/>
            </w:tcMar>
            <w:vAlign w:val="center"/>
          </w:tcPr>
          <w:p w14:paraId="5EEB2350" w14:textId="77777777" w:rsidR="00AC1B78" w:rsidRDefault="002C0F08">
            <w:pPr>
              <w:spacing w:after="0" w:line="245" w:lineRule="auto"/>
              <w:rPr>
                <w:rFonts w:hint="eastAsia"/>
              </w:rPr>
            </w:pPr>
            <w:r>
              <w:rPr>
                <w:color w:val="1F2933"/>
                <w:sz w:val="17"/>
              </w:rPr>
              <w:t>Provides bounded semantic routing contracts, multifactor route masks, nested routing, and reusable route structure.</w:t>
            </w:r>
          </w:p>
        </w:tc>
      </w:tr>
      <w:tr w:rsidR="00AC1B78" w14:paraId="721E6C35" w14:textId="77777777">
        <w:trPr>
          <w:jc w:val="center"/>
        </w:trPr>
        <w:tc>
          <w:tcPr>
            <w:tcW w:w="3384" w:type="dxa"/>
            <w:shd w:val="clear" w:color="auto" w:fill="F7F9FB"/>
            <w:tcMar>
              <w:top w:w="85" w:type="dxa"/>
              <w:left w:w="95" w:type="dxa"/>
              <w:bottom w:w="85" w:type="dxa"/>
              <w:right w:w="95" w:type="dxa"/>
            </w:tcMar>
            <w:vAlign w:val="center"/>
          </w:tcPr>
          <w:p w14:paraId="624307FF" w14:textId="77777777" w:rsidR="00AC1B78" w:rsidRDefault="002C0F08">
            <w:pPr>
              <w:spacing w:after="0" w:line="245" w:lineRule="auto"/>
              <w:rPr>
                <w:rFonts w:hint="eastAsia"/>
              </w:rPr>
            </w:pPr>
            <w:r>
              <w:rPr>
                <w:color w:val="1F2933"/>
                <w:sz w:val="17"/>
              </w:rPr>
              <w:t>GROOVE v1.0 / Semantic Grooving v1.0</w:t>
            </w:r>
          </w:p>
        </w:tc>
        <w:tc>
          <w:tcPr>
            <w:tcW w:w="5501" w:type="dxa"/>
            <w:shd w:val="clear" w:color="auto" w:fill="F7F9FB"/>
            <w:tcMar>
              <w:top w:w="85" w:type="dxa"/>
              <w:left w:w="95" w:type="dxa"/>
              <w:bottom w:w="85" w:type="dxa"/>
              <w:right w:w="95" w:type="dxa"/>
            </w:tcMar>
            <w:vAlign w:val="center"/>
          </w:tcPr>
          <w:p w14:paraId="4096BEB1" w14:textId="77777777" w:rsidR="00AC1B78" w:rsidRDefault="002C0F08">
            <w:pPr>
              <w:spacing w:after="0" w:line="245" w:lineRule="auto"/>
              <w:rPr>
                <w:rFonts w:hint="eastAsia"/>
              </w:rPr>
            </w:pPr>
            <w:r>
              <w:rPr>
                <w:color w:val="1F2933"/>
                <w:sz w:val="17"/>
              </w:rPr>
              <w:t>Provides persistent source-grounded semantic projections, 000/00 routing manifests, semantic accretion, and reusable corpus descriptions.</w:t>
            </w:r>
          </w:p>
        </w:tc>
      </w:tr>
      <w:tr w:rsidR="00AC1B78" w14:paraId="3B659A99" w14:textId="77777777">
        <w:trPr>
          <w:jc w:val="center"/>
        </w:trPr>
        <w:tc>
          <w:tcPr>
            <w:tcW w:w="3384" w:type="dxa"/>
            <w:tcMar>
              <w:top w:w="85" w:type="dxa"/>
              <w:left w:w="95" w:type="dxa"/>
              <w:bottom w:w="85" w:type="dxa"/>
              <w:right w:w="95" w:type="dxa"/>
            </w:tcMar>
            <w:vAlign w:val="center"/>
          </w:tcPr>
          <w:p w14:paraId="142A1A47" w14:textId="77777777" w:rsidR="00AC1B78" w:rsidRDefault="002C0F08">
            <w:pPr>
              <w:spacing w:after="0" w:line="245" w:lineRule="auto"/>
              <w:rPr>
                <w:rFonts w:hint="eastAsia"/>
              </w:rPr>
            </w:pPr>
            <w:r>
              <w:rPr>
                <w:color w:val="1F2933"/>
                <w:sz w:val="17"/>
              </w:rPr>
              <w:t>SOLAR-GROOVE Semantic Recovery v0.1</w:t>
            </w:r>
          </w:p>
        </w:tc>
        <w:tc>
          <w:tcPr>
            <w:tcW w:w="5501" w:type="dxa"/>
            <w:tcMar>
              <w:top w:w="85" w:type="dxa"/>
              <w:left w:w="95" w:type="dxa"/>
              <w:bottom w:w="85" w:type="dxa"/>
              <w:right w:w="95" w:type="dxa"/>
            </w:tcMar>
            <w:vAlign w:val="center"/>
          </w:tcPr>
          <w:p w14:paraId="2E3ED45C" w14:textId="77777777" w:rsidR="00AC1B78" w:rsidRDefault="002C0F08">
            <w:pPr>
              <w:spacing w:after="0" w:line="245" w:lineRule="auto"/>
              <w:rPr>
                <w:rFonts w:hint="eastAsia"/>
              </w:rPr>
            </w:pPr>
            <w:r>
              <w:rPr>
                <w:color w:val="1F2933"/>
                <w:sz w:val="17"/>
              </w:rPr>
              <w:t>Provides the fallback path from unresolved lexical material through GROOVEd corpus evidence to candidate BIGFOOT operands.</w:t>
            </w:r>
          </w:p>
        </w:tc>
      </w:tr>
    </w:tbl>
    <w:p w14:paraId="43E8BCDE" w14:textId="77777777" w:rsidR="00AC1B78" w:rsidRDefault="00AC1B78">
      <w:pPr>
        <w:spacing w:after="40"/>
        <w:rPr>
          <w:rFonts w:hint="eastAsia"/>
        </w:rPr>
      </w:pPr>
    </w:p>
    <w:p w14:paraId="52A26FF5" w14:textId="77777777" w:rsidR="00AC1B78" w:rsidRDefault="002C0F08">
      <w:pPr>
        <w:pStyle w:val="Heading1"/>
        <w:spacing w:before="200" w:after="100" w:line="240" w:lineRule="auto"/>
      </w:pPr>
      <w:r>
        <w:rPr>
          <w:rFonts w:ascii="Carlito" w:hAnsi="Carlito"/>
        </w:rPr>
        <w:t>Contents</w:t>
      </w:r>
    </w:p>
    <w:tbl>
      <w:tblPr>
        <w:tblW w:w="0" w:type="auto"/>
        <w:jc w:val="center"/>
        <w:tblLayout w:type="fixed"/>
        <w:tblLook w:val="04A0" w:firstRow="1" w:lastRow="0" w:firstColumn="1" w:lastColumn="0" w:noHBand="0" w:noVBand="1"/>
      </w:tblPr>
      <w:tblGrid>
        <w:gridCol w:w="5026"/>
        <w:gridCol w:w="7344"/>
      </w:tblGrid>
      <w:tr w:rsidR="00AC1B78" w14:paraId="6854D6D7" w14:textId="77777777">
        <w:trPr>
          <w:tblHeader/>
          <w:jc w:val="center"/>
        </w:trPr>
        <w:tc>
          <w:tcPr>
            <w:tcW w:w="5026" w:type="dxa"/>
            <w:shd w:val="clear" w:color="auto" w:fill="17324D"/>
            <w:tcMar>
              <w:top w:w="90" w:type="dxa"/>
              <w:left w:w="100" w:type="dxa"/>
              <w:bottom w:w="90" w:type="dxa"/>
              <w:right w:w="100" w:type="dxa"/>
            </w:tcMar>
            <w:vAlign w:val="center"/>
          </w:tcPr>
          <w:p w14:paraId="3CADE5A4" w14:textId="77777777" w:rsidR="00AC1B78" w:rsidRDefault="002C0F08">
            <w:pPr>
              <w:spacing w:after="0" w:line="240" w:lineRule="auto"/>
              <w:jc w:val="center"/>
              <w:rPr>
                <w:rFonts w:hint="eastAsia"/>
              </w:rPr>
            </w:pPr>
            <w:r>
              <w:rPr>
                <w:b/>
                <w:color w:val="FFFFFF"/>
                <w:sz w:val="17"/>
              </w:rPr>
              <w:t>Section</w:t>
            </w:r>
          </w:p>
        </w:tc>
        <w:tc>
          <w:tcPr>
            <w:tcW w:w="5026" w:type="dxa"/>
            <w:shd w:val="clear" w:color="auto" w:fill="17324D"/>
            <w:tcMar>
              <w:top w:w="90" w:type="dxa"/>
              <w:left w:w="100" w:type="dxa"/>
              <w:bottom w:w="90" w:type="dxa"/>
              <w:right w:w="100" w:type="dxa"/>
            </w:tcMar>
            <w:vAlign w:val="center"/>
          </w:tcPr>
          <w:p w14:paraId="764FA409" w14:textId="77777777" w:rsidR="00AC1B78" w:rsidRDefault="002C0F08">
            <w:pPr>
              <w:spacing w:after="0" w:line="240" w:lineRule="auto"/>
              <w:jc w:val="center"/>
              <w:rPr>
                <w:rFonts w:hint="eastAsia"/>
              </w:rPr>
            </w:pPr>
            <w:r>
              <w:rPr>
                <w:b/>
                <w:color w:val="FFFFFF"/>
                <w:sz w:val="17"/>
              </w:rPr>
              <w:t>Title</w:t>
            </w:r>
          </w:p>
        </w:tc>
      </w:tr>
      <w:tr w:rsidR="00AC1B78" w14:paraId="2A57339F" w14:textId="77777777">
        <w:trPr>
          <w:jc w:val="center"/>
        </w:trPr>
        <w:tc>
          <w:tcPr>
            <w:tcW w:w="1584" w:type="dxa"/>
            <w:tcMar>
              <w:top w:w="85" w:type="dxa"/>
              <w:left w:w="95" w:type="dxa"/>
              <w:bottom w:w="85" w:type="dxa"/>
              <w:right w:w="95" w:type="dxa"/>
            </w:tcMar>
            <w:vAlign w:val="center"/>
          </w:tcPr>
          <w:p w14:paraId="19C2F3C3" w14:textId="77777777" w:rsidR="00AC1B78" w:rsidRDefault="002C0F08">
            <w:pPr>
              <w:spacing w:after="0" w:line="245" w:lineRule="auto"/>
              <w:rPr>
                <w:rFonts w:hint="eastAsia"/>
              </w:rPr>
            </w:pPr>
            <w:r>
              <w:rPr>
                <w:color w:val="1F2933"/>
                <w:sz w:val="17"/>
              </w:rPr>
              <w:t>0</w:t>
            </w:r>
          </w:p>
        </w:tc>
        <w:tc>
          <w:tcPr>
            <w:tcW w:w="7344" w:type="dxa"/>
            <w:tcMar>
              <w:top w:w="85" w:type="dxa"/>
              <w:left w:w="95" w:type="dxa"/>
              <w:bottom w:w="85" w:type="dxa"/>
              <w:right w:w="95" w:type="dxa"/>
            </w:tcMar>
            <w:vAlign w:val="center"/>
          </w:tcPr>
          <w:p w14:paraId="670E4AC4" w14:textId="77777777" w:rsidR="00AC1B78" w:rsidRDefault="002C0F08">
            <w:pPr>
              <w:spacing w:after="0" w:line="245" w:lineRule="auto"/>
              <w:rPr>
                <w:rFonts w:hint="eastAsia"/>
              </w:rPr>
            </w:pPr>
            <w:r>
              <w:rPr>
                <w:color w:val="1F2933"/>
                <w:sz w:val="17"/>
              </w:rPr>
              <w:t>Executive Summary</w:t>
            </w:r>
          </w:p>
        </w:tc>
      </w:tr>
      <w:tr w:rsidR="00AC1B78" w14:paraId="3ED91D66" w14:textId="77777777">
        <w:trPr>
          <w:jc w:val="center"/>
        </w:trPr>
        <w:tc>
          <w:tcPr>
            <w:tcW w:w="1584" w:type="dxa"/>
            <w:shd w:val="clear" w:color="auto" w:fill="F7F9FB"/>
            <w:tcMar>
              <w:top w:w="85" w:type="dxa"/>
              <w:left w:w="95" w:type="dxa"/>
              <w:bottom w:w="85" w:type="dxa"/>
              <w:right w:w="95" w:type="dxa"/>
            </w:tcMar>
            <w:vAlign w:val="center"/>
          </w:tcPr>
          <w:p w14:paraId="6E641C3F" w14:textId="77777777" w:rsidR="00AC1B78" w:rsidRDefault="002C0F08">
            <w:pPr>
              <w:spacing w:after="0" w:line="245" w:lineRule="auto"/>
              <w:rPr>
                <w:rFonts w:hint="eastAsia"/>
              </w:rPr>
            </w:pPr>
            <w:r>
              <w:rPr>
                <w:color w:val="1F2933"/>
                <w:sz w:val="17"/>
              </w:rPr>
              <w:t>1</w:t>
            </w:r>
          </w:p>
        </w:tc>
        <w:tc>
          <w:tcPr>
            <w:tcW w:w="7344" w:type="dxa"/>
            <w:shd w:val="clear" w:color="auto" w:fill="F7F9FB"/>
            <w:tcMar>
              <w:top w:w="85" w:type="dxa"/>
              <w:left w:w="95" w:type="dxa"/>
              <w:bottom w:w="85" w:type="dxa"/>
              <w:right w:w="95" w:type="dxa"/>
            </w:tcMar>
            <w:vAlign w:val="center"/>
          </w:tcPr>
          <w:p w14:paraId="119C93A7" w14:textId="77777777" w:rsidR="00AC1B78" w:rsidRDefault="002C0F08">
            <w:pPr>
              <w:spacing w:after="0" w:line="245" w:lineRule="auto"/>
              <w:rPr>
                <w:rFonts w:hint="eastAsia"/>
              </w:rPr>
            </w:pPr>
            <w:r>
              <w:rPr>
                <w:color w:val="1F2933"/>
                <w:sz w:val="17"/>
              </w:rPr>
              <w:t>Purpose and Scope</w:t>
            </w:r>
          </w:p>
        </w:tc>
      </w:tr>
      <w:tr w:rsidR="00AC1B78" w14:paraId="1AE71F30" w14:textId="77777777">
        <w:trPr>
          <w:jc w:val="center"/>
        </w:trPr>
        <w:tc>
          <w:tcPr>
            <w:tcW w:w="1584" w:type="dxa"/>
            <w:tcMar>
              <w:top w:w="85" w:type="dxa"/>
              <w:left w:w="95" w:type="dxa"/>
              <w:bottom w:w="85" w:type="dxa"/>
              <w:right w:w="95" w:type="dxa"/>
            </w:tcMar>
            <w:vAlign w:val="center"/>
          </w:tcPr>
          <w:p w14:paraId="2A49A095" w14:textId="77777777" w:rsidR="00AC1B78" w:rsidRDefault="002C0F08">
            <w:pPr>
              <w:spacing w:after="0" w:line="245" w:lineRule="auto"/>
              <w:rPr>
                <w:rFonts w:hint="eastAsia"/>
              </w:rPr>
            </w:pPr>
            <w:r>
              <w:rPr>
                <w:color w:val="1F2933"/>
                <w:sz w:val="17"/>
              </w:rPr>
              <w:t>2</w:t>
            </w:r>
          </w:p>
        </w:tc>
        <w:tc>
          <w:tcPr>
            <w:tcW w:w="7344" w:type="dxa"/>
            <w:tcMar>
              <w:top w:w="85" w:type="dxa"/>
              <w:left w:w="95" w:type="dxa"/>
              <w:bottom w:w="85" w:type="dxa"/>
              <w:right w:w="95" w:type="dxa"/>
            </w:tcMar>
            <w:vAlign w:val="center"/>
          </w:tcPr>
          <w:p w14:paraId="65A23564" w14:textId="77777777" w:rsidR="00AC1B78" w:rsidRDefault="002C0F08">
            <w:pPr>
              <w:spacing w:after="0" w:line="245" w:lineRule="auto"/>
              <w:rPr>
                <w:rFonts w:hint="eastAsia"/>
              </w:rPr>
            </w:pPr>
            <w:r>
              <w:rPr>
                <w:color w:val="1F2933"/>
                <w:sz w:val="17"/>
              </w:rPr>
              <w:t>Architectural Position</w:t>
            </w:r>
          </w:p>
        </w:tc>
      </w:tr>
      <w:tr w:rsidR="00AC1B78" w14:paraId="6420CD22" w14:textId="77777777">
        <w:trPr>
          <w:jc w:val="center"/>
        </w:trPr>
        <w:tc>
          <w:tcPr>
            <w:tcW w:w="1584" w:type="dxa"/>
            <w:shd w:val="clear" w:color="auto" w:fill="F7F9FB"/>
            <w:tcMar>
              <w:top w:w="85" w:type="dxa"/>
              <w:left w:w="95" w:type="dxa"/>
              <w:bottom w:w="85" w:type="dxa"/>
              <w:right w:w="95" w:type="dxa"/>
            </w:tcMar>
            <w:vAlign w:val="center"/>
          </w:tcPr>
          <w:p w14:paraId="2FA43075" w14:textId="77777777" w:rsidR="00AC1B78" w:rsidRDefault="002C0F08">
            <w:pPr>
              <w:spacing w:after="0" w:line="245" w:lineRule="auto"/>
              <w:rPr>
                <w:rFonts w:hint="eastAsia"/>
              </w:rPr>
            </w:pPr>
            <w:r>
              <w:rPr>
                <w:color w:val="1F2933"/>
                <w:sz w:val="17"/>
              </w:rPr>
              <w:t>3</w:t>
            </w:r>
          </w:p>
        </w:tc>
        <w:tc>
          <w:tcPr>
            <w:tcW w:w="7344" w:type="dxa"/>
            <w:shd w:val="clear" w:color="auto" w:fill="F7F9FB"/>
            <w:tcMar>
              <w:top w:w="85" w:type="dxa"/>
              <w:left w:w="95" w:type="dxa"/>
              <w:bottom w:w="85" w:type="dxa"/>
              <w:right w:w="95" w:type="dxa"/>
            </w:tcMar>
            <w:vAlign w:val="center"/>
          </w:tcPr>
          <w:p w14:paraId="48E3BEF0" w14:textId="77777777" w:rsidR="00AC1B78" w:rsidRDefault="002C0F08">
            <w:pPr>
              <w:spacing w:after="0" w:line="245" w:lineRule="auto"/>
              <w:rPr>
                <w:rFonts w:hint="eastAsia"/>
              </w:rPr>
            </w:pPr>
            <w:r>
              <w:rPr>
                <w:color w:val="1F2933"/>
                <w:sz w:val="17"/>
              </w:rPr>
              <w:t>Core Thesis: Bits Before Tokens</w:t>
            </w:r>
          </w:p>
        </w:tc>
      </w:tr>
      <w:tr w:rsidR="00AC1B78" w14:paraId="4E3A8BF9" w14:textId="77777777">
        <w:trPr>
          <w:jc w:val="center"/>
        </w:trPr>
        <w:tc>
          <w:tcPr>
            <w:tcW w:w="1584" w:type="dxa"/>
            <w:tcMar>
              <w:top w:w="85" w:type="dxa"/>
              <w:left w:w="95" w:type="dxa"/>
              <w:bottom w:w="85" w:type="dxa"/>
              <w:right w:w="95" w:type="dxa"/>
            </w:tcMar>
            <w:vAlign w:val="center"/>
          </w:tcPr>
          <w:p w14:paraId="596A8A49" w14:textId="77777777" w:rsidR="00AC1B78" w:rsidRDefault="002C0F08">
            <w:pPr>
              <w:spacing w:after="0" w:line="245" w:lineRule="auto"/>
              <w:rPr>
                <w:rFonts w:hint="eastAsia"/>
              </w:rPr>
            </w:pPr>
            <w:r>
              <w:rPr>
                <w:color w:val="1F2933"/>
                <w:sz w:val="17"/>
              </w:rPr>
              <w:t>4</w:t>
            </w:r>
          </w:p>
        </w:tc>
        <w:tc>
          <w:tcPr>
            <w:tcW w:w="7344" w:type="dxa"/>
            <w:tcMar>
              <w:top w:w="85" w:type="dxa"/>
              <w:left w:w="95" w:type="dxa"/>
              <w:bottom w:w="85" w:type="dxa"/>
              <w:right w:w="95" w:type="dxa"/>
            </w:tcMar>
            <w:vAlign w:val="center"/>
          </w:tcPr>
          <w:p w14:paraId="6747F2CD" w14:textId="77777777" w:rsidR="00AC1B78" w:rsidRDefault="002C0F08">
            <w:pPr>
              <w:spacing w:after="0" w:line="245" w:lineRule="auto"/>
              <w:rPr>
                <w:rFonts w:hint="eastAsia"/>
              </w:rPr>
            </w:pPr>
            <w:r>
              <w:rPr>
                <w:color w:val="1F2933"/>
                <w:sz w:val="17"/>
              </w:rPr>
              <w:t>Why Tokens Should Not Be the First Retrieval Primitive</w:t>
            </w:r>
          </w:p>
        </w:tc>
      </w:tr>
      <w:tr w:rsidR="00AC1B78" w14:paraId="75ADA38A" w14:textId="77777777">
        <w:trPr>
          <w:jc w:val="center"/>
        </w:trPr>
        <w:tc>
          <w:tcPr>
            <w:tcW w:w="1584" w:type="dxa"/>
            <w:shd w:val="clear" w:color="auto" w:fill="F7F9FB"/>
            <w:tcMar>
              <w:top w:w="85" w:type="dxa"/>
              <w:left w:w="95" w:type="dxa"/>
              <w:bottom w:w="85" w:type="dxa"/>
              <w:right w:w="95" w:type="dxa"/>
            </w:tcMar>
            <w:vAlign w:val="center"/>
          </w:tcPr>
          <w:p w14:paraId="37189FB5" w14:textId="77777777" w:rsidR="00AC1B78" w:rsidRDefault="002C0F08">
            <w:pPr>
              <w:spacing w:after="0" w:line="245" w:lineRule="auto"/>
              <w:rPr>
                <w:rFonts w:hint="eastAsia"/>
              </w:rPr>
            </w:pPr>
            <w:r>
              <w:rPr>
                <w:color w:val="1F2933"/>
                <w:sz w:val="17"/>
              </w:rPr>
              <w:t>Part I</w:t>
            </w:r>
          </w:p>
        </w:tc>
        <w:tc>
          <w:tcPr>
            <w:tcW w:w="7344" w:type="dxa"/>
            <w:shd w:val="clear" w:color="auto" w:fill="F7F9FB"/>
            <w:tcMar>
              <w:top w:w="85" w:type="dxa"/>
              <w:left w:w="95" w:type="dxa"/>
              <w:bottom w:w="85" w:type="dxa"/>
              <w:right w:w="95" w:type="dxa"/>
            </w:tcMar>
            <w:vAlign w:val="center"/>
          </w:tcPr>
          <w:p w14:paraId="46B3AAD6" w14:textId="77777777" w:rsidR="00AC1B78" w:rsidRDefault="002C0F08">
            <w:pPr>
              <w:spacing w:after="0" w:line="245" w:lineRule="auto"/>
              <w:rPr>
                <w:rFonts w:hint="eastAsia"/>
              </w:rPr>
            </w:pPr>
            <w:r>
              <w:rPr>
                <w:color w:val="1F2933"/>
                <w:sz w:val="17"/>
              </w:rPr>
              <w:t>Hierarchical Semantic Routing</w:t>
            </w:r>
          </w:p>
        </w:tc>
      </w:tr>
      <w:tr w:rsidR="00AC1B78" w14:paraId="260B0C57" w14:textId="77777777">
        <w:trPr>
          <w:jc w:val="center"/>
        </w:trPr>
        <w:tc>
          <w:tcPr>
            <w:tcW w:w="1584" w:type="dxa"/>
            <w:tcMar>
              <w:top w:w="85" w:type="dxa"/>
              <w:left w:w="95" w:type="dxa"/>
              <w:bottom w:w="85" w:type="dxa"/>
              <w:right w:w="95" w:type="dxa"/>
            </w:tcMar>
            <w:vAlign w:val="center"/>
          </w:tcPr>
          <w:p w14:paraId="2167D022" w14:textId="77777777" w:rsidR="00AC1B78" w:rsidRDefault="002C0F08">
            <w:pPr>
              <w:spacing w:after="0" w:line="245" w:lineRule="auto"/>
              <w:rPr>
                <w:rFonts w:hint="eastAsia"/>
              </w:rPr>
            </w:pPr>
            <w:r>
              <w:rPr>
                <w:color w:val="1F2933"/>
                <w:sz w:val="17"/>
              </w:rPr>
              <w:t>5</w:t>
            </w:r>
          </w:p>
        </w:tc>
        <w:tc>
          <w:tcPr>
            <w:tcW w:w="7344" w:type="dxa"/>
            <w:tcMar>
              <w:top w:w="85" w:type="dxa"/>
              <w:left w:w="95" w:type="dxa"/>
              <w:bottom w:w="85" w:type="dxa"/>
              <w:right w:w="95" w:type="dxa"/>
            </w:tcMar>
            <w:vAlign w:val="center"/>
          </w:tcPr>
          <w:p w14:paraId="26A86A84" w14:textId="77777777" w:rsidR="00AC1B78" w:rsidRDefault="002C0F08">
            <w:pPr>
              <w:spacing w:after="0" w:line="245" w:lineRule="auto"/>
              <w:rPr>
                <w:rFonts w:hint="eastAsia"/>
              </w:rPr>
            </w:pPr>
            <w:r>
              <w:rPr>
                <w:color w:val="1F2933"/>
                <w:sz w:val="17"/>
              </w:rPr>
              <w:t>Global 000 and Domain 000</w:t>
            </w:r>
          </w:p>
        </w:tc>
      </w:tr>
      <w:tr w:rsidR="00AC1B78" w14:paraId="445E7719" w14:textId="77777777">
        <w:trPr>
          <w:jc w:val="center"/>
        </w:trPr>
        <w:tc>
          <w:tcPr>
            <w:tcW w:w="1584" w:type="dxa"/>
            <w:shd w:val="clear" w:color="auto" w:fill="F7F9FB"/>
            <w:tcMar>
              <w:top w:w="85" w:type="dxa"/>
              <w:left w:w="95" w:type="dxa"/>
              <w:bottom w:w="85" w:type="dxa"/>
              <w:right w:w="95" w:type="dxa"/>
            </w:tcMar>
            <w:vAlign w:val="center"/>
          </w:tcPr>
          <w:p w14:paraId="10E53CE6" w14:textId="77777777" w:rsidR="00AC1B78" w:rsidRDefault="002C0F08">
            <w:pPr>
              <w:spacing w:after="0" w:line="245" w:lineRule="auto"/>
              <w:rPr>
                <w:rFonts w:hint="eastAsia"/>
              </w:rPr>
            </w:pPr>
            <w:r>
              <w:rPr>
                <w:color w:val="1F2933"/>
                <w:sz w:val="17"/>
              </w:rPr>
              <w:t>6</w:t>
            </w:r>
          </w:p>
        </w:tc>
        <w:tc>
          <w:tcPr>
            <w:tcW w:w="7344" w:type="dxa"/>
            <w:shd w:val="clear" w:color="auto" w:fill="F7F9FB"/>
            <w:tcMar>
              <w:top w:w="85" w:type="dxa"/>
              <w:left w:w="95" w:type="dxa"/>
              <w:bottom w:w="85" w:type="dxa"/>
              <w:right w:w="95" w:type="dxa"/>
            </w:tcMar>
            <w:vAlign w:val="center"/>
          </w:tcPr>
          <w:p w14:paraId="455E0E7C" w14:textId="77777777" w:rsidR="00AC1B78" w:rsidRDefault="002C0F08">
            <w:pPr>
              <w:spacing w:after="0" w:line="245" w:lineRule="auto"/>
              <w:rPr>
                <w:rFonts w:hint="eastAsia"/>
              </w:rPr>
            </w:pPr>
            <w:r>
              <w:rPr>
                <w:color w:val="1F2933"/>
                <w:sz w:val="17"/>
              </w:rPr>
              <w:t>Bounded Semantic Reach</w:t>
            </w:r>
          </w:p>
        </w:tc>
      </w:tr>
      <w:tr w:rsidR="00AC1B78" w14:paraId="501686CD" w14:textId="77777777">
        <w:trPr>
          <w:jc w:val="center"/>
        </w:trPr>
        <w:tc>
          <w:tcPr>
            <w:tcW w:w="1584" w:type="dxa"/>
            <w:tcMar>
              <w:top w:w="85" w:type="dxa"/>
              <w:left w:w="95" w:type="dxa"/>
              <w:bottom w:w="85" w:type="dxa"/>
              <w:right w:w="95" w:type="dxa"/>
            </w:tcMar>
            <w:vAlign w:val="center"/>
          </w:tcPr>
          <w:p w14:paraId="770BE1EE" w14:textId="77777777" w:rsidR="00AC1B78" w:rsidRDefault="002C0F08">
            <w:pPr>
              <w:spacing w:after="0" w:line="245" w:lineRule="auto"/>
              <w:rPr>
                <w:rFonts w:hint="eastAsia"/>
              </w:rPr>
            </w:pPr>
            <w:r>
              <w:rPr>
                <w:color w:val="1F2933"/>
                <w:sz w:val="17"/>
              </w:rPr>
              <w:t>7</w:t>
            </w:r>
          </w:p>
        </w:tc>
        <w:tc>
          <w:tcPr>
            <w:tcW w:w="7344" w:type="dxa"/>
            <w:tcMar>
              <w:top w:w="85" w:type="dxa"/>
              <w:left w:w="95" w:type="dxa"/>
              <w:bottom w:w="85" w:type="dxa"/>
              <w:right w:w="95" w:type="dxa"/>
            </w:tcMar>
            <w:vAlign w:val="center"/>
          </w:tcPr>
          <w:p w14:paraId="1DE75E3A" w14:textId="77777777" w:rsidR="00AC1B78" w:rsidRDefault="002C0F08">
            <w:pPr>
              <w:spacing w:after="0" w:line="245" w:lineRule="auto"/>
              <w:rPr>
                <w:rFonts w:hint="eastAsia"/>
              </w:rPr>
            </w:pPr>
            <w:r>
              <w:rPr>
                <w:color w:val="1F2933"/>
                <w:sz w:val="17"/>
              </w:rPr>
              <w:t>Multifactor Query States</w:t>
            </w:r>
          </w:p>
        </w:tc>
      </w:tr>
      <w:tr w:rsidR="00AC1B78" w14:paraId="1F57A633" w14:textId="77777777">
        <w:trPr>
          <w:jc w:val="center"/>
        </w:trPr>
        <w:tc>
          <w:tcPr>
            <w:tcW w:w="1584" w:type="dxa"/>
            <w:shd w:val="clear" w:color="auto" w:fill="F7F9FB"/>
            <w:tcMar>
              <w:top w:w="85" w:type="dxa"/>
              <w:left w:w="95" w:type="dxa"/>
              <w:bottom w:w="85" w:type="dxa"/>
              <w:right w:w="95" w:type="dxa"/>
            </w:tcMar>
            <w:vAlign w:val="center"/>
          </w:tcPr>
          <w:p w14:paraId="0B3E3500" w14:textId="77777777" w:rsidR="00AC1B78" w:rsidRDefault="002C0F08">
            <w:pPr>
              <w:spacing w:after="0" w:line="245" w:lineRule="auto"/>
              <w:rPr>
                <w:rFonts w:hint="eastAsia"/>
              </w:rPr>
            </w:pPr>
            <w:r>
              <w:rPr>
                <w:color w:val="1F2933"/>
                <w:sz w:val="17"/>
              </w:rPr>
              <w:t>8</w:t>
            </w:r>
          </w:p>
        </w:tc>
        <w:tc>
          <w:tcPr>
            <w:tcW w:w="7344" w:type="dxa"/>
            <w:shd w:val="clear" w:color="auto" w:fill="F7F9FB"/>
            <w:tcMar>
              <w:top w:w="85" w:type="dxa"/>
              <w:left w:w="95" w:type="dxa"/>
              <w:bottom w:w="85" w:type="dxa"/>
              <w:right w:w="95" w:type="dxa"/>
            </w:tcMar>
            <w:vAlign w:val="center"/>
          </w:tcPr>
          <w:p w14:paraId="6C840243" w14:textId="77777777" w:rsidR="00AC1B78" w:rsidRDefault="002C0F08">
            <w:pPr>
              <w:spacing w:after="0" w:line="245" w:lineRule="auto"/>
              <w:rPr>
                <w:rFonts w:hint="eastAsia"/>
              </w:rPr>
            </w:pPr>
            <w:r>
              <w:rPr>
                <w:color w:val="1F2933"/>
                <w:sz w:val="17"/>
              </w:rPr>
              <w:t>Semantic Query Factorization</w:t>
            </w:r>
          </w:p>
        </w:tc>
      </w:tr>
      <w:tr w:rsidR="00AC1B78" w14:paraId="4F46C832" w14:textId="77777777">
        <w:trPr>
          <w:jc w:val="center"/>
        </w:trPr>
        <w:tc>
          <w:tcPr>
            <w:tcW w:w="1584" w:type="dxa"/>
            <w:tcMar>
              <w:top w:w="85" w:type="dxa"/>
              <w:left w:w="95" w:type="dxa"/>
              <w:bottom w:w="85" w:type="dxa"/>
              <w:right w:w="95" w:type="dxa"/>
            </w:tcMar>
            <w:vAlign w:val="center"/>
          </w:tcPr>
          <w:p w14:paraId="008FAE8D" w14:textId="77777777" w:rsidR="00AC1B78" w:rsidRDefault="002C0F08">
            <w:pPr>
              <w:spacing w:after="0" w:line="245" w:lineRule="auto"/>
              <w:rPr>
                <w:rFonts w:hint="eastAsia"/>
              </w:rPr>
            </w:pPr>
            <w:r>
              <w:rPr>
                <w:color w:val="1F2933"/>
                <w:sz w:val="17"/>
              </w:rPr>
              <w:t>9</w:t>
            </w:r>
          </w:p>
        </w:tc>
        <w:tc>
          <w:tcPr>
            <w:tcW w:w="7344" w:type="dxa"/>
            <w:tcMar>
              <w:top w:w="85" w:type="dxa"/>
              <w:left w:w="95" w:type="dxa"/>
              <w:bottom w:w="85" w:type="dxa"/>
              <w:right w:w="95" w:type="dxa"/>
            </w:tcMar>
            <w:vAlign w:val="center"/>
          </w:tcPr>
          <w:p w14:paraId="2327F74B" w14:textId="77777777" w:rsidR="00AC1B78" w:rsidRDefault="002C0F08">
            <w:pPr>
              <w:spacing w:after="0" w:line="245" w:lineRule="auto"/>
              <w:rPr>
                <w:rFonts w:hint="eastAsia"/>
              </w:rPr>
            </w:pPr>
            <w:r>
              <w:rPr>
                <w:color w:val="1F2933"/>
                <w:sz w:val="17"/>
              </w:rPr>
              <w:t>Parallel Subject, Intent, Context, and Epistemic Routing</w:t>
            </w:r>
          </w:p>
        </w:tc>
      </w:tr>
      <w:tr w:rsidR="00AC1B78" w14:paraId="52B3196A" w14:textId="77777777">
        <w:trPr>
          <w:jc w:val="center"/>
        </w:trPr>
        <w:tc>
          <w:tcPr>
            <w:tcW w:w="1584" w:type="dxa"/>
            <w:shd w:val="clear" w:color="auto" w:fill="F7F9FB"/>
            <w:tcMar>
              <w:top w:w="85" w:type="dxa"/>
              <w:left w:w="95" w:type="dxa"/>
              <w:bottom w:w="85" w:type="dxa"/>
              <w:right w:w="95" w:type="dxa"/>
            </w:tcMar>
            <w:vAlign w:val="center"/>
          </w:tcPr>
          <w:p w14:paraId="697B043C" w14:textId="77777777" w:rsidR="00AC1B78" w:rsidRDefault="002C0F08">
            <w:pPr>
              <w:spacing w:after="0" w:line="245" w:lineRule="auto"/>
              <w:rPr>
                <w:rFonts w:hint="eastAsia"/>
              </w:rPr>
            </w:pPr>
            <w:r>
              <w:rPr>
                <w:color w:val="1F2933"/>
                <w:sz w:val="17"/>
              </w:rPr>
              <w:t>10</w:t>
            </w:r>
          </w:p>
        </w:tc>
        <w:tc>
          <w:tcPr>
            <w:tcW w:w="7344" w:type="dxa"/>
            <w:shd w:val="clear" w:color="auto" w:fill="F7F9FB"/>
            <w:tcMar>
              <w:top w:w="85" w:type="dxa"/>
              <w:left w:w="95" w:type="dxa"/>
              <w:bottom w:w="85" w:type="dxa"/>
              <w:right w:w="95" w:type="dxa"/>
            </w:tcMar>
            <w:vAlign w:val="center"/>
          </w:tcPr>
          <w:p w14:paraId="2F5E60C4" w14:textId="77777777" w:rsidR="00AC1B78" w:rsidRDefault="002C0F08">
            <w:pPr>
              <w:spacing w:after="0" w:line="245" w:lineRule="auto"/>
              <w:rPr>
                <w:rFonts w:hint="eastAsia"/>
              </w:rPr>
            </w:pPr>
            <w:r>
              <w:rPr>
                <w:color w:val="1F2933"/>
                <w:sz w:val="17"/>
              </w:rPr>
              <w:t>Active Semantic Frontier</w:t>
            </w:r>
          </w:p>
        </w:tc>
      </w:tr>
      <w:tr w:rsidR="00AC1B78" w14:paraId="17CBE1D5" w14:textId="77777777">
        <w:trPr>
          <w:jc w:val="center"/>
        </w:trPr>
        <w:tc>
          <w:tcPr>
            <w:tcW w:w="1584" w:type="dxa"/>
            <w:tcMar>
              <w:top w:w="85" w:type="dxa"/>
              <w:left w:w="95" w:type="dxa"/>
              <w:bottom w:w="85" w:type="dxa"/>
              <w:right w:w="95" w:type="dxa"/>
            </w:tcMar>
            <w:vAlign w:val="center"/>
          </w:tcPr>
          <w:p w14:paraId="3BE2EC06" w14:textId="77777777" w:rsidR="00AC1B78" w:rsidRDefault="002C0F08">
            <w:pPr>
              <w:spacing w:after="0" w:line="245" w:lineRule="auto"/>
              <w:rPr>
                <w:rFonts w:hint="eastAsia"/>
              </w:rPr>
            </w:pPr>
            <w:r>
              <w:rPr>
                <w:color w:val="1F2933"/>
                <w:sz w:val="17"/>
              </w:rPr>
              <w:t>11</w:t>
            </w:r>
          </w:p>
        </w:tc>
        <w:tc>
          <w:tcPr>
            <w:tcW w:w="7344" w:type="dxa"/>
            <w:tcMar>
              <w:top w:w="85" w:type="dxa"/>
              <w:left w:w="95" w:type="dxa"/>
              <w:bottom w:w="85" w:type="dxa"/>
              <w:right w:w="95" w:type="dxa"/>
            </w:tcMar>
            <w:vAlign w:val="center"/>
          </w:tcPr>
          <w:p w14:paraId="0B8566F8" w14:textId="77777777" w:rsidR="00AC1B78" w:rsidRDefault="002C0F08">
            <w:pPr>
              <w:spacing w:after="0" w:line="245" w:lineRule="auto"/>
              <w:rPr>
                <w:rFonts w:hint="eastAsia"/>
              </w:rPr>
            </w:pPr>
            <w:r>
              <w:rPr>
                <w:color w:val="1F2933"/>
                <w:sz w:val="17"/>
              </w:rPr>
              <w:t>Recursive Resolution and Cross-Branch Intersections</w:t>
            </w:r>
          </w:p>
        </w:tc>
      </w:tr>
      <w:tr w:rsidR="00AC1B78" w14:paraId="71C82B17" w14:textId="77777777">
        <w:trPr>
          <w:jc w:val="center"/>
        </w:trPr>
        <w:tc>
          <w:tcPr>
            <w:tcW w:w="1584" w:type="dxa"/>
            <w:shd w:val="clear" w:color="auto" w:fill="F7F9FB"/>
            <w:tcMar>
              <w:top w:w="85" w:type="dxa"/>
              <w:left w:w="95" w:type="dxa"/>
              <w:bottom w:w="85" w:type="dxa"/>
              <w:right w:w="95" w:type="dxa"/>
            </w:tcMar>
            <w:vAlign w:val="center"/>
          </w:tcPr>
          <w:p w14:paraId="03A36287" w14:textId="77777777" w:rsidR="00AC1B78" w:rsidRDefault="002C0F08">
            <w:pPr>
              <w:spacing w:after="0" w:line="245" w:lineRule="auto"/>
              <w:rPr>
                <w:rFonts w:hint="eastAsia"/>
              </w:rPr>
            </w:pPr>
            <w:r>
              <w:rPr>
                <w:color w:val="1F2933"/>
                <w:sz w:val="17"/>
              </w:rPr>
              <w:t>Part II</w:t>
            </w:r>
          </w:p>
        </w:tc>
        <w:tc>
          <w:tcPr>
            <w:tcW w:w="7344" w:type="dxa"/>
            <w:shd w:val="clear" w:color="auto" w:fill="F7F9FB"/>
            <w:tcMar>
              <w:top w:w="85" w:type="dxa"/>
              <w:left w:w="95" w:type="dxa"/>
              <w:bottom w:w="85" w:type="dxa"/>
              <w:right w:w="95" w:type="dxa"/>
            </w:tcMar>
            <w:vAlign w:val="center"/>
          </w:tcPr>
          <w:p w14:paraId="2E0786B9" w14:textId="77777777" w:rsidR="00AC1B78" w:rsidRDefault="002C0F08">
            <w:pPr>
              <w:spacing w:after="0" w:line="245" w:lineRule="auto"/>
              <w:rPr>
                <w:rFonts w:hint="eastAsia"/>
              </w:rPr>
            </w:pPr>
            <w:r>
              <w:rPr>
                <w:color w:val="1F2933"/>
                <w:sz w:val="17"/>
              </w:rPr>
              <w:t>Semantic Fade</w:t>
            </w:r>
          </w:p>
        </w:tc>
      </w:tr>
      <w:tr w:rsidR="00AC1B78" w14:paraId="6876F54B" w14:textId="77777777">
        <w:trPr>
          <w:jc w:val="center"/>
        </w:trPr>
        <w:tc>
          <w:tcPr>
            <w:tcW w:w="1584" w:type="dxa"/>
            <w:tcMar>
              <w:top w:w="85" w:type="dxa"/>
              <w:left w:w="95" w:type="dxa"/>
              <w:bottom w:w="85" w:type="dxa"/>
              <w:right w:w="95" w:type="dxa"/>
            </w:tcMar>
            <w:vAlign w:val="center"/>
          </w:tcPr>
          <w:p w14:paraId="272A00ED" w14:textId="77777777" w:rsidR="00AC1B78" w:rsidRDefault="002C0F08">
            <w:pPr>
              <w:spacing w:after="0" w:line="245" w:lineRule="auto"/>
              <w:rPr>
                <w:rFonts w:hint="eastAsia"/>
              </w:rPr>
            </w:pPr>
            <w:r>
              <w:rPr>
                <w:color w:val="1F2933"/>
                <w:sz w:val="17"/>
              </w:rPr>
              <w:t>12</w:t>
            </w:r>
          </w:p>
        </w:tc>
        <w:tc>
          <w:tcPr>
            <w:tcW w:w="7344" w:type="dxa"/>
            <w:tcMar>
              <w:top w:w="85" w:type="dxa"/>
              <w:left w:w="95" w:type="dxa"/>
              <w:bottom w:w="85" w:type="dxa"/>
              <w:right w:w="95" w:type="dxa"/>
            </w:tcMar>
            <w:vAlign w:val="center"/>
          </w:tcPr>
          <w:p w14:paraId="11724969" w14:textId="77777777" w:rsidR="00AC1B78" w:rsidRDefault="002C0F08">
            <w:pPr>
              <w:spacing w:after="0" w:line="245" w:lineRule="auto"/>
              <w:rPr>
                <w:rFonts w:hint="eastAsia"/>
              </w:rPr>
            </w:pPr>
            <w:r>
              <w:rPr>
                <w:color w:val="1F2933"/>
                <w:sz w:val="17"/>
              </w:rPr>
              <w:t>Relevance Signals</w:t>
            </w:r>
          </w:p>
        </w:tc>
      </w:tr>
      <w:tr w:rsidR="00AC1B78" w14:paraId="00580C89" w14:textId="77777777">
        <w:trPr>
          <w:jc w:val="center"/>
        </w:trPr>
        <w:tc>
          <w:tcPr>
            <w:tcW w:w="1584" w:type="dxa"/>
            <w:shd w:val="clear" w:color="auto" w:fill="F7F9FB"/>
            <w:tcMar>
              <w:top w:w="85" w:type="dxa"/>
              <w:left w:w="95" w:type="dxa"/>
              <w:bottom w:w="85" w:type="dxa"/>
              <w:right w:w="95" w:type="dxa"/>
            </w:tcMar>
            <w:vAlign w:val="center"/>
          </w:tcPr>
          <w:p w14:paraId="36AD2845" w14:textId="77777777" w:rsidR="00AC1B78" w:rsidRDefault="002C0F08">
            <w:pPr>
              <w:spacing w:after="0" w:line="245" w:lineRule="auto"/>
              <w:rPr>
                <w:rFonts w:hint="eastAsia"/>
              </w:rPr>
            </w:pPr>
            <w:r>
              <w:rPr>
                <w:color w:val="1F2933"/>
                <w:sz w:val="17"/>
              </w:rPr>
              <w:t>13</w:t>
            </w:r>
          </w:p>
        </w:tc>
        <w:tc>
          <w:tcPr>
            <w:tcW w:w="7344" w:type="dxa"/>
            <w:shd w:val="clear" w:color="auto" w:fill="F7F9FB"/>
            <w:tcMar>
              <w:top w:w="85" w:type="dxa"/>
              <w:left w:w="95" w:type="dxa"/>
              <w:bottom w:w="85" w:type="dxa"/>
              <w:right w:w="95" w:type="dxa"/>
            </w:tcMar>
            <w:vAlign w:val="center"/>
          </w:tcPr>
          <w:p w14:paraId="2BEEB9BB" w14:textId="77777777" w:rsidR="00AC1B78" w:rsidRDefault="002C0F08">
            <w:pPr>
              <w:spacing w:after="0" w:line="245" w:lineRule="auto"/>
              <w:rPr>
                <w:rFonts w:hint="eastAsia"/>
              </w:rPr>
            </w:pPr>
            <w:r>
              <w:rPr>
                <w:color w:val="1F2933"/>
                <w:sz w:val="17"/>
              </w:rPr>
              <w:t>Contextual Relevance Re-Evaluation</w:t>
            </w:r>
          </w:p>
        </w:tc>
      </w:tr>
      <w:tr w:rsidR="00AC1B78" w14:paraId="2487EB8D" w14:textId="77777777">
        <w:trPr>
          <w:jc w:val="center"/>
        </w:trPr>
        <w:tc>
          <w:tcPr>
            <w:tcW w:w="1584" w:type="dxa"/>
            <w:tcMar>
              <w:top w:w="85" w:type="dxa"/>
              <w:left w:w="95" w:type="dxa"/>
              <w:bottom w:w="85" w:type="dxa"/>
              <w:right w:w="95" w:type="dxa"/>
            </w:tcMar>
            <w:vAlign w:val="center"/>
          </w:tcPr>
          <w:p w14:paraId="4CE58FD4" w14:textId="77777777" w:rsidR="00AC1B78" w:rsidRDefault="002C0F08">
            <w:pPr>
              <w:spacing w:after="0" w:line="245" w:lineRule="auto"/>
              <w:rPr>
                <w:rFonts w:hint="eastAsia"/>
              </w:rPr>
            </w:pPr>
            <w:r>
              <w:rPr>
                <w:color w:val="1F2933"/>
                <w:sz w:val="17"/>
              </w:rPr>
              <w:t>14</w:t>
            </w:r>
          </w:p>
        </w:tc>
        <w:tc>
          <w:tcPr>
            <w:tcW w:w="7344" w:type="dxa"/>
            <w:tcMar>
              <w:top w:w="85" w:type="dxa"/>
              <w:left w:w="95" w:type="dxa"/>
              <w:bottom w:w="85" w:type="dxa"/>
              <w:right w:w="95" w:type="dxa"/>
            </w:tcMar>
            <w:vAlign w:val="center"/>
          </w:tcPr>
          <w:p w14:paraId="1DCB8A5E" w14:textId="77777777" w:rsidR="00AC1B78" w:rsidRDefault="002C0F08">
            <w:pPr>
              <w:spacing w:after="0" w:line="245" w:lineRule="auto"/>
              <w:rPr>
                <w:rFonts w:hint="eastAsia"/>
              </w:rPr>
            </w:pPr>
            <w:r>
              <w:rPr>
                <w:color w:val="1F2933"/>
                <w:sz w:val="17"/>
              </w:rPr>
              <w:t>Semantic Fade and Continuation Thresholds</w:t>
            </w:r>
          </w:p>
        </w:tc>
      </w:tr>
      <w:tr w:rsidR="00AC1B78" w14:paraId="6E7D8585" w14:textId="77777777">
        <w:trPr>
          <w:jc w:val="center"/>
        </w:trPr>
        <w:tc>
          <w:tcPr>
            <w:tcW w:w="1584" w:type="dxa"/>
            <w:shd w:val="clear" w:color="auto" w:fill="F7F9FB"/>
            <w:tcMar>
              <w:top w:w="85" w:type="dxa"/>
              <w:left w:w="95" w:type="dxa"/>
              <w:bottom w:w="85" w:type="dxa"/>
              <w:right w:w="95" w:type="dxa"/>
            </w:tcMar>
            <w:vAlign w:val="center"/>
          </w:tcPr>
          <w:p w14:paraId="0D644AEE" w14:textId="77777777" w:rsidR="00AC1B78" w:rsidRDefault="002C0F08">
            <w:pPr>
              <w:spacing w:after="0" w:line="245" w:lineRule="auto"/>
              <w:rPr>
                <w:rFonts w:hint="eastAsia"/>
              </w:rPr>
            </w:pPr>
            <w:r>
              <w:rPr>
                <w:color w:val="1F2933"/>
                <w:sz w:val="17"/>
              </w:rPr>
              <w:t>15</w:t>
            </w:r>
          </w:p>
        </w:tc>
        <w:tc>
          <w:tcPr>
            <w:tcW w:w="7344" w:type="dxa"/>
            <w:shd w:val="clear" w:color="auto" w:fill="F7F9FB"/>
            <w:tcMar>
              <w:top w:w="85" w:type="dxa"/>
              <w:left w:w="95" w:type="dxa"/>
              <w:bottom w:w="85" w:type="dxa"/>
              <w:right w:w="95" w:type="dxa"/>
            </w:tcMar>
            <w:vAlign w:val="center"/>
          </w:tcPr>
          <w:p w14:paraId="5B9B439B" w14:textId="77777777" w:rsidR="00AC1B78" w:rsidRDefault="002C0F08">
            <w:pPr>
              <w:spacing w:after="0" w:line="245" w:lineRule="auto"/>
              <w:rPr>
                <w:rFonts w:hint="eastAsia"/>
              </w:rPr>
            </w:pPr>
            <w:r>
              <w:rPr>
                <w:color w:val="1F2933"/>
                <w:sz w:val="17"/>
              </w:rPr>
              <w:t>Semantic Beam Width and Routing Budgets</w:t>
            </w:r>
          </w:p>
        </w:tc>
      </w:tr>
      <w:tr w:rsidR="00AC1B78" w14:paraId="1B964AB8" w14:textId="77777777">
        <w:trPr>
          <w:jc w:val="center"/>
        </w:trPr>
        <w:tc>
          <w:tcPr>
            <w:tcW w:w="1584" w:type="dxa"/>
            <w:tcMar>
              <w:top w:w="85" w:type="dxa"/>
              <w:left w:w="95" w:type="dxa"/>
              <w:bottom w:w="85" w:type="dxa"/>
              <w:right w:w="95" w:type="dxa"/>
            </w:tcMar>
            <w:vAlign w:val="center"/>
          </w:tcPr>
          <w:p w14:paraId="607834F4" w14:textId="77777777" w:rsidR="00AC1B78" w:rsidRDefault="002C0F08">
            <w:pPr>
              <w:spacing w:after="0" w:line="245" w:lineRule="auto"/>
              <w:rPr>
                <w:rFonts w:hint="eastAsia"/>
              </w:rPr>
            </w:pPr>
            <w:r>
              <w:rPr>
                <w:color w:val="1F2933"/>
                <w:sz w:val="17"/>
              </w:rPr>
              <w:t>16</w:t>
            </w:r>
          </w:p>
        </w:tc>
        <w:tc>
          <w:tcPr>
            <w:tcW w:w="7344" w:type="dxa"/>
            <w:tcMar>
              <w:top w:w="85" w:type="dxa"/>
              <w:left w:w="95" w:type="dxa"/>
              <w:bottom w:w="85" w:type="dxa"/>
              <w:right w:w="95" w:type="dxa"/>
            </w:tcMar>
            <w:vAlign w:val="center"/>
          </w:tcPr>
          <w:p w14:paraId="7E945538" w14:textId="77777777" w:rsidR="00AC1B78" w:rsidRDefault="002C0F08">
            <w:pPr>
              <w:spacing w:after="0" w:line="245" w:lineRule="auto"/>
              <w:rPr>
                <w:rFonts w:hint="eastAsia"/>
              </w:rPr>
            </w:pPr>
            <w:r>
              <w:rPr>
                <w:color w:val="1F2933"/>
                <w:sz w:val="17"/>
              </w:rPr>
              <w:t>Stopping Conditions</w:t>
            </w:r>
          </w:p>
        </w:tc>
      </w:tr>
      <w:tr w:rsidR="00AC1B78" w14:paraId="0C679554" w14:textId="77777777">
        <w:trPr>
          <w:jc w:val="center"/>
        </w:trPr>
        <w:tc>
          <w:tcPr>
            <w:tcW w:w="1584" w:type="dxa"/>
            <w:shd w:val="clear" w:color="auto" w:fill="F7F9FB"/>
            <w:tcMar>
              <w:top w:w="85" w:type="dxa"/>
              <w:left w:w="95" w:type="dxa"/>
              <w:bottom w:w="85" w:type="dxa"/>
              <w:right w:w="95" w:type="dxa"/>
            </w:tcMar>
            <w:vAlign w:val="center"/>
          </w:tcPr>
          <w:p w14:paraId="6FBD349B" w14:textId="77777777" w:rsidR="00AC1B78" w:rsidRDefault="002C0F08">
            <w:pPr>
              <w:spacing w:after="0" w:line="245" w:lineRule="auto"/>
              <w:rPr>
                <w:rFonts w:hint="eastAsia"/>
              </w:rPr>
            </w:pPr>
            <w:r>
              <w:rPr>
                <w:color w:val="1F2933"/>
                <w:sz w:val="17"/>
              </w:rPr>
              <w:t>Part III</w:t>
            </w:r>
          </w:p>
        </w:tc>
        <w:tc>
          <w:tcPr>
            <w:tcW w:w="7344" w:type="dxa"/>
            <w:shd w:val="clear" w:color="auto" w:fill="F7F9FB"/>
            <w:tcMar>
              <w:top w:w="85" w:type="dxa"/>
              <w:left w:w="95" w:type="dxa"/>
              <w:bottom w:w="85" w:type="dxa"/>
              <w:right w:w="95" w:type="dxa"/>
            </w:tcMar>
            <w:vAlign w:val="center"/>
          </w:tcPr>
          <w:p w14:paraId="48980E40" w14:textId="77777777" w:rsidR="00AC1B78" w:rsidRDefault="002C0F08">
            <w:pPr>
              <w:spacing w:after="0" w:line="245" w:lineRule="auto"/>
              <w:rPr>
                <w:rFonts w:hint="eastAsia"/>
              </w:rPr>
            </w:pPr>
            <w:r>
              <w:rPr>
                <w:color w:val="1F2933"/>
                <w:sz w:val="17"/>
              </w:rPr>
              <w:t>Authority, Applicability, and Epistemic Context</w:t>
            </w:r>
          </w:p>
        </w:tc>
      </w:tr>
      <w:tr w:rsidR="00AC1B78" w14:paraId="54555DA6" w14:textId="77777777">
        <w:trPr>
          <w:jc w:val="center"/>
        </w:trPr>
        <w:tc>
          <w:tcPr>
            <w:tcW w:w="1584" w:type="dxa"/>
            <w:tcMar>
              <w:top w:w="85" w:type="dxa"/>
              <w:left w:w="95" w:type="dxa"/>
              <w:bottom w:w="85" w:type="dxa"/>
              <w:right w:w="95" w:type="dxa"/>
            </w:tcMar>
            <w:vAlign w:val="center"/>
          </w:tcPr>
          <w:p w14:paraId="7CD87674" w14:textId="77777777" w:rsidR="00AC1B78" w:rsidRDefault="002C0F08">
            <w:pPr>
              <w:spacing w:after="0" w:line="245" w:lineRule="auto"/>
              <w:rPr>
                <w:rFonts w:hint="eastAsia"/>
              </w:rPr>
            </w:pPr>
            <w:r>
              <w:rPr>
                <w:color w:val="1F2933"/>
                <w:sz w:val="17"/>
              </w:rPr>
              <w:t>17</w:t>
            </w:r>
          </w:p>
        </w:tc>
        <w:tc>
          <w:tcPr>
            <w:tcW w:w="7344" w:type="dxa"/>
            <w:tcMar>
              <w:top w:w="85" w:type="dxa"/>
              <w:left w:w="95" w:type="dxa"/>
              <w:bottom w:w="85" w:type="dxa"/>
              <w:right w:w="95" w:type="dxa"/>
            </w:tcMar>
            <w:vAlign w:val="center"/>
          </w:tcPr>
          <w:p w14:paraId="17453029" w14:textId="77777777" w:rsidR="00AC1B78" w:rsidRDefault="002C0F08">
            <w:pPr>
              <w:spacing w:after="0" w:line="245" w:lineRule="auto"/>
              <w:rPr>
                <w:rFonts w:hint="eastAsia"/>
              </w:rPr>
            </w:pPr>
            <w:r>
              <w:rPr>
                <w:color w:val="1F2933"/>
                <w:sz w:val="17"/>
              </w:rPr>
              <w:t>Relevance vs Authority vs Applicability</w:t>
            </w:r>
          </w:p>
        </w:tc>
      </w:tr>
      <w:tr w:rsidR="00AC1B78" w14:paraId="5F57D70A" w14:textId="77777777">
        <w:trPr>
          <w:jc w:val="center"/>
        </w:trPr>
        <w:tc>
          <w:tcPr>
            <w:tcW w:w="1584" w:type="dxa"/>
            <w:shd w:val="clear" w:color="auto" w:fill="F7F9FB"/>
            <w:tcMar>
              <w:top w:w="85" w:type="dxa"/>
              <w:left w:w="95" w:type="dxa"/>
              <w:bottom w:w="85" w:type="dxa"/>
              <w:right w:w="95" w:type="dxa"/>
            </w:tcMar>
            <w:vAlign w:val="center"/>
          </w:tcPr>
          <w:p w14:paraId="69F69174" w14:textId="77777777" w:rsidR="00AC1B78" w:rsidRDefault="002C0F08">
            <w:pPr>
              <w:spacing w:after="0" w:line="245" w:lineRule="auto"/>
              <w:rPr>
                <w:rFonts w:hint="eastAsia"/>
              </w:rPr>
            </w:pPr>
            <w:r>
              <w:rPr>
                <w:color w:val="1F2933"/>
                <w:sz w:val="17"/>
              </w:rPr>
              <w:t>18</w:t>
            </w:r>
          </w:p>
        </w:tc>
        <w:tc>
          <w:tcPr>
            <w:tcW w:w="7344" w:type="dxa"/>
            <w:shd w:val="clear" w:color="auto" w:fill="F7F9FB"/>
            <w:tcMar>
              <w:top w:w="85" w:type="dxa"/>
              <w:left w:w="95" w:type="dxa"/>
              <w:bottom w:w="85" w:type="dxa"/>
              <w:right w:w="95" w:type="dxa"/>
            </w:tcMar>
            <w:vAlign w:val="center"/>
          </w:tcPr>
          <w:p w14:paraId="3336FB6A" w14:textId="77777777" w:rsidR="00AC1B78" w:rsidRDefault="002C0F08">
            <w:pPr>
              <w:spacing w:after="0" w:line="245" w:lineRule="auto"/>
              <w:rPr>
                <w:rFonts w:hint="eastAsia"/>
              </w:rPr>
            </w:pPr>
            <w:r>
              <w:rPr>
                <w:color w:val="1F2933"/>
                <w:sz w:val="17"/>
              </w:rPr>
              <w:t>Context-Bounded Authority</w:t>
            </w:r>
          </w:p>
        </w:tc>
      </w:tr>
      <w:tr w:rsidR="00AC1B78" w14:paraId="0B547564" w14:textId="77777777">
        <w:trPr>
          <w:jc w:val="center"/>
        </w:trPr>
        <w:tc>
          <w:tcPr>
            <w:tcW w:w="1584" w:type="dxa"/>
            <w:tcMar>
              <w:top w:w="85" w:type="dxa"/>
              <w:left w:w="95" w:type="dxa"/>
              <w:bottom w:w="85" w:type="dxa"/>
              <w:right w:w="95" w:type="dxa"/>
            </w:tcMar>
            <w:vAlign w:val="center"/>
          </w:tcPr>
          <w:p w14:paraId="47E18A0D" w14:textId="77777777" w:rsidR="00AC1B78" w:rsidRDefault="002C0F08">
            <w:pPr>
              <w:spacing w:after="0" w:line="245" w:lineRule="auto"/>
              <w:rPr>
                <w:rFonts w:hint="eastAsia"/>
              </w:rPr>
            </w:pPr>
            <w:r>
              <w:rPr>
                <w:color w:val="1F2933"/>
                <w:sz w:val="17"/>
              </w:rPr>
              <w:t>19</w:t>
            </w:r>
          </w:p>
        </w:tc>
        <w:tc>
          <w:tcPr>
            <w:tcW w:w="7344" w:type="dxa"/>
            <w:tcMar>
              <w:top w:w="85" w:type="dxa"/>
              <w:left w:w="95" w:type="dxa"/>
              <w:bottom w:w="85" w:type="dxa"/>
              <w:right w:w="95" w:type="dxa"/>
            </w:tcMar>
            <w:vAlign w:val="center"/>
          </w:tcPr>
          <w:p w14:paraId="3279F262" w14:textId="77777777" w:rsidR="00AC1B78" w:rsidRDefault="002C0F08">
            <w:pPr>
              <w:spacing w:after="0" w:line="245" w:lineRule="auto"/>
              <w:rPr>
                <w:rFonts w:hint="eastAsia"/>
              </w:rPr>
            </w:pPr>
            <w:r>
              <w:rPr>
                <w:color w:val="1F2933"/>
                <w:sz w:val="17"/>
              </w:rPr>
              <w:t>Company Standards</w:t>
            </w:r>
          </w:p>
        </w:tc>
      </w:tr>
      <w:tr w:rsidR="00AC1B78" w14:paraId="50E6EA14" w14:textId="77777777">
        <w:trPr>
          <w:jc w:val="center"/>
        </w:trPr>
        <w:tc>
          <w:tcPr>
            <w:tcW w:w="1584" w:type="dxa"/>
            <w:shd w:val="clear" w:color="auto" w:fill="F7F9FB"/>
            <w:tcMar>
              <w:top w:w="85" w:type="dxa"/>
              <w:left w:w="95" w:type="dxa"/>
              <w:bottom w:w="85" w:type="dxa"/>
              <w:right w:w="95" w:type="dxa"/>
            </w:tcMar>
            <w:vAlign w:val="center"/>
          </w:tcPr>
          <w:p w14:paraId="4228445C" w14:textId="77777777" w:rsidR="00AC1B78" w:rsidRDefault="002C0F08">
            <w:pPr>
              <w:spacing w:after="0" w:line="245" w:lineRule="auto"/>
              <w:rPr>
                <w:rFonts w:hint="eastAsia"/>
              </w:rPr>
            </w:pPr>
            <w:r>
              <w:rPr>
                <w:color w:val="1F2933"/>
                <w:sz w:val="17"/>
              </w:rPr>
              <w:t>20</w:t>
            </w:r>
          </w:p>
        </w:tc>
        <w:tc>
          <w:tcPr>
            <w:tcW w:w="7344" w:type="dxa"/>
            <w:shd w:val="clear" w:color="auto" w:fill="F7F9FB"/>
            <w:tcMar>
              <w:top w:w="85" w:type="dxa"/>
              <w:left w:w="95" w:type="dxa"/>
              <w:bottom w:w="85" w:type="dxa"/>
              <w:right w:w="95" w:type="dxa"/>
            </w:tcMar>
            <w:vAlign w:val="center"/>
          </w:tcPr>
          <w:p w14:paraId="1DD35EC2" w14:textId="77777777" w:rsidR="00AC1B78" w:rsidRDefault="002C0F08">
            <w:pPr>
              <w:spacing w:after="0" w:line="245" w:lineRule="auto"/>
              <w:rPr>
                <w:rFonts w:hint="eastAsia"/>
              </w:rPr>
            </w:pPr>
            <w:r>
              <w:rPr>
                <w:color w:val="1F2933"/>
                <w:sz w:val="17"/>
              </w:rPr>
              <w:t>Game Law and World-Bounded Truth</w:t>
            </w:r>
          </w:p>
        </w:tc>
      </w:tr>
      <w:tr w:rsidR="00AC1B78" w14:paraId="6AAEA24B" w14:textId="77777777">
        <w:trPr>
          <w:jc w:val="center"/>
        </w:trPr>
        <w:tc>
          <w:tcPr>
            <w:tcW w:w="1584" w:type="dxa"/>
            <w:tcMar>
              <w:top w:w="85" w:type="dxa"/>
              <w:left w:w="95" w:type="dxa"/>
              <w:bottom w:w="85" w:type="dxa"/>
              <w:right w:w="95" w:type="dxa"/>
            </w:tcMar>
            <w:vAlign w:val="center"/>
          </w:tcPr>
          <w:p w14:paraId="45AEE48C" w14:textId="77777777" w:rsidR="00AC1B78" w:rsidRDefault="002C0F08">
            <w:pPr>
              <w:spacing w:after="0" w:line="245" w:lineRule="auto"/>
              <w:rPr>
                <w:rFonts w:hint="eastAsia"/>
              </w:rPr>
            </w:pPr>
            <w:r>
              <w:rPr>
                <w:color w:val="1F2933"/>
                <w:sz w:val="17"/>
              </w:rPr>
              <w:t>21</w:t>
            </w:r>
          </w:p>
        </w:tc>
        <w:tc>
          <w:tcPr>
            <w:tcW w:w="7344" w:type="dxa"/>
            <w:tcMar>
              <w:top w:w="85" w:type="dxa"/>
              <w:left w:w="95" w:type="dxa"/>
              <w:bottom w:w="85" w:type="dxa"/>
              <w:right w:w="95" w:type="dxa"/>
            </w:tcMar>
            <w:vAlign w:val="center"/>
          </w:tcPr>
          <w:p w14:paraId="61829C2F" w14:textId="77777777" w:rsidR="00AC1B78" w:rsidRDefault="002C0F08">
            <w:pPr>
              <w:spacing w:after="0" w:line="245" w:lineRule="auto"/>
              <w:rPr>
                <w:rFonts w:hint="eastAsia"/>
              </w:rPr>
            </w:pPr>
            <w:r>
              <w:rPr>
                <w:color w:val="1F2933"/>
                <w:sz w:val="17"/>
              </w:rPr>
              <w:t>CIRCLE / FRINGE / FASK</w:t>
            </w:r>
          </w:p>
        </w:tc>
      </w:tr>
      <w:tr w:rsidR="00AC1B78" w14:paraId="32D38F37" w14:textId="77777777">
        <w:trPr>
          <w:jc w:val="center"/>
        </w:trPr>
        <w:tc>
          <w:tcPr>
            <w:tcW w:w="1584" w:type="dxa"/>
            <w:shd w:val="clear" w:color="auto" w:fill="F7F9FB"/>
            <w:tcMar>
              <w:top w:w="85" w:type="dxa"/>
              <w:left w:w="95" w:type="dxa"/>
              <w:bottom w:w="85" w:type="dxa"/>
              <w:right w:w="95" w:type="dxa"/>
            </w:tcMar>
            <w:vAlign w:val="center"/>
          </w:tcPr>
          <w:p w14:paraId="489514AD" w14:textId="77777777" w:rsidR="00AC1B78" w:rsidRDefault="002C0F08">
            <w:pPr>
              <w:spacing w:after="0" w:line="245" w:lineRule="auto"/>
              <w:rPr>
                <w:rFonts w:hint="eastAsia"/>
              </w:rPr>
            </w:pPr>
            <w:r>
              <w:rPr>
                <w:color w:val="1F2933"/>
                <w:sz w:val="17"/>
              </w:rPr>
              <w:t>22</w:t>
            </w:r>
          </w:p>
        </w:tc>
        <w:tc>
          <w:tcPr>
            <w:tcW w:w="7344" w:type="dxa"/>
            <w:shd w:val="clear" w:color="auto" w:fill="F7F9FB"/>
            <w:tcMar>
              <w:top w:w="85" w:type="dxa"/>
              <w:left w:w="95" w:type="dxa"/>
              <w:bottom w:w="85" w:type="dxa"/>
              <w:right w:w="95" w:type="dxa"/>
            </w:tcMar>
            <w:vAlign w:val="center"/>
          </w:tcPr>
          <w:p w14:paraId="1A470D3D" w14:textId="77777777" w:rsidR="00AC1B78" w:rsidRDefault="002C0F08">
            <w:pPr>
              <w:spacing w:after="0" w:line="245" w:lineRule="auto"/>
              <w:rPr>
                <w:rFonts w:hint="eastAsia"/>
              </w:rPr>
            </w:pPr>
            <w:r>
              <w:rPr>
                <w:color w:val="1F2933"/>
                <w:sz w:val="17"/>
              </w:rPr>
              <w:t>Permission-Bounded Retrieval</w:t>
            </w:r>
          </w:p>
        </w:tc>
      </w:tr>
      <w:tr w:rsidR="00AC1B78" w14:paraId="38FD72EF" w14:textId="77777777">
        <w:trPr>
          <w:jc w:val="center"/>
        </w:trPr>
        <w:tc>
          <w:tcPr>
            <w:tcW w:w="1584" w:type="dxa"/>
            <w:tcMar>
              <w:top w:w="85" w:type="dxa"/>
              <w:left w:w="95" w:type="dxa"/>
              <w:bottom w:w="85" w:type="dxa"/>
              <w:right w:w="95" w:type="dxa"/>
            </w:tcMar>
            <w:vAlign w:val="center"/>
          </w:tcPr>
          <w:p w14:paraId="7929F157" w14:textId="77777777" w:rsidR="00AC1B78" w:rsidRDefault="002C0F08">
            <w:pPr>
              <w:spacing w:after="0" w:line="245" w:lineRule="auto"/>
              <w:rPr>
                <w:rFonts w:hint="eastAsia"/>
              </w:rPr>
            </w:pPr>
            <w:r>
              <w:rPr>
                <w:color w:val="1F2933"/>
                <w:sz w:val="17"/>
              </w:rPr>
              <w:t>Part IV</w:t>
            </w:r>
          </w:p>
        </w:tc>
        <w:tc>
          <w:tcPr>
            <w:tcW w:w="7344" w:type="dxa"/>
            <w:tcMar>
              <w:top w:w="85" w:type="dxa"/>
              <w:left w:w="95" w:type="dxa"/>
              <w:bottom w:w="85" w:type="dxa"/>
              <w:right w:w="95" w:type="dxa"/>
            </w:tcMar>
            <w:vAlign w:val="center"/>
          </w:tcPr>
          <w:p w14:paraId="591C97EE" w14:textId="77777777" w:rsidR="00AC1B78" w:rsidRDefault="002C0F08">
            <w:pPr>
              <w:spacing w:after="0" w:line="245" w:lineRule="auto"/>
              <w:rPr>
                <w:rFonts w:hint="eastAsia"/>
              </w:rPr>
            </w:pPr>
            <w:r>
              <w:rPr>
                <w:color w:val="1F2933"/>
                <w:sz w:val="17"/>
              </w:rPr>
              <w:t>GROOVE Retrieval and Progressive Attention</w:t>
            </w:r>
          </w:p>
        </w:tc>
      </w:tr>
      <w:tr w:rsidR="00AC1B78" w14:paraId="6E25554D" w14:textId="77777777">
        <w:trPr>
          <w:jc w:val="center"/>
        </w:trPr>
        <w:tc>
          <w:tcPr>
            <w:tcW w:w="1584" w:type="dxa"/>
            <w:shd w:val="clear" w:color="auto" w:fill="F7F9FB"/>
            <w:tcMar>
              <w:top w:w="85" w:type="dxa"/>
              <w:left w:w="95" w:type="dxa"/>
              <w:bottom w:w="85" w:type="dxa"/>
              <w:right w:w="95" w:type="dxa"/>
            </w:tcMar>
            <w:vAlign w:val="center"/>
          </w:tcPr>
          <w:p w14:paraId="6E2EFCC2" w14:textId="77777777" w:rsidR="00AC1B78" w:rsidRDefault="002C0F08">
            <w:pPr>
              <w:spacing w:after="0" w:line="245" w:lineRule="auto"/>
              <w:rPr>
                <w:rFonts w:hint="eastAsia"/>
              </w:rPr>
            </w:pPr>
            <w:r>
              <w:rPr>
                <w:color w:val="1F2933"/>
                <w:sz w:val="17"/>
              </w:rPr>
              <w:t>23</w:t>
            </w:r>
          </w:p>
        </w:tc>
        <w:tc>
          <w:tcPr>
            <w:tcW w:w="7344" w:type="dxa"/>
            <w:shd w:val="clear" w:color="auto" w:fill="F7F9FB"/>
            <w:tcMar>
              <w:top w:w="85" w:type="dxa"/>
              <w:left w:w="95" w:type="dxa"/>
              <w:bottom w:w="85" w:type="dxa"/>
              <w:right w:w="95" w:type="dxa"/>
            </w:tcMar>
            <w:vAlign w:val="center"/>
          </w:tcPr>
          <w:p w14:paraId="1BA398B0" w14:textId="77777777" w:rsidR="00AC1B78" w:rsidRDefault="002C0F08">
            <w:pPr>
              <w:spacing w:after="0" w:line="245" w:lineRule="auto"/>
              <w:rPr>
                <w:rFonts w:hint="eastAsia"/>
              </w:rPr>
            </w:pPr>
            <w:r>
              <w:rPr>
                <w:color w:val="1F2933"/>
                <w:sz w:val="17"/>
              </w:rPr>
              <w:t>00 Knowledge Bundles</w:t>
            </w:r>
          </w:p>
        </w:tc>
      </w:tr>
      <w:tr w:rsidR="00AC1B78" w14:paraId="7389DF6F" w14:textId="77777777">
        <w:trPr>
          <w:jc w:val="center"/>
        </w:trPr>
        <w:tc>
          <w:tcPr>
            <w:tcW w:w="1584" w:type="dxa"/>
            <w:tcMar>
              <w:top w:w="85" w:type="dxa"/>
              <w:left w:w="95" w:type="dxa"/>
              <w:bottom w:w="85" w:type="dxa"/>
              <w:right w:w="95" w:type="dxa"/>
            </w:tcMar>
            <w:vAlign w:val="center"/>
          </w:tcPr>
          <w:p w14:paraId="2946621C" w14:textId="77777777" w:rsidR="00AC1B78" w:rsidRDefault="002C0F08">
            <w:pPr>
              <w:spacing w:after="0" w:line="245" w:lineRule="auto"/>
              <w:rPr>
                <w:rFonts w:hint="eastAsia"/>
              </w:rPr>
            </w:pPr>
            <w:r>
              <w:rPr>
                <w:color w:val="1F2933"/>
                <w:sz w:val="17"/>
              </w:rPr>
              <w:t>24</w:t>
            </w:r>
          </w:p>
        </w:tc>
        <w:tc>
          <w:tcPr>
            <w:tcW w:w="7344" w:type="dxa"/>
            <w:tcMar>
              <w:top w:w="85" w:type="dxa"/>
              <w:left w:w="95" w:type="dxa"/>
              <w:bottom w:w="85" w:type="dxa"/>
              <w:right w:w="95" w:type="dxa"/>
            </w:tcMar>
            <w:vAlign w:val="center"/>
          </w:tcPr>
          <w:p w14:paraId="0C2E9EAC" w14:textId="77777777" w:rsidR="00AC1B78" w:rsidRDefault="002C0F08">
            <w:pPr>
              <w:spacing w:after="0" w:line="245" w:lineRule="auto"/>
              <w:rPr>
                <w:rFonts w:hint="eastAsia"/>
              </w:rPr>
            </w:pPr>
            <w:r>
              <w:rPr>
                <w:color w:val="1F2933"/>
                <w:sz w:val="17"/>
              </w:rPr>
              <w:t>Saved GROOVE Coordinates</w:t>
            </w:r>
          </w:p>
        </w:tc>
      </w:tr>
      <w:tr w:rsidR="00AC1B78" w14:paraId="578579DB" w14:textId="77777777">
        <w:trPr>
          <w:jc w:val="center"/>
        </w:trPr>
        <w:tc>
          <w:tcPr>
            <w:tcW w:w="1584" w:type="dxa"/>
            <w:shd w:val="clear" w:color="auto" w:fill="F7F9FB"/>
            <w:tcMar>
              <w:top w:w="85" w:type="dxa"/>
              <w:left w:w="95" w:type="dxa"/>
              <w:bottom w:w="85" w:type="dxa"/>
              <w:right w:w="95" w:type="dxa"/>
            </w:tcMar>
            <w:vAlign w:val="center"/>
          </w:tcPr>
          <w:p w14:paraId="0B4D92F3" w14:textId="77777777" w:rsidR="00AC1B78" w:rsidRDefault="002C0F08">
            <w:pPr>
              <w:spacing w:after="0" w:line="245" w:lineRule="auto"/>
              <w:rPr>
                <w:rFonts w:hint="eastAsia"/>
              </w:rPr>
            </w:pPr>
            <w:r>
              <w:rPr>
                <w:color w:val="1F2933"/>
                <w:sz w:val="17"/>
              </w:rPr>
              <w:t>25</w:t>
            </w:r>
          </w:p>
        </w:tc>
        <w:tc>
          <w:tcPr>
            <w:tcW w:w="7344" w:type="dxa"/>
            <w:shd w:val="clear" w:color="auto" w:fill="F7F9FB"/>
            <w:tcMar>
              <w:top w:w="85" w:type="dxa"/>
              <w:left w:w="95" w:type="dxa"/>
              <w:bottom w:w="85" w:type="dxa"/>
              <w:right w:w="95" w:type="dxa"/>
            </w:tcMar>
            <w:vAlign w:val="center"/>
          </w:tcPr>
          <w:p w14:paraId="3A0B1DDD" w14:textId="77777777" w:rsidR="00AC1B78" w:rsidRDefault="002C0F08">
            <w:pPr>
              <w:spacing w:after="0" w:line="245" w:lineRule="auto"/>
              <w:rPr>
                <w:rFonts w:hint="eastAsia"/>
              </w:rPr>
            </w:pPr>
            <w:r>
              <w:rPr>
                <w:color w:val="1F2933"/>
                <w:sz w:val="17"/>
              </w:rPr>
              <w:t>Document-Level Semantic Matching</w:t>
            </w:r>
          </w:p>
        </w:tc>
      </w:tr>
      <w:tr w:rsidR="00AC1B78" w14:paraId="061F5D90" w14:textId="77777777">
        <w:trPr>
          <w:jc w:val="center"/>
        </w:trPr>
        <w:tc>
          <w:tcPr>
            <w:tcW w:w="1584" w:type="dxa"/>
            <w:tcMar>
              <w:top w:w="85" w:type="dxa"/>
              <w:left w:w="95" w:type="dxa"/>
              <w:bottom w:w="85" w:type="dxa"/>
              <w:right w:w="95" w:type="dxa"/>
            </w:tcMar>
            <w:vAlign w:val="center"/>
          </w:tcPr>
          <w:p w14:paraId="36A0A6D8" w14:textId="77777777" w:rsidR="00AC1B78" w:rsidRDefault="002C0F08">
            <w:pPr>
              <w:spacing w:after="0" w:line="245" w:lineRule="auto"/>
              <w:rPr>
                <w:rFonts w:hint="eastAsia"/>
              </w:rPr>
            </w:pPr>
            <w:r>
              <w:rPr>
                <w:color w:val="1F2933"/>
                <w:sz w:val="17"/>
              </w:rPr>
              <w:t>26</w:t>
            </w:r>
          </w:p>
        </w:tc>
        <w:tc>
          <w:tcPr>
            <w:tcW w:w="7344" w:type="dxa"/>
            <w:tcMar>
              <w:top w:w="85" w:type="dxa"/>
              <w:left w:w="95" w:type="dxa"/>
              <w:bottom w:w="85" w:type="dxa"/>
              <w:right w:w="95" w:type="dxa"/>
            </w:tcMar>
            <w:vAlign w:val="center"/>
          </w:tcPr>
          <w:p w14:paraId="4C2D6F9B" w14:textId="77777777" w:rsidR="00AC1B78" w:rsidRDefault="002C0F08">
            <w:pPr>
              <w:spacing w:after="0" w:line="245" w:lineRule="auto"/>
              <w:rPr>
                <w:rFonts w:hint="eastAsia"/>
              </w:rPr>
            </w:pPr>
            <w:r>
              <w:rPr>
                <w:color w:val="1F2933"/>
                <w:sz w:val="17"/>
              </w:rPr>
              <w:t>Branch-Conditioned Descriptions</w:t>
            </w:r>
          </w:p>
        </w:tc>
      </w:tr>
      <w:tr w:rsidR="00AC1B78" w14:paraId="2389D577" w14:textId="77777777">
        <w:trPr>
          <w:jc w:val="center"/>
        </w:trPr>
        <w:tc>
          <w:tcPr>
            <w:tcW w:w="1584" w:type="dxa"/>
            <w:shd w:val="clear" w:color="auto" w:fill="F7F9FB"/>
            <w:tcMar>
              <w:top w:w="85" w:type="dxa"/>
              <w:left w:w="95" w:type="dxa"/>
              <w:bottom w:w="85" w:type="dxa"/>
              <w:right w:w="95" w:type="dxa"/>
            </w:tcMar>
            <w:vAlign w:val="center"/>
          </w:tcPr>
          <w:p w14:paraId="7C54FF07" w14:textId="77777777" w:rsidR="00AC1B78" w:rsidRDefault="002C0F08">
            <w:pPr>
              <w:spacing w:after="0" w:line="245" w:lineRule="auto"/>
              <w:rPr>
                <w:rFonts w:hint="eastAsia"/>
              </w:rPr>
            </w:pPr>
            <w:r>
              <w:rPr>
                <w:color w:val="1F2933"/>
                <w:sz w:val="17"/>
              </w:rPr>
              <w:t>27</w:t>
            </w:r>
          </w:p>
        </w:tc>
        <w:tc>
          <w:tcPr>
            <w:tcW w:w="7344" w:type="dxa"/>
            <w:shd w:val="clear" w:color="auto" w:fill="F7F9FB"/>
            <w:tcMar>
              <w:top w:w="85" w:type="dxa"/>
              <w:left w:w="95" w:type="dxa"/>
              <w:bottom w:w="85" w:type="dxa"/>
              <w:right w:w="95" w:type="dxa"/>
            </w:tcMar>
            <w:vAlign w:val="center"/>
          </w:tcPr>
          <w:p w14:paraId="63C8A5B4" w14:textId="77777777" w:rsidR="00AC1B78" w:rsidRDefault="002C0F08">
            <w:pPr>
              <w:spacing w:after="0" w:line="245" w:lineRule="auto"/>
              <w:rPr>
                <w:rFonts w:hint="eastAsia"/>
              </w:rPr>
            </w:pPr>
            <w:r>
              <w:rPr>
                <w:color w:val="1F2933"/>
                <w:sz w:val="17"/>
              </w:rPr>
              <w:t>Retrieval Funnel</w:t>
            </w:r>
          </w:p>
        </w:tc>
      </w:tr>
      <w:tr w:rsidR="00AC1B78" w14:paraId="205D3777" w14:textId="77777777">
        <w:trPr>
          <w:jc w:val="center"/>
        </w:trPr>
        <w:tc>
          <w:tcPr>
            <w:tcW w:w="1584" w:type="dxa"/>
            <w:tcMar>
              <w:top w:w="85" w:type="dxa"/>
              <w:left w:w="95" w:type="dxa"/>
              <w:bottom w:w="85" w:type="dxa"/>
              <w:right w:w="95" w:type="dxa"/>
            </w:tcMar>
            <w:vAlign w:val="center"/>
          </w:tcPr>
          <w:p w14:paraId="79CEFF5B" w14:textId="77777777" w:rsidR="00AC1B78" w:rsidRDefault="002C0F08">
            <w:pPr>
              <w:spacing w:after="0" w:line="245" w:lineRule="auto"/>
              <w:rPr>
                <w:rFonts w:hint="eastAsia"/>
              </w:rPr>
            </w:pPr>
            <w:r>
              <w:rPr>
                <w:color w:val="1F2933"/>
                <w:sz w:val="17"/>
              </w:rPr>
              <w:t>28</w:t>
            </w:r>
          </w:p>
        </w:tc>
        <w:tc>
          <w:tcPr>
            <w:tcW w:w="7344" w:type="dxa"/>
            <w:tcMar>
              <w:top w:w="85" w:type="dxa"/>
              <w:left w:w="95" w:type="dxa"/>
              <w:bottom w:w="85" w:type="dxa"/>
              <w:right w:w="95" w:type="dxa"/>
            </w:tcMar>
            <w:vAlign w:val="center"/>
          </w:tcPr>
          <w:p w14:paraId="1527510E" w14:textId="77777777" w:rsidR="00AC1B78" w:rsidRDefault="002C0F08">
            <w:pPr>
              <w:spacing w:after="0" w:line="245" w:lineRule="auto"/>
              <w:rPr>
                <w:rFonts w:hint="eastAsia"/>
              </w:rPr>
            </w:pPr>
            <w:r>
              <w:rPr>
                <w:color w:val="1F2933"/>
                <w:sz w:val="17"/>
              </w:rPr>
              <w:t>Selective Source Reopening</w:t>
            </w:r>
          </w:p>
        </w:tc>
      </w:tr>
      <w:tr w:rsidR="00AC1B78" w14:paraId="224F15BD" w14:textId="77777777">
        <w:trPr>
          <w:jc w:val="center"/>
        </w:trPr>
        <w:tc>
          <w:tcPr>
            <w:tcW w:w="1584" w:type="dxa"/>
            <w:shd w:val="clear" w:color="auto" w:fill="F7F9FB"/>
            <w:tcMar>
              <w:top w:w="85" w:type="dxa"/>
              <w:left w:w="95" w:type="dxa"/>
              <w:bottom w:w="85" w:type="dxa"/>
              <w:right w:w="95" w:type="dxa"/>
            </w:tcMar>
            <w:vAlign w:val="center"/>
          </w:tcPr>
          <w:p w14:paraId="33259E9B" w14:textId="77777777" w:rsidR="00AC1B78" w:rsidRDefault="002C0F08">
            <w:pPr>
              <w:spacing w:after="0" w:line="245" w:lineRule="auto"/>
              <w:rPr>
                <w:rFonts w:hint="eastAsia"/>
              </w:rPr>
            </w:pPr>
            <w:r>
              <w:rPr>
                <w:color w:val="1F2933"/>
                <w:sz w:val="17"/>
              </w:rPr>
              <w:t>29</w:t>
            </w:r>
          </w:p>
        </w:tc>
        <w:tc>
          <w:tcPr>
            <w:tcW w:w="7344" w:type="dxa"/>
            <w:shd w:val="clear" w:color="auto" w:fill="F7F9FB"/>
            <w:tcMar>
              <w:top w:w="85" w:type="dxa"/>
              <w:left w:w="95" w:type="dxa"/>
              <w:bottom w:w="85" w:type="dxa"/>
              <w:right w:w="95" w:type="dxa"/>
            </w:tcMar>
            <w:vAlign w:val="center"/>
          </w:tcPr>
          <w:p w14:paraId="454279FF" w14:textId="77777777" w:rsidR="00AC1B78" w:rsidRDefault="002C0F08">
            <w:pPr>
              <w:spacing w:after="0" w:line="245" w:lineRule="auto"/>
              <w:rPr>
                <w:rFonts w:hint="eastAsia"/>
              </w:rPr>
            </w:pPr>
            <w:r>
              <w:rPr>
                <w:color w:val="1F2933"/>
                <w:sz w:val="17"/>
              </w:rPr>
              <w:t>Token Attention</w:t>
            </w:r>
          </w:p>
        </w:tc>
      </w:tr>
      <w:tr w:rsidR="00AC1B78" w14:paraId="453DA2FC" w14:textId="77777777">
        <w:trPr>
          <w:jc w:val="center"/>
        </w:trPr>
        <w:tc>
          <w:tcPr>
            <w:tcW w:w="1584" w:type="dxa"/>
            <w:tcMar>
              <w:top w:w="85" w:type="dxa"/>
              <w:left w:w="95" w:type="dxa"/>
              <w:bottom w:w="85" w:type="dxa"/>
              <w:right w:w="95" w:type="dxa"/>
            </w:tcMar>
            <w:vAlign w:val="center"/>
          </w:tcPr>
          <w:p w14:paraId="4F01AEEE" w14:textId="77777777" w:rsidR="00AC1B78" w:rsidRDefault="002C0F08">
            <w:pPr>
              <w:spacing w:after="0" w:line="245" w:lineRule="auto"/>
              <w:rPr>
                <w:rFonts w:hint="eastAsia"/>
              </w:rPr>
            </w:pPr>
            <w:r>
              <w:rPr>
                <w:color w:val="1F2933"/>
                <w:sz w:val="17"/>
              </w:rPr>
              <w:t>Part V</w:t>
            </w:r>
          </w:p>
        </w:tc>
        <w:tc>
          <w:tcPr>
            <w:tcW w:w="7344" w:type="dxa"/>
            <w:tcMar>
              <w:top w:w="85" w:type="dxa"/>
              <w:left w:w="95" w:type="dxa"/>
              <w:bottom w:w="85" w:type="dxa"/>
              <w:right w:w="95" w:type="dxa"/>
            </w:tcMar>
            <w:vAlign w:val="center"/>
          </w:tcPr>
          <w:p w14:paraId="0EA0ADF1" w14:textId="77777777" w:rsidR="00AC1B78" w:rsidRDefault="002C0F08">
            <w:pPr>
              <w:spacing w:after="0" w:line="245" w:lineRule="auto"/>
              <w:rPr>
                <w:rFonts w:hint="eastAsia"/>
              </w:rPr>
            </w:pPr>
            <w:r>
              <w:rPr>
                <w:color w:val="1F2933"/>
                <w:sz w:val="17"/>
              </w:rPr>
              <w:t>Semantic Search Execution</w:t>
            </w:r>
          </w:p>
        </w:tc>
      </w:tr>
      <w:tr w:rsidR="00AC1B78" w14:paraId="1EF692AE" w14:textId="77777777">
        <w:trPr>
          <w:jc w:val="center"/>
        </w:trPr>
        <w:tc>
          <w:tcPr>
            <w:tcW w:w="1584" w:type="dxa"/>
            <w:shd w:val="clear" w:color="auto" w:fill="F7F9FB"/>
            <w:tcMar>
              <w:top w:w="85" w:type="dxa"/>
              <w:left w:w="95" w:type="dxa"/>
              <w:bottom w:w="85" w:type="dxa"/>
              <w:right w:w="95" w:type="dxa"/>
            </w:tcMar>
            <w:vAlign w:val="center"/>
          </w:tcPr>
          <w:p w14:paraId="68A26C5F" w14:textId="77777777" w:rsidR="00AC1B78" w:rsidRDefault="002C0F08">
            <w:pPr>
              <w:spacing w:after="0" w:line="245" w:lineRule="auto"/>
              <w:rPr>
                <w:rFonts w:hint="eastAsia"/>
              </w:rPr>
            </w:pPr>
            <w:r>
              <w:rPr>
                <w:color w:val="1F2933"/>
                <w:sz w:val="17"/>
              </w:rPr>
              <w:t>30</w:t>
            </w:r>
          </w:p>
        </w:tc>
        <w:tc>
          <w:tcPr>
            <w:tcW w:w="7344" w:type="dxa"/>
            <w:shd w:val="clear" w:color="auto" w:fill="F7F9FB"/>
            <w:tcMar>
              <w:top w:w="85" w:type="dxa"/>
              <w:left w:w="95" w:type="dxa"/>
              <w:bottom w:w="85" w:type="dxa"/>
              <w:right w:w="95" w:type="dxa"/>
            </w:tcMar>
            <w:vAlign w:val="center"/>
          </w:tcPr>
          <w:p w14:paraId="3A2455A6" w14:textId="77777777" w:rsidR="00AC1B78" w:rsidRDefault="002C0F08">
            <w:pPr>
              <w:spacing w:after="0" w:line="245" w:lineRule="auto"/>
              <w:rPr>
                <w:rFonts w:hint="eastAsia"/>
              </w:rPr>
            </w:pPr>
            <w:r>
              <w:rPr>
                <w:color w:val="1F2933"/>
                <w:sz w:val="17"/>
              </w:rPr>
              <w:t>Semantic Search Plan</w:t>
            </w:r>
          </w:p>
        </w:tc>
      </w:tr>
      <w:tr w:rsidR="00AC1B78" w14:paraId="4102C469" w14:textId="77777777">
        <w:trPr>
          <w:jc w:val="center"/>
        </w:trPr>
        <w:tc>
          <w:tcPr>
            <w:tcW w:w="1584" w:type="dxa"/>
            <w:tcMar>
              <w:top w:w="85" w:type="dxa"/>
              <w:left w:w="95" w:type="dxa"/>
              <w:bottom w:w="85" w:type="dxa"/>
              <w:right w:w="95" w:type="dxa"/>
            </w:tcMar>
            <w:vAlign w:val="center"/>
          </w:tcPr>
          <w:p w14:paraId="7465DAB9" w14:textId="77777777" w:rsidR="00AC1B78" w:rsidRDefault="002C0F08">
            <w:pPr>
              <w:spacing w:after="0" w:line="245" w:lineRule="auto"/>
              <w:rPr>
                <w:rFonts w:hint="eastAsia"/>
              </w:rPr>
            </w:pPr>
            <w:r>
              <w:rPr>
                <w:color w:val="1F2933"/>
                <w:sz w:val="17"/>
              </w:rPr>
              <w:t>31</w:t>
            </w:r>
          </w:p>
        </w:tc>
        <w:tc>
          <w:tcPr>
            <w:tcW w:w="7344" w:type="dxa"/>
            <w:tcMar>
              <w:top w:w="85" w:type="dxa"/>
              <w:left w:w="95" w:type="dxa"/>
              <w:bottom w:w="85" w:type="dxa"/>
              <w:right w:w="95" w:type="dxa"/>
            </w:tcMar>
            <w:vAlign w:val="center"/>
          </w:tcPr>
          <w:p w14:paraId="0284F049" w14:textId="77777777" w:rsidR="00AC1B78" w:rsidRDefault="002C0F08">
            <w:pPr>
              <w:spacing w:after="0" w:line="245" w:lineRule="auto"/>
              <w:rPr>
                <w:rFonts w:hint="eastAsia"/>
              </w:rPr>
            </w:pPr>
            <w:r>
              <w:rPr>
                <w:color w:val="1F2933"/>
                <w:sz w:val="17"/>
              </w:rPr>
              <w:t>Models, Operators, Rules, and Literature</w:t>
            </w:r>
          </w:p>
        </w:tc>
      </w:tr>
      <w:tr w:rsidR="00AC1B78" w14:paraId="5578E5B3" w14:textId="77777777">
        <w:trPr>
          <w:jc w:val="center"/>
        </w:trPr>
        <w:tc>
          <w:tcPr>
            <w:tcW w:w="1584" w:type="dxa"/>
            <w:shd w:val="clear" w:color="auto" w:fill="F7F9FB"/>
            <w:tcMar>
              <w:top w:w="85" w:type="dxa"/>
              <w:left w:w="95" w:type="dxa"/>
              <w:bottom w:w="85" w:type="dxa"/>
              <w:right w:w="95" w:type="dxa"/>
            </w:tcMar>
            <w:vAlign w:val="center"/>
          </w:tcPr>
          <w:p w14:paraId="2235CA36" w14:textId="77777777" w:rsidR="00AC1B78" w:rsidRDefault="002C0F08">
            <w:pPr>
              <w:spacing w:after="0" w:line="245" w:lineRule="auto"/>
              <w:rPr>
                <w:rFonts w:hint="eastAsia"/>
              </w:rPr>
            </w:pPr>
            <w:r>
              <w:rPr>
                <w:color w:val="1F2933"/>
                <w:sz w:val="17"/>
              </w:rPr>
              <w:t>32</w:t>
            </w:r>
          </w:p>
        </w:tc>
        <w:tc>
          <w:tcPr>
            <w:tcW w:w="7344" w:type="dxa"/>
            <w:shd w:val="clear" w:color="auto" w:fill="F7F9FB"/>
            <w:tcMar>
              <w:top w:w="85" w:type="dxa"/>
              <w:left w:w="95" w:type="dxa"/>
              <w:bottom w:w="85" w:type="dxa"/>
              <w:right w:w="95" w:type="dxa"/>
            </w:tcMar>
            <w:vAlign w:val="center"/>
          </w:tcPr>
          <w:p w14:paraId="049B50D6" w14:textId="77777777" w:rsidR="00AC1B78" w:rsidRDefault="002C0F08">
            <w:pPr>
              <w:spacing w:after="0" w:line="245" w:lineRule="auto"/>
              <w:rPr>
                <w:rFonts w:hint="eastAsia"/>
              </w:rPr>
            </w:pPr>
            <w:r>
              <w:rPr>
                <w:color w:val="1F2933"/>
                <w:sz w:val="17"/>
              </w:rPr>
              <w:t>Source Selection and Grounding</w:t>
            </w:r>
          </w:p>
        </w:tc>
      </w:tr>
      <w:tr w:rsidR="00AC1B78" w14:paraId="1ADA124E" w14:textId="77777777">
        <w:trPr>
          <w:jc w:val="center"/>
        </w:trPr>
        <w:tc>
          <w:tcPr>
            <w:tcW w:w="1584" w:type="dxa"/>
            <w:tcMar>
              <w:top w:w="85" w:type="dxa"/>
              <w:left w:w="95" w:type="dxa"/>
              <w:bottom w:w="85" w:type="dxa"/>
              <w:right w:w="95" w:type="dxa"/>
            </w:tcMar>
            <w:vAlign w:val="center"/>
          </w:tcPr>
          <w:p w14:paraId="1A10FA91" w14:textId="77777777" w:rsidR="00AC1B78" w:rsidRDefault="002C0F08">
            <w:pPr>
              <w:spacing w:after="0" w:line="245" w:lineRule="auto"/>
              <w:rPr>
                <w:rFonts w:hint="eastAsia"/>
              </w:rPr>
            </w:pPr>
            <w:r>
              <w:rPr>
                <w:color w:val="1F2933"/>
                <w:sz w:val="17"/>
              </w:rPr>
              <w:t>33</w:t>
            </w:r>
          </w:p>
        </w:tc>
        <w:tc>
          <w:tcPr>
            <w:tcW w:w="7344" w:type="dxa"/>
            <w:tcMar>
              <w:top w:w="85" w:type="dxa"/>
              <w:left w:w="95" w:type="dxa"/>
              <w:bottom w:w="85" w:type="dxa"/>
              <w:right w:w="95" w:type="dxa"/>
            </w:tcMar>
            <w:vAlign w:val="center"/>
          </w:tcPr>
          <w:p w14:paraId="18694DCB" w14:textId="77777777" w:rsidR="00AC1B78" w:rsidRDefault="002C0F08">
            <w:pPr>
              <w:spacing w:after="0" w:line="245" w:lineRule="auto"/>
              <w:rPr>
                <w:rFonts w:hint="eastAsia"/>
              </w:rPr>
            </w:pPr>
            <w:r>
              <w:rPr>
                <w:color w:val="1F2933"/>
                <w:sz w:val="17"/>
              </w:rPr>
              <w:t>Search Trace and Explainability</w:t>
            </w:r>
          </w:p>
        </w:tc>
      </w:tr>
      <w:tr w:rsidR="00AC1B78" w14:paraId="5DCA7CB2" w14:textId="77777777">
        <w:trPr>
          <w:jc w:val="center"/>
        </w:trPr>
        <w:tc>
          <w:tcPr>
            <w:tcW w:w="1584" w:type="dxa"/>
            <w:shd w:val="clear" w:color="auto" w:fill="F7F9FB"/>
            <w:tcMar>
              <w:top w:w="85" w:type="dxa"/>
              <w:left w:w="95" w:type="dxa"/>
              <w:bottom w:w="85" w:type="dxa"/>
              <w:right w:w="95" w:type="dxa"/>
            </w:tcMar>
            <w:vAlign w:val="center"/>
          </w:tcPr>
          <w:p w14:paraId="3AFCFE99" w14:textId="77777777" w:rsidR="00AC1B78" w:rsidRDefault="002C0F08">
            <w:pPr>
              <w:spacing w:after="0" w:line="245" w:lineRule="auto"/>
              <w:rPr>
                <w:rFonts w:hint="eastAsia"/>
              </w:rPr>
            </w:pPr>
            <w:r>
              <w:rPr>
                <w:color w:val="1F2933"/>
                <w:sz w:val="17"/>
              </w:rPr>
              <w:t>34</w:t>
            </w:r>
          </w:p>
        </w:tc>
        <w:tc>
          <w:tcPr>
            <w:tcW w:w="7344" w:type="dxa"/>
            <w:shd w:val="clear" w:color="auto" w:fill="F7F9FB"/>
            <w:tcMar>
              <w:top w:w="85" w:type="dxa"/>
              <w:left w:w="95" w:type="dxa"/>
              <w:bottom w:w="85" w:type="dxa"/>
              <w:right w:w="95" w:type="dxa"/>
            </w:tcMar>
            <w:vAlign w:val="center"/>
          </w:tcPr>
          <w:p w14:paraId="16BFF945" w14:textId="77777777" w:rsidR="00AC1B78" w:rsidRDefault="002C0F08">
            <w:pPr>
              <w:spacing w:after="0" w:line="245" w:lineRule="auto"/>
              <w:rPr>
                <w:rFonts w:hint="eastAsia"/>
              </w:rPr>
            </w:pPr>
            <w:r>
              <w:rPr>
                <w:color w:val="1F2933"/>
                <w:sz w:val="17"/>
              </w:rPr>
              <w:t>Semantic Budgeting</w:t>
            </w:r>
          </w:p>
        </w:tc>
      </w:tr>
      <w:tr w:rsidR="00AC1B78" w14:paraId="0503699D" w14:textId="77777777">
        <w:trPr>
          <w:jc w:val="center"/>
        </w:trPr>
        <w:tc>
          <w:tcPr>
            <w:tcW w:w="1584" w:type="dxa"/>
            <w:tcMar>
              <w:top w:w="85" w:type="dxa"/>
              <w:left w:w="95" w:type="dxa"/>
              <w:bottom w:w="85" w:type="dxa"/>
              <w:right w:w="95" w:type="dxa"/>
            </w:tcMar>
            <w:vAlign w:val="center"/>
          </w:tcPr>
          <w:p w14:paraId="3C1E8E15" w14:textId="77777777" w:rsidR="00AC1B78" w:rsidRDefault="002C0F08">
            <w:pPr>
              <w:spacing w:after="0" w:line="245" w:lineRule="auto"/>
              <w:rPr>
                <w:rFonts w:hint="eastAsia"/>
              </w:rPr>
            </w:pPr>
            <w:r>
              <w:rPr>
                <w:color w:val="1F2933"/>
                <w:sz w:val="17"/>
              </w:rPr>
              <w:t>Part VI</w:t>
            </w:r>
          </w:p>
        </w:tc>
        <w:tc>
          <w:tcPr>
            <w:tcW w:w="7344" w:type="dxa"/>
            <w:tcMar>
              <w:top w:w="85" w:type="dxa"/>
              <w:left w:w="95" w:type="dxa"/>
              <w:bottom w:w="85" w:type="dxa"/>
              <w:right w:w="95" w:type="dxa"/>
            </w:tcMar>
            <w:vAlign w:val="center"/>
          </w:tcPr>
          <w:p w14:paraId="7B3D9829" w14:textId="77777777" w:rsidR="00AC1B78" w:rsidRDefault="002C0F08">
            <w:pPr>
              <w:spacing w:after="0" w:line="245" w:lineRule="auto"/>
              <w:rPr>
                <w:rFonts w:hint="eastAsia"/>
              </w:rPr>
            </w:pPr>
            <w:r>
              <w:rPr>
                <w:color w:val="1F2933"/>
                <w:sz w:val="17"/>
              </w:rPr>
              <w:t>Accretive Search</w:t>
            </w:r>
          </w:p>
        </w:tc>
      </w:tr>
      <w:tr w:rsidR="00AC1B78" w14:paraId="1E5CE6F4" w14:textId="77777777">
        <w:trPr>
          <w:jc w:val="center"/>
        </w:trPr>
        <w:tc>
          <w:tcPr>
            <w:tcW w:w="1584" w:type="dxa"/>
            <w:shd w:val="clear" w:color="auto" w:fill="F7F9FB"/>
            <w:tcMar>
              <w:top w:w="85" w:type="dxa"/>
              <w:left w:w="95" w:type="dxa"/>
              <w:bottom w:w="85" w:type="dxa"/>
              <w:right w:w="95" w:type="dxa"/>
            </w:tcMar>
            <w:vAlign w:val="center"/>
          </w:tcPr>
          <w:p w14:paraId="6EF76427" w14:textId="77777777" w:rsidR="00AC1B78" w:rsidRDefault="002C0F08">
            <w:pPr>
              <w:spacing w:after="0" w:line="245" w:lineRule="auto"/>
              <w:rPr>
                <w:rFonts w:hint="eastAsia"/>
              </w:rPr>
            </w:pPr>
            <w:r>
              <w:rPr>
                <w:color w:val="1F2933"/>
                <w:sz w:val="17"/>
              </w:rPr>
              <w:t>35</w:t>
            </w:r>
          </w:p>
        </w:tc>
        <w:tc>
          <w:tcPr>
            <w:tcW w:w="7344" w:type="dxa"/>
            <w:shd w:val="clear" w:color="auto" w:fill="F7F9FB"/>
            <w:tcMar>
              <w:top w:w="85" w:type="dxa"/>
              <w:left w:w="95" w:type="dxa"/>
              <w:bottom w:w="85" w:type="dxa"/>
              <w:right w:w="95" w:type="dxa"/>
            </w:tcMar>
            <w:vAlign w:val="center"/>
          </w:tcPr>
          <w:p w14:paraId="23CA2E3F" w14:textId="77777777" w:rsidR="00AC1B78" w:rsidRDefault="002C0F08">
            <w:pPr>
              <w:spacing w:after="0" w:line="245" w:lineRule="auto"/>
              <w:rPr>
                <w:rFonts w:hint="eastAsia"/>
              </w:rPr>
            </w:pPr>
            <w:r>
              <w:rPr>
                <w:color w:val="1F2933"/>
                <w:sz w:val="17"/>
              </w:rPr>
              <w:t>Saved Query Routes</w:t>
            </w:r>
          </w:p>
        </w:tc>
      </w:tr>
      <w:tr w:rsidR="00AC1B78" w14:paraId="7951C98E" w14:textId="77777777">
        <w:trPr>
          <w:jc w:val="center"/>
        </w:trPr>
        <w:tc>
          <w:tcPr>
            <w:tcW w:w="1584" w:type="dxa"/>
            <w:tcMar>
              <w:top w:w="85" w:type="dxa"/>
              <w:left w:w="95" w:type="dxa"/>
              <w:bottom w:w="85" w:type="dxa"/>
              <w:right w:w="95" w:type="dxa"/>
            </w:tcMar>
            <w:vAlign w:val="center"/>
          </w:tcPr>
          <w:p w14:paraId="6D14DDBA" w14:textId="77777777" w:rsidR="00AC1B78" w:rsidRDefault="002C0F08">
            <w:pPr>
              <w:spacing w:after="0" w:line="245" w:lineRule="auto"/>
              <w:rPr>
                <w:rFonts w:hint="eastAsia"/>
              </w:rPr>
            </w:pPr>
            <w:r>
              <w:rPr>
                <w:color w:val="1F2933"/>
                <w:sz w:val="17"/>
              </w:rPr>
              <w:t>36</w:t>
            </w:r>
          </w:p>
        </w:tc>
        <w:tc>
          <w:tcPr>
            <w:tcW w:w="7344" w:type="dxa"/>
            <w:tcMar>
              <w:top w:w="85" w:type="dxa"/>
              <w:left w:w="95" w:type="dxa"/>
              <w:bottom w:w="85" w:type="dxa"/>
              <w:right w:w="95" w:type="dxa"/>
            </w:tcMar>
            <w:vAlign w:val="center"/>
          </w:tcPr>
          <w:p w14:paraId="548B2686" w14:textId="77777777" w:rsidR="00AC1B78" w:rsidRDefault="002C0F08">
            <w:pPr>
              <w:spacing w:after="0" w:line="245" w:lineRule="auto"/>
              <w:rPr>
                <w:rFonts w:hint="eastAsia"/>
              </w:rPr>
            </w:pPr>
            <w:r>
              <w:rPr>
                <w:color w:val="1F2933"/>
                <w:sz w:val="17"/>
              </w:rPr>
              <w:t>Reusable Query Families</w:t>
            </w:r>
          </w:p>
        </w:tc>
      </w:tr>
      <w:tr w:rsidR="00AC1B78" w14:paraId="6B8B557A" w14:textId="77777777">
        <w:trPr>
          <w:jc w:val="center"/>
        </w:trPr>
        <w:tc>
          <w:tcPr>
            <w:tcW w:w="1584" w:type="dxa"/>
            <w:shd w:val="clear" w:color="auto" w:fill="F7F9FB"/>
            <w:tcMar>
              <w:top w:w="85" w:type="dxa"/>
              <w:left w:w="95" w:type="dxa"/>
              <w:bottom w:w="85" w:type="dxa"/>
              <w:right w:w="95" w:type="dxa"/>
            </w:tcMar>
            <w:vAlign w:val="center"/>
          </w:tcPr>
          <w:p w14:paraId="51AE357C" w14:textId="77777777" w:rsidR="00AC1B78" w:rsidRDefault="002C0F08">
            <w:pPr>
              <w:spacing w:after="0" w:line="245" w:lineRule="auto"/>
              <w:rPr>
                <w:rFonts w:hint="eastAsia"/>
              </w:rPr>
            </w:pPr>
            <w:r>
              <w:rPr>
                <w:color w:val="1F2933"/>
                <w:sz w:val="17"/>
              </w:rPr>
              <w:t>37</w:t>
            </w:r>
          </w:p>
        </w:tc>
        <w:tc>
          <w:tcPr>
            <w:tcW w:w="7344" w:type="dxa"/>
            <w:shd w:val="clear" w:color="auto" w:fill="F7F9FB"/>
            <w:tcMar>
              <w:top w:w="85" w:type="dxa"/>
              <w:left w:w="95" w:type="dxa"/>
              <w:bottom w:w="85" w:type="dxa"/>
              <w:right w:w="95" w:type="dxa"/>
            </w:tcMar>
            <w:vAlign w:val="center"/>
          </w:tcPr>
          <w:p w14:paraId="2346BB47" w14:textId="77777777" w:rsidR="00AC1B78" w:rsidRDefault="002C0F08">
            <w:pPr>
              <w:spacing w:after="0" w:line="245" w:lineRule="auto"/>
              <w:rPr>
                <w:rFonts w:hint="eastAsia"/>
              </w:rPr>
            </w:pPr>
            <w:r>
              <w:rPr>
                <w:color w:val="1F2933"/>
                <w:sz w:val="17"/>
              </w:rPr>
              <w:t>Routing and Intersection Improvement Candidates</w:t>
            </w:r>
          </w:p>
        </w:tc>
      </w:tr>
      <w:tr w:rsidR="00AC1B78" w14:paraId="0330FBFC" w14:textId="77777777">
        <w:trPr>
          <w:jc w:val="center"/>
        </w:trPr>
        <w:tc>
          <w:tcPr>
            <w:tcW w:w="1584" w:type="dxa"/>
            <w:tcMar>
              <w:top w:w="85" w:type="dxa"/>
              <w:left w:w="95" w:type="dxa"/>
              <w:bottom w:w="85" w:type="dxa"/>
              <w:right w:w="95" w:type="dxa"/>
            </w:tcMar>
            <w:vAlign w:val="center"/>
          </w:tcPr>
          <w:p w14:paraId="5B5B1C7C" w14:textId="77777777" w:rsidR="00AC1B78" w:rsidRDefault="002C0F08">
            <w:pPr>
              <w:spacing w:after="0" w:line="245" w:lineRule="auto"/>
              <w:rPr>
                <w:rFonts w:hint="eastAsia"/>
              </w:rPr>
            </w:pPr>
            <w:r>
              <w:rPr>
                <w:color w:val="1F2933"/>
                <w:sz w:val="17"/>
              </w:rPr>
              <w:t>38</w:t>
            </w:r>
          </w:p>
        </w:tc>
        <w:tc>
          <w:tcPr>
            <w:tcW w:w="7344" w:type="dxa"/>
            <w:tcMar>
              <w:top w:w="85" w:type="dxa"/>
              <w:left w:w="95" w:type="dxa"/>
              <w:bottom w:w="85" w:type="dxa"/>
              <w:right w:w="95" w:type="dxa"/>
            </w:tcMar>
            <w:vAlign w:val="center"/>
          </w:tcPr>
          <w:p w14:paraId="5160A1EE" w14:textId="77777777" w:rsidR="00AC1B78" w:rsidRDefault="002C0F08">
            <w:pPr>
              <w:spacing w:after="0" w:line="245" w:lineRule="auto"/>
              <w:rPr>
                <w:rFonts w:hint="eastAsia"/>
              </w:rPr>
            </w:pPr>
            <w:r>
              <w:rPr>
                <w:color w:val="1F2933"/>
                <w:sz w:val="17"/>
              </w:rPr>
              <w:t>Semantic Work Persistence</w:t>
            </w:r>
          </w:p>
        </w:tc>
      </w:tr>
      <w:tr w:rsidR="00AC1B78" w14:paraId="737342B3" w14:textId="77777777">
        <w:trPr>
          <w:jc w:val="center"/>
        </w:trPr>
        <w:tc>
          <w:tcPr>
            <w:tcW w:w="1584" w:type="dxa"/>
            <w:shd w:val="clear" w:color="auto" w:fill="F7F9FB"/>
            <w:tcMar>
              <w:top w:w="85" w:type="dxa"/>
              <w:left w:w="95" w:type="dxa"/>
              <w:bottom w:w="85" w:type="dxa"/>
              <w:right w:w="95" w:type="dxa"/>
            </w:tcMar>
            <w:vAlign w:val="center"/>
          </w:tcPr>
          <w:p w14:paraId="093FA1D5" w14:textId="77777777" w:rsidR="00AC1B78" w:rsidRDefault="002C0F08">
            <w:pPr>
              <w:spacing w:after="0" w:line="245" w:lineRule="auto"/>
              <w:rPr>
                <w:rFonts w:hint="eastAsia"/>
              </w:rPr>
            </w:pPr>
            <w:r>
              <w:rPr>
                <w:color w:val="1F2933"/>
                <w:sz w:val="17"/>
              </w:rPr>
              <w:t>Part VII</w:t>
            </w:r>
          </w:p>
        </w:tc>
        <w:tc>
          <w:tcPr>
            <w:tcW w:w="7344" w:type="dxa"/>
            <w:shd w:val="clear" w:color="auto" w:fill="F7F9FB"/>
            <w:tcMar>
              <w:top w:w="85" w:type="dxa"/>
              <w:left w:w="95" w:type="dxa"/>
              <w:bottom w:w="85" w:type="dxa"/>
              <w:right w:w="95" w:type="dxa"/>
            </w:tcMar>
            <w:vAlign w:val="center"/>
          </w:tcPr>
          <w:p w14:paraId="69300D18" w14:textId="77777777" w:rsidR="00AC1B78" w:rsidRDefault="002C0F08">
            <w:pPr>
              <w:spacing w:after="0" w:line="245" w:lineRule="auto"/>
              <w:rPr>
                <w:rFonts w:hint="eastAsia"/>
              </w:rPr>
            </w:pPr>
            <w:r>
              <w:rPr>
                <w:color w:val="1F2933"/>
                <w:sz w:val="17"/>
              </w:rPr>
              <w:t>Formal Objects and Scoring</w:t>
            </w:r>
          </w:p>
        </w:tc>
      </w:tr>
      <w:tr w:rsidR="00AC1B78" w14:paraId="2DAD8A30" w14:textId="77777777">
        <w:trPr>
          <w:jc w:val="center"/>
        </w:trPr>
        <w:tc>
          <w:tcPr>
            <w:tcW w:w="1584" w:type="dxa"/>
            <w:tcMar>
              <w:top w:w="85" w:type="dxa"/>
              <w:left w:w="95" w:type="dxa"/>
              <w:bottom w:w="85" w:type="dxa"/>
              <w:right w:w="95" w:type="dxa"/>
            </w:tcMar>
            <w:vAlign w:val="center"/>
          </w:tcPr>
          <w:p w14:paraId="27D2BAA6" w14:textId="77777777" w:rsidR="00AC1B78" w:rsidRDefault="002C0F08">
            <w:pPr>
              <w:spacing w:after="0" w:line="245" w:lineRule="auto"/>
              <w:rPr>
                <w:rFonts w:hint="eastAsia"/>
              </w:rPr>
            </w:pPr>
            <w:r>
              <w:rPr>
                <w:color w:val="1F2933"/>
                <w:sz w:val="17"/>
              </w:rPr>
              <w:t>39</w:t>
            </w:r>
          </w:p>
        </w:tc>
        <w:tc>
          <w:tcPr>
            <w:tcW w:w="7344" w:type="dxa"/>
            <w:tcMar>
              <w:top w:w="85" w:type="dxa"/>
              <w:left w:w="95" w:type="dxa"/>
              <w:bottom w:w="85" w:type="dxa"/>
              <w:right w:w="95" w:type="dxa"/>
            </w:tcMar>
            <w:vAlign w:val="center"/>
          </w:tcPr>
          <w:p w14:paraId="5A4F4240" w14:textId="77777777" w:rsidR="00AC1B78" w:rsidRDefault="002C0F08">
            <w:pPr>
              <w:spacing w:after="0" w:line="245" w:lineRule="auto"/>
              <w:rPr>
                <w:rFonts w:hint="eastAsia"/>
              </w:rPr>
            </w:pPr>
            <w:r>
              <w:rPr>
                <w:color w:val="1F2933"/>
                <w:sz w:val="17"/>
              </w:rPr>
              <w:t>RouteState</w:t>
            </w:r>
          </w:p>
        </w:tc>
      </w:tr>
      <w:tr w:rsidR="00AC1B78" w14:paraId="66E54F32" w14:textId="77777777">
        <w:trPr>
          <w:jc w:val="center"/>
        </w:trPr>
        <w:tc>
          <w:tcPr>
            <w:tcW w:w="1584" w:type="dxa"/>
            <w:shd w:val="clear" w:color="auto" w:fill="F7F9FB"/>
            <w:tcMar>
              <w:top w:w="85" w:type="dxa"/>
              <w:left w:w="95" w:type="dxa"/>
              <w:bottom w:w="85" w:type="dxa"/>
              <w:right w:w="95" w:type="dxa"/>
            </w:tcMar>
            <w:vAlign w:val="center"/>
          </w:tcPr>
          <w:p w14:paraId="759B0D5B" w14:textId="77777777" w:rsidR="00AC1B78" w:rsidRDefault="002C0F08">
            <w:pPr>
              <w:spacing w:after="0" w:line="245" w:lineRule="auto"/>
              <w:rPr>
                <w:rFonts w:hint="eastAsia"/>
              </w:rPr>
            </w:pPr>
            <w:r>
              <w:rPr>
                <w:color w:val="1F2933"/>
                <w:sz w:val="17"/>
              </w:rPr>
              <w:t>40</w:t>
            </w:r>
          </w:p>
        </w:tc>
        <w:tc>
          <w:tcPr>
            <w:tcW w:w="7344" w:type="dxa"/>
            <w:shd w:val="clear" w:color="auto" w:fill="F7F9FB"/>
            <w:tcMar>
              <w:top w:w="85" w:type="dxa"/>
              <w:left w:w="95" w:type="dxa"/>
              <w:bottom w:w="85" w:type="dxa"/>
              <w:right w:w="95" w:type="dxa"/>
            </w:tcMar>
            <w:vAlign w:val="center"/>
          </w:tcPr>
          <w:p w14:paraId="585C458E" w14:textId="77777777" w:rsidR="00AC1B78" w:rsidRDefault="002C0F08">
            <w:pPr>
              <w:spacing w:after="0" w:line="245" w:lineRule="auto"/>
              <w:rPr>
                <w:rFonts w:hint="eastAsia"/>
              </w:rPr>
            </w:pPr>
            <w:r>
              <w:rPr>
                <w:color w:val="1F2933"/>
                <w:sz w:val="17"/>
              </w:rPr>
              <w:t>Semantic Search Plan Object</w:t>
            </w:r>
          </w:p>
        </w:tc>
      </w:tr>
      <w:tr w:rsidR="00AC1B78" w14:paraId="065BAD98" w14:textId="77777777">
        <w:trPr>
          <w:jc w:val="center"/>
        </w:trPr>
        <w:tc>
          <w:tcPr>
            <w:tcW w:w="1584" w:type="dxa"/>
            <w:tcMar>
              <w:top w:w="85" w:type="dxa"/>
              <w:left w:w="95" w:type="dxa"/>
              <w:bottom w:w="85" w:type="dxa"/>
              <w:right w:w="95" w:type="dxa"/>
            </w:tcMar>
            <w:vAlign w:val="center"/>
          </w:tcPr>
          <w:p w14:paraId="061C1F9D" w14:textId="77777777" w:rsidR="00AC1B78" w:rsidRDefault="002C0F08">
            <w:pPr>
              <w:spacing w:after="0" w:line="245" w:lineRule="auto"/>
              <w:rPr>
                <w:rFonts w:hint="eastAsia"/>
              </w:rPr>
            </w:pPr>
            <w:r>
              <w:rPr>
                <w:color w:val="1F2933"/>
                <w:sz w:val="17"/>
              </w:rPr>
              <w:t>41</w:t>
            </w:r>
          </w:p>
        </w:tc>
        <w:tc>
          <w:tcPr>
            <w:tcW w:w="7344" w:type="dxa"/>
            <w:tcMar>
              <w:top w:w="85" w:type="dxa"/>
              <w:left w:w="95" w:type="dxa"/>
              <w:bottom w:w="85" w:type="dxa"/>
              <w:right w:w="95" w:type="dxa"/>
            </w:tcMar>
            <w:vAlign w:val="center"/>
          </w:tcPr>
          <w:p w14:paraId="7FF57378" w14:textId="77777777" w:rsidR="00AC1B78" w:rsidRDefault="002C0F08">
            <w:pPr>
              <w:spacing w:after="0" w:line="245" w:lineRule="auto"/>
              <w:rPr>
                <w:rFonts w:hint="eastAsia"/>
              </w:rPr>
            </w:pPr>
            <w:r>
              <w:rPr>
                <w:color w:val="1F2933"/>
                <w:sz w:val="17"/>
              </w:rPr>
              <w:t>Illustrative Scoring</w:t>
            </w:r>
          </w:p>
        </w:tc>
      </w:tr>
      <w:tr w:rsidR="00AC1B78" w14:paraId="1EEEC034" w14:textId="77777777">
        <w:trPr>
          <w:jc w:val="center"/>
        </w:trPr>
        <w:tc>
          <w:tcPr>
            <w:tcW w:w="1584" w:type="dxa"/>
            <w:shd w:val="clear" w:color="auto" w:fill="F7F9FB"/>
            <w:tcMar>
              <w:top w:w="85" w:type="dxa"/>
              <w:left w:w="95" w:type="dxa"/>
              <w:bottom w:w="85" w:type="dxa"/>
              <w:right w:w="95" w:type="dxa"/>
            </w:tcMar>
            <w:vAlign w:val="center"/>
          </w:tcPr>
          <w:p w14:paraId="061F6262" w14:textId="77777777" w:rsidR="00AC1B78" w:rsidRDefault="002C0F08">
            <w:pPr>
              <w:spacing w:after="0" w:line="245" w:lineRule="auto"/>
              <w:rPr>
                <w:rFonts w:hint="eastAsia"/>
              </w:rPr>
            </w:pPr>
            <w:r>
              <w:rPr>
                <w:color w:val="1F2933"/>
                <w:sz w:val="17"/>
              </w:rPr>
              <w:t>42</w:t>
            </w:r>
          </w:p>
        </w:tc>
        <w:tc>
          <w:tcPr>
            <w:tcW w:w="7344" w:type="dxa"/>
            <w:shd w:val="clear" w:color="auto" w:fill="F7F9FB"/>
            <w:tcMar>
              <w:top w:w="85" w:type="dxa"/>
              <w:left w:w="95" w:type="dxa"/>
              <w:bottom w:w="85" w:type="dxa"/>
              <w:right w:w="95" w:type="dxa"/>
            </w:tcMar>
            <w:vAlign w:val="center"/>
          </w:tcPr>
          <w:p w14:paraId="7D0E0BFC" w14:textId="77777777" w:rsidR="00AC1B78" w:rsidRDefault="002C0F08">
            <w:pPr>
              <w:spacing w:after="0" w:line="245" w:lineRule="auto"/>
              <w:rPr>
                <w:rFonts w:hint="eastAsia"/>
              </w:rPr>
            </w:pPr>
            <w:r>
              <w:rPr>
                <w:color w:val="1F2933"/>
                <w:sz w:val="17"/>
              </w:rPr>
              <w:t>No Magic Score</w:t>
            </w:r>
          </w:p>
        </w:tc>
      </w:tr>
      <w:tr w:rsidR="00AC1B78" w14:paraId="7B60CC58" w14:textId="77777777">
        <w:trPr>
          <w:jc w:val="center"/>
        </w:trPr>
        <w:tc>
          <w:tcPr>
            <w:tcW w:w="1584" w:type="dxa"/>
            <w:tcMar>
              <w:top w:w="85" w:type="dxa"/>
              <w:left w:w="95" w:type="dxa"/>
              <w:bottom w:w="85" w:type="dxa"/>
              <w:right w:w="95" w:type="dxa"/>
            </w:tcMar>
            <w:vAlign w:val="center"/>
          </w:tcPr>
          <w:p w14:paraId="485055E5" w14:textId="77777777" w:rsidR="00AC1B78" w:rsidRDefault="002C0F08">
            <w:pPr>
              <w:spacing w:after="0" w:line="245" w:lineRule="auto"/>
              <w:rPr>
                <w:rFonts w:hint="eastAsia"/>
              </w:rPr>
            </w:pPr>
            <w:r>
              <w:rPr>
                <w:color w:val="1F2933"/>
                <w:sz w:val="17"/>
              </w:rPr>
              <w:t>Part VIII</w:t>
            </w:r>
          </w:p>
        </w:tc>
        <w:tc>
          <w:tcPr>
            <w:tcW w:w="7344" w:type="dxa"/>
            <w:tcMar>
              <w:top w:w="85" w:type="dxa"/>
              <w:left w:w="95" w:type="dxa"/>
              <w:bottom w:w="85" w:type="dxa"/>
              <w:right w:w="95" w:type="dxa"/>
            </w:tcMar>
            <w:vAlign w:val="center"/>
          </w:tcPr>
          <w:p w14:paraId="4CFC0536" w14:textId="77777777" w:rsidR="00AC1B78" w:rsidRDefault="002C0F08">
            <w:pPr>
              <w:spacing w:after="0" w:line="245" w:lineRule="auto"/>
              <w:rPr>
                <w:rFonts w:hint="eastAsia"/>
              </w:rPr>
            </w:pPr>
            <w:r>
              <w:rPr>
                <w:color w:val="1F2933"/>
                <w:sz w:val="17"/>
              </w:rPr>
              <w:t>Worked Examples</w:t>
            </w:r>
          </w:p>
        </w:tc>
      </w:tr>
      <w:tr w:rsidR="00AC1B78" w14:paraId="4CC4CAA6" w14:textId="77777777">
        <w:trPr>
          <w:jc w:val="center"/>
        </w:trPr>
        <w:tc>
          <w:tcPr>
            <w:tcW w:w="1584" w:type="dxa"/>
            <w:shd w:val="clear" w:color="auto" w:fill="F7F9FB"/>
            <w:tcMar>
              <w:top w:w="85" w:type="dxa"/>
              <w:left w:w="95" w:type="dxa"/>
              <w:bottom w:w="85" w:type="dxa"/>
              <w:right w:w="95" w:type="dxa"/>
            </w:tcMar>
            <w:vAlign w:val="center"/>
          </w:tcPr>
          <w:p w14:paraId="4B8C431B" w14:textId="77777777" w:rsidR="00AC1B78" w:rsidRDefault="002C0F08">
            <w:pPr>
              <w:spacing w:after="0" w:line="245" w:lineRule="auto"/>
              <w:rPr>
                <w:rFonts w:hint="eastAsia"/>
              </w:rPr>
            </w:pPr>
            <w:r>
              <w:rPr>
                <w:color w:val="1F2933"/>
                <w:sz w:val="17"/>
              </w:rPr>
              <w:t>43</w:t>
            </w:r>
          </w:p>
        </w:tc>
        <w:tc>
          <w:tcPr>
            <w:tcW w:w="7344" w:type="dxa"/>
            <w:shd w:val="clear" w:color="auto" w:fill="F7F9FB"/>
            <w:tcMar>
              <w:top w:w="85" w:type="dxa"/>
              <w:left w:w="95" w:type="dxa"/>
              <w:bottom w:w="85" w:type="dxa"/>
              <w:right w:w="95" w:type="dxa"/>
            </w:tcMar>
            <w:vAlign w:val="center"/>
          </w:tcPr>
          <w:p w14:paraId="5EF7354E" w14:textId="77777777" w:rsidR="00AC1B78" w:rsidRDefault="002C0F08">
            <w:pPr>
              <w:spacing w:after="0" w:line="245" w:lineRule="auto"/>
              <w:rPr>
                <w:rFonts w:hint="eastAsia"/>
              </w:rPr>
            </w:pPr>
            <w:r>
              <w:rPr>
                <w:color w:val="1F2933"/>
                <w:sz w:val="17"/>
              </w:rPr>
              <w:t>Potato Cooking</w:t>
            </w:r>
          </w:p>
        </w:tc>
      </w:tr>
      <w:tr w:rsidR="00AC1B78" w14:paraId="0FC12A10" w14:textId="77777777">
        <w:trPr>
          <w:jc w:val="center"/>
        </w:trPr>
        <w:tc>
          <w:tcPr>
            <w:tcW w:w="1584" w:type="dxa"/>
            <w:tcMar>
              <w:top w:w="85" w:type="dxa"/>
              <w:left w:w="95" w:type="dxa"/>
              <w:bottom w:w="85" w:type="dxa"/>
              <w:right w:w="95" w:type="dxa"/>
            </w:tcMar>
            <w:vAlign w:val="center"/>
          </w:tcPr>
          <w:p w14:paraId="349F2FED" w14:textId="77777777" w:rsidR="00AC1B78" w:rsidRDefault="002C0F08">
            <w:pPr>
              <w:spacing w:after="0" w:line="245" w:lineRule="auto"/>
              <w:rPr>
                <w:rFonts w:hint="eastAsia"/>
              </w:rPr>
            </w:pPr>
            <w:r>
              <w:rPr>
                <w:color w:val="1F2933"/>
                <w:sz w:val="17"/>
              </w:rPr>
              <w:t>44</w:t>
            </w:r>
          </w:p>
        </w:tc>
        <w:tc>
          <w:tcPr>
            <w:tcW w:w="7344" w:type="dxa"/>
            <w:tcMar>
              <w:top w:w="85" w:type="dxa"/>
              <w:left w:w="95" w:type="dxa"/>
              <w:bottom w:w="85" w:type="dxa"/>
              <w:right w:w="95" w:type="dxa"/>
            </w:tcMar>
            <w:vAlign w:val="center"/>
          </w:tcPr>
          <w:p w14:paraId="59FE66F8" w14:textId="77777777" w:rsidR="00AC1B78" w:rsidRDefault="002C0F08">
            <w:pPr>
              <w:spacing w:after="0" w:line="245" w:lineRule="auto"/>
              <w:rPr>
                <w:rFonts w:hint="eastAsia"/>
              </w:rPr>
            </w:pPr>
            <w:r>
              <w:rPr>
                <w:color w:val="1F2933"/>
                <w:sz w:val="17"/>
              </w:rPr>
              <w:t>Bio-Materials Research</w:t>
            </w:r>
          </w:p>
        </w:tc>
      </w:tr>
      <w:tr w:rsidR="00AC1B78" w14:paraId="1CEF2E90" w14:textId="77777777">
        <w:trPr>
          <w:jc w:val="center"/>
        </w:trPr>
        <w:tc>
          <w:tcPr>
            <w:tcW w:w="1584" w:type="dxa"/>
            <w:shd w:val="clear" w:color="auto" w:fill="F7F9FB"/>
            <w:tcMar>
              <w:top w:w="85" w:type="dxa"/>
              <w:left w:w="95" w:type="dxa"/>
              <w:bottom w:w="85" w:type="dxa"/>
              <w:right w:w="95" w:type="dxa"/>
            </w:tcMar>
            <w:vAlign w:val="center"/>
          </w:tcPr>
          <w:p w14:paraId="007765DB" w14:textId="77777777" w:rsidR="00AC1B78" w:rsidRDefault="002C0F08">
            <w:pPr>
              <w:spacing w:after="0" w:line="245" w:lineRule="auto"/>
              <w:rPr>
                <w:rFonts w:hint="eastAsia"/>
              </w:rPr>
            </w:pPr>
            <w:r>
              <w:rPr>
                <w:color w:val="1F2933"/>
                <w:sz w:val="17"/>
              </w:rPr>
              <w:t>45</w:t>
            </w:r>
          </w:p>
        </w:tc>
        <w:tc>
          <w:tcPr>
            <w:tcW w:w="7344" w:type="dxa"/>
            <w:shd w:val="clear" w:color="auto" w:fill="F7F9FB"/>
            <w:tcMar>
              <w:top w:w="85" w:type="dxa"/>
              <w:left w:w="95" w:type="dxa"/>
              <w:bottom w:w="85" w:type="dxa"/>
              <w:right w:w="95" w:type="dxa"/>
            </w:tcMar>
            <w:vAlign w:val="center"/>
          </w:tcPr>
          <w:p w14:paraId="7F8B4551" w14:textId="77777777" w:rsidR="00AC1B78" w:rsidRDefault="002C0F08">
            <w:pPr>
              <w:spacing w:after="0" w:line="245" w:lineRule="auto"/>
              <w:rPr>
                <w:rFonts w:hint="eastAsia"/>
              </w:rPr>
            </w:pPr>
            <w:r>
              <w:rPr>
                <w:color w:val="1F2933"/>
                <w:sz w:val="17"/>
              </w:rPr>
              <w:t>Company Policy</w:t>
            </w:r>
          </w:p>
        </w:tc>
      </w:tr>
      <w:tr w:rsidR="00AC1B78" w14:paraId="7FE05D7B" w14:textId="77777777">
        <w:trPr>
          <w:jc w:val="center"/>
        </w:trPr>
        <w:tc>
          <w:tcPr>
            <w:tcW w:w="1584" w:type="dxa"/>
            <w:tcMar>
              <w:top w:w="85" w:type="dxa"/>
              <w:left w:w="95" w:type="dxa"/>
              <w:bottom w:w="85" w:type="dxa"/>
              <w:right w:w="95" w:type="dxa"/>
            </w:tcMar>
            <w:vAlign w:val="center"/>
          </w:tcPr>
          <w:p w14:paraId="1EDA0C2D" w14:textId="77777777" w:rsidR="00AC1B78" w:rsidRDefault="002C0F08">
            <w:pPr>
              <w:spacing w:after="0" w:line="245" w:lineRule="auto"/>
              <w:rPr>
                <w:rFonts w:hint="eastAsia"/>
              </w:rPr>
            </w:pPr>
            <w:r>
              <w:rPr>
                <w:color w:val="1F2933"/>
                <w:sz w:val="17"/>
              </w:rPr>
              <w:t>46</w:t>
            </w:r>
          </w:p>
        </w:tc>
        <w:tc>
          <w:tcPr>
            <w:tcW w:w="7344" w:type="dxa"/>
            <w:tcMar>
              <w:top w:w="85" w:type="dxa"/>
              <w:left w:w="95" w:type="dxa"/>
              <w:bottom w:w="85" w:type="dxa"/>
              <w:right w:w="95" w:type="dxa"/>
            </w:tcMar>
            <w:vAlign w:val="center"/>
          </w:tcPr>
          <w:p w14:paraId="2E11E73A" w14:textId="77777777" w:rsidR="00AC1B78" w:rsidRDefault="002C0F08">
            <w:pPr>
              <w:spacing w:after="0" w:line="245" w:lineRule="auto"/>
              <w:rPr>
                <w:rFonts w:hint="eastAsia"/>
              </w:rPr>
            </w:pPr>
            <w:r>
              <w:rPr>
                <w:color w:val="1F2933"/>
                <w:sz w:val="17"/>
              </w:rPr>
              <w:t>Game Law</w:t>
            </w:r>
          </w:p>
        </w:tc>
      </w:tr>
      <w:tr w:rsidR="00AC1B78" w14:paraId="198A6F0D" w14:textId="77777777">
        <w:trPr>
          <w:jc w:val="center"/>
        </w:trPr>
        <w:tc>
          <w:tcPr>
            <w:tcW w:w="1584" w:type="dxa"/>
            <w:shd w:val="clear" w:color="auto" w:fill="F7F9FB"/>
            <w:tcMar>
              <w:top w:w="85" w:type="dxa"/>
              <w:left w:w="95" w:type="dxa"/>
              <w:bottom w:w="85" w:type="dxa"/>
              <w:right w:w="95" w:type="dxa"/>
            </w:tcMar>
            <w:vAlign w:val="center"/>
          </w:tcPr>
          <w:p w14:paraId="5D6F277A" w14:textId="77777777" w:rsidR="00AC1B78" w:rsidRDefault="002C0F08">
            <w:pPr>
              <w:spacing w:after="0" w:line="245" w:lineRule="auto"/>
              <w:rPr>
                <w:rFonts w:hint="eastAsia"/>
              </w:rPr>
            </w:pPr>
            <w:r>
              <w:rPr>
                <w:color w:val="1F2933"/>
                <w:sz w:val="17"/>
              </w:rPr>
              <w:t>47</w:t>
            </w:r>
          </w:p>
        </w:tc>
        <w:tc>
          <w:tcPr>
            <w:tcW w:w="7344" w:type="dxa"/>
            <w:shd w:val="clear" w:color="auto" w:fill="F7F9FB"/>
            <w:tcMar>
              <w:top w:w="85" w:type="dxa"/>
              <w:left w:w="95" w:type="dxa"/>
              <w:bottom w:w="85" w:type="dxa"/>
              <w:right w:w="95" w:type="dxa"/>
            </w:tcMar>
            <w:vAlign w:val="center"/>
          </w:tcPr>
          <w:p w14:paraId="0C4A4D76" w14:textId="77777777" w:rsidR="00AC1B78" w:rsidRDefault="002C0F08">
            <w:pPr>
              <w:spacing w:after="0" w:line="245" w:lineRule="auto"/>
              <w:rPr>
                <w:rFonts w:hint="eastAsia"/>
              </w:rPr>
            </w:pPr>
            <w:r>
              <w:rPr>
                <w:color w:val="1F2933"/>
                <w:sz w:val="17"/>
              </w:rPr>
              <w:t>Cross-Domain Historical Research</w:t>
            </w:r>
          </w:p>
        </w:tc>
      </w:tr>
      <w:tr w:rsidR="00AC1B78" w14:paraId="3A2C29A6" w14:textId="77777777">
        <w:trPr>
          <w:jc w:val="center"/>
        </w:trPr>
        <w:tc>
          <w:tcPr>
            <w:tcW w:w="1584" w:type="dxa"/>
            <w:tcMar>
              <w:top w:w="85" w:type="dxa"/>
              <w:left w:w="95" w:type="dxa"/>
              <w:bottom w:w="85" w:type="dxa"/>
              <w:right w:w="95" w:type="dxa"/>
            </w:tcMar>
            <w:vAlign w:val="center"/>
          </w:tcPr>
          <w:p w14:paraId="6ED30EA0" w14:textId="77777777" w:rsidR="00AC1B78" w:rsidRDefault="002C0F08">
            <w:pPr>
              <w:spacing w:after="0" w:line="245" w:lineRule="auto"/>
              <w:rPr>
                <w:rFonts w:hint="eastAsia"/>
              </w:rPr>
            </w:pPr>
            <w:r>
              <w:rPr>
                <w:color w:val="1F2933"/>
                <w:sz w:val="17"/>
              </w:rPr>
              <w:t>Part IX</w:t>
            </w:r>
          </w:p>
        </w:tc>
        <w:tc>
          <w:tcPr>
            <w:tcW w:w="7344" w:type="dxa"/>
            <w:tcMar>
              <w:top w:w="85" w:type="dxa"/>
              <w:left w:w="95" w:type="dxa"/>
              <w:bottom w:w="85" w:type="dxa"/>
              <w:right w:w="95" w:type="dxa"/>
            </w:tcMar>
            <w:vAlign w:val="center"/>
          </w:tcPr>
          <w:p w14:paraId="31E50637" w14:textId="77777777" w:rsidR="00AC1B78" w:rsidRDefault="002C0F08">
            <w:pPr>
              <w:spacing w:after="0" w:line="245" w:lineRule="auto"/>
              <w:rPr>
                <w:rFonts w:hint="eastAsia"/>
              </w:rPr>
            </w:pPr>
            <w:r>
              <w:rPr>
                <w:color w:val="1F2933"/>
                <w:sz w:val="17"/>
              </w:rPr>
              <w:t>Formal Principles, Failure Modes, and Conformance</w:t>
            </w:r>
          </w:p>
        </w:tc>
      </w:tr>
      <w:tr w:rsidR="00AC1B78" w14:paraId="1B96DC77" w14:textId="77777777">
        <w:trPr>
          <w:jc w:val="center"/>
        </w:trPr>
        <w:tc>
          <w:tcPr>
            <w:tcW w:w="1584" w:type="dxa"/>
            <w:shd w:val="clear" w:color="auto" w:fill="F7F9FB"/>
            <w:tcMar>
              <w:top w:w="85" w:type="dxa"/>
              <w:left w:w="95" w:type="dxa"/>
              <w:bottom w:w="85" w:type="dxa"/>
              <w:right w:w="95" w:type="dxa"/>
            </w:tcMar>
            <w:vAlign w:val="center"/>
          </w:tcPr>
          <w:p w14:paraId="4B468B96" w14:textId="77777777" w:rsidR="00AC1B78" w:rsidRDefault="002C0F08">
            <w:pPr>
              <w:spacing w:after="0" w:line="245" w:lineRule="auto"/>
              <w:rPr>
                <w:rFonts w:hint="eastAsia"/>
              </w:rPr>
            </w:pPr>
            <w:r>
              <w:rPr>
                <w:color w:val="1F2933"/>
                <w:sz w:val="17"/>
              </w:rPr>
              <w:t>48</w:t>
            </w:r>
          </w:p>
        </w:tc>
        <w:tc>
          <w:tcPr>
            <w:tcW w:w="7344" w:type="dxa"/>
            <w:shd w:val="clear" w:color="auto" w:fill="F7F9FB"/>
            <w:tcMar>
              <w:top w:w="85" w:type="dxa"/>
              <w:left w:w="95" w:type="dxa"/>
              <w:bottom w:w="85" w:type="dxa"/>
              <w:right w:w="95" w:type="dxa"/>
            </w:tcMar>
            <w:vAlign w:val="center"/>
          </w:tcPr>
          <w:p w14:paraId="6C65E1DD" w14:textId="77777777" w:rsidR="00AC1B78" w:rsidRDefault="002C0F08">
            <w:pPr>
              <w:spacing w:after="0" w:line="245" w:lineRule="auto"/>
              <w:rPr>
                <w:rFonts w:hint="eastAsia"/>
              </w:rPr>
            </w:pPr>
            <w:r>
              <w:rPr>
                <w:color w:val="1F2933"/>
                <w:sz w:val="17"/>
              </w:rPr>
              <w:t>Normative Principles</w:t>
            </w:r>
          </w:p>
        </w:tc>
      </w:tr>
      <w:tr w:rsidR="00AC1B78" w14:paraId="2A803FAE" w14:textId="77777777">
        <w:trPr>
          <w:jc w:val="center"/>
        </w:trPr>
        <w:tc>
          <w:tcPr>
            <w:tcW w:w="1584" w:type="dxa"/>
            <w:tcMar>
              <w:top w:w="85" w:type="dxa"/>
              <w:left w:w="95" w:type="dxa"/>
              <w:bottom w:w="85" w:type="dxa"/>
              <w:right w:w="95" w:type="dxa"/>
            </w:tcMar>
            <w:vAlign w:val="center"/>
          </w:tcPr>
          <w:p w14:paraId="05947A68" w14:textId="77777777" w:rsidR="00AC1B78" w:rsidRDefault="002C0F08">
            <w:pPr>
              <w:spacing w:after="0" w:line="245" w:lineRule="auto"/>
              <w:rPr>
                <w:rFonts w:hint="eastAsia"/>
              </w:rPr>
            </w:pPr>
            <w:r>
              <w:rPr>
                <w:color w:val="1F2933"/>
                <w:sz w:val="17"/>
              </w:rPr>
              <w:t>49</w:t>
            </w:r>
          </w:p>
        </w:tc>
        <w:tc>
          <w:tcPr>
            <w:tcW w:w="7344" w:type="dxa"/>
            <w:tcMar>
              <w:top w:w="85" w:type="dxa"/>
              <w:left w:w="95" w:type="dxa"/>
              <w:bottom w:w="85" w:type="dxa"/>
              <w:right w:w="95" w:type="dxa"/>
            </w:tcMar>
            <w:vAlign w:val="center"/>
          </w:tcPr>
          <w:p w14:paraId="2C288B99" w14:textId="77777777" w:rsidR="00AC1B78" w:rsidRDefault="002C0F08">
            <w:pPr>
              <w:spacing w:after="0" w:line="245" w:lineRule="auto"/>
              <w:rPr>
                <w:rFonts w:hint="eastAsia"/>
              </w:rPr>
            </w:pPr>
            <w:r>
              <w:rPr>
                <w:color w:val="1F2933"/>
                <w:sz w:val="17"/>
              </w:rPr>
              <w:t>Failure Modes</w:t>
            </w:r>
          </w:p>
        </w:tc>
      </w:tr>
      <w:tr w:rsidR="00AC1B78" w14:paraId="53E2C976" w14:textId="77777777">
        <w:trPr>
          <w:jc w:val="center"/>
        </w:trPr>
        <w:tc>
          <w:tcPr>
            <w:tcW w:w="1584" w:type="dxa"/>
            <w:shd w:val="clear" w:color="auto" w:fill="F7F9FB"/>
            <w:tcMar>
              <w:top w:w="85" w:type="dxa"/>
              <w:left w:w="95" w:type="dxa"/>
              <w:bottom w:w="85" w:type="dxa"/>
              <w:right w:w="95" w:type="dxa"/>
            </w:tcMar>
            <w:vAlign w:val="center"/>
          </w:tcPr>
          <w:p w14:paraId="1517BA8C" w14:textId="77777777" w:rsidR="00AC1B78" w:rsidRDefault="002C0F08">
            <w:pPr>
              <w:spacing w:after="0" w:line="245" w:lineRule="auto"/>
              <w:rPr>
                <w:rFonts w:hint="eastAsia"/>
              </w:rPr>
            </w:pPr>
            <w:r>
              <w:rPr>
                <w:color w:val="1F2933"/>
                <w:sz w:val="17"/>
              </w:rPr>
              <w:t>50</w:t>
            </w:r>
          </w:p>
        </w:tc>
        <w:tc>
          <w:tcPr>
            <w:tcW w:w="7344" w:type="dxa"/>
            <w:shd w:val="clear" w:color="auto" w:fill="F7F9FB"/>
            <w:tcMar>
              <w:top w:w="85" w:type="dxa"/>
              <w:left w:w="95" w:type="dxa"/>
              <w:bottom w:w="85" w:type="dxa"/>
              <w:right w:w="95" w:type="dxa"/>
            </w:tcMar>
            <w:vAlign w:val="center"/>
          </w:tcPr>
          <w:p w14:paraId="4A5C5983" w14:textId="77777777" w:rsidR="00AC1B78" w:rsidRDefault="002C0F08">
            <w:pPr>
              <w:spacing w:after="0" w:line="245" w:lineRule="auto"/>
              <w:rPr>
                <w:rFonts w:hint="eastAsia"/>
              </w:rPr>
            </w:pPr>
            <w:r>
              <w:rPr>
                <w:color w:val="1F2933"/>
                <w:sz w:val="17"/>
              </w:rPr>
              <w:t>Conformance Requirements</w:t>
            </w:r>
          </w:p>
        </w:tc>
      </w:tr>
      <w:tr w:rsidR="00AC1B78" w14:paraId="6C621AE4" w14:textId="77777777">
        <w:trPr>
          <w:jc w:val="center"/>
        </w:trPr>
        <w:tc>
          <w:tcPr>
            <w:tcW w:w="1584" w:type="dxa"/>
            <w:tcMar>
              <w:top w:w="85" w:type="dxa"/>
              <w:left w:w="95" w:type="dxa"/>
              <w:bottom w:w="85" w:type="dxa"/>
              <w:right w:w="95" w:type="dxa"/>
            </w:tcMar>
            <w:vAlign w:val="center"/>
          </w:tcPr>
          <w:p w14:paraId="3E5789A9" w14:textId="77777777" w:rsidR="00AC1B78" w:rsidRDefault="002C0F08">
            <w:pPr>
              <w:spacing w:after="0" w:line="245" w:lineRule="auto"/>
              <w:rPr>
                <w:rFonts w:hint="eastAsia"/>
              </w:rPr>
            </w:pPr>
            <w:r>
              <w:rPr>
                <w:color w:val="1F2933"/>
                <w:sz w:val="17"/>
              </w:rPr>
              <w:t>51</w:t>
            </w:r>
          </w:p>
        </w:tc>
        <w:tc>
          <w:tcPr>
            <w:tcW w:w="7344" w:type="dxa"/>
            <w:tcMar>
              <w:top w:w="85" w:type="dxa"/>
              <w:left w:w="95" w:type="dxa"/>
              <w:bottom w:w="85" w:type="dxa"/>
              <w:right w:w="95" w:type="dxa"/>
            </w:tcMar>
            <w:vAlign w:val="center"/>
          </w:tcPr>
          <w:p w14:paraId="3F48F169" w14:textId="77777777" w:rsidR="00AC1B78" w:rsidRDefault="002C0F08">
            <w:pPr>
              <w:spacing w:after="0" w:line="245" w:lineRule="auto"/>
              <w:rPr>
                <w:rFonts w:hint="eastAsia"/>
              </w:rPr>
            </w:pPr>
            <w:r>
              <w:rPr>
                <w:color w:val="1F2933"/>
                <w:sz w:val="17"/>
              </w:rPr>
              <w:t>Implementation Roadmap and Open Questions</w:t>
            </w:r>
          </w:p>
        </w:tc>
      </w:tr>
      <w:tr w:rsidR="00AC1B78" w14:paraId="60EEF49F" w14:textId="77777777">
        <w:trPr>
          <w:jc w:val="center"/>
        </w:trPr>
        <w:tc>
          <w:tcPr>
            <w:tcW w:w="1584" w:type="dxa"/>
            <w:shd w:val="clear" w:color="auto" w:fill="F7F9FB"/>
            <w:tcMar>
              <w:top w:w="85" w:type="dxa"/>
              <w:left w:w="95" w:type="dxa"/>
              <w:bottom w:w="85" w:type="dxa"/>
              <w:right w:w="95" w:type="dxa"/>
            </w:tcMar>
            <w:vAlign w:val="center"/>
          </w:tcPr>
          <w:p w14:paraId="0AAE7D31" w14:textId="77777777" w:rsidR="00AC1B78" w:rsidRDefault="002C0F08">
            <w:pPr>
              <w:spacing w:after="0" w:line="245" w:lineRule="auto"/>
              <w:rPr>
                <w:rFonts w:hint="eastAsia"/>
              </w:rPr>
            </w:pPr>
            <w:r>
              <w:rPr>
                <w:color w:val="1F2933"/>
                <w:sz w:val="17"/>
              </w:rPr>
              <w:t>Glossary</w:t>
            </w:r>
          </w:p>
        </w:tc>
        <w:tc>
          <w:tcPr>
            <w:tcW w:w="7344" w:type="dxa"/>
            <w:shd w:val="clear" w:color="auto" w:fill="F7F9FB"/>
            <w:tcMar>
              <w:top w:w="85" w:type="dxa"/>
              <w:left w:w="95" w:type="dxa"/>
              <w:bottom w:w="85" w:type="dxa"/>
              <w:right w:w="95" w:type="dxa"/>
            </w:tcMar>
            <w:vAlign w:val="center"/>
          </w:tcPr>
          <w:p w14:paraId="6305648A" w14:textId="77777777" w:rsidR="00AC1B78" w:rsidRDefault="002C0F08">
            <w:pPr>
              <w:spacing w:after="0" w:line="245" w:lineRule="auto"/>
              <w:rPr>
                <w:rFonts w:hint="eastAsia"/>
              </w:rPr>
            </w:pPr>
            <w:r>
              <w:rPr>
                <w:color w:val="1F2933"/>
                <w:sz w:val="17"/>
              </w:rPr>
              <w:t>Reference Terms</w:t>
            </w:r>
          </w:p>
        </w:tc>
      </w:tr>
    </w:tbl>
    <w:p w14:paraId="4A2B6695" w14:textId="77777777" w:rsidR="00AC1B78" w:rsidRDefault="00AC1B78">
      <w:pPr>
        <w:spacing w:after="40"/>
        <w:rPr>
          <w:rFonts w:hint="eastAsia"/>
        </w:rPr>
      </w:pPr>
    </w:p>
    <w:p w14:paraId="7E0B2E67" w14:textId="77777777" w:rsidR="00AC1B78" w:rsidRDefault="002C0F08">
      <w:pPr>
        <w:pStyle w:val="Heading1"/>
        <w:spacing w:before="200" w:after="100" w:line="240" w:lineRule="auto"/>
      </w:pPr>
      <w:r>
        <w:rPr>
          <w:rFonts w:ascii="Carlito" w:hAnsi="Carlito"/>
        </w:rPr>
        <w:t>List of Figures</w:t>
      </w:r>
    </w:p>
    <w:tbl>
      <w:tblPr>
        <w:tblW w:w="0" w:type="auto"/>
        <w:jc w:val="center"/>
        <w:tblLayout w:type="fixed"/>
        <w:tblLook w:val="04A0" w:firstRow="1" w:lastRow="0" w:firstColumn="1" w:lastColumn="0" w:noHBand="0" w:noVBand="1"/>
      </w:tblPr>
      <w:tblGrid>
        <w:gridCol w:w="5026"/>
        <w:gridCol w:w="7920"/>
      </w:tblGrid>
      <w:tr w:rsidR="00AC1B78" w14:paraId="4BB5529D" w14:textId="77777777">
        <w:trPr>
          <w:tblHeader/>
          <w:jc w:val="center"/>
        </w:trPr>
        <w:tc>
          <w:tcPr>
            <w:tcW w:w="5026" w:type="dxa"/>
            <w:shd w:val="clear" w:color="auto" w:fill="17324D"/>
            <w:tcMar>
              <w:top w:w="90" w:type="dxa"/>
              <w:left w:w="100" w:type="dxa"/>
              <w:bottom w:w="90" w:type="dxa"/>
              <w:right w:w="100" w:type="dxa"/>
            </w:tcMar>
            <w:vAlign w:val="center"/>
          </w:tcPr>
          <w:p w14:paraId="0E00222D" w14:textId="77777777" w:rsidR="00AC1B78" w:rsidRDefault="002C0F08">
            <w:pPr>
              <w:spacing w:after="0" w:line="240" w:lineRule="auto"/>
              <w:jc w:val="center"/>
              <w:rPr>
                <w:rFonts w:hint="eastAsia"/>
              </w:rPr>
            </w:pPr>
            <w:r>
              <w:rPr>
                <w:b/>
                <w:color w:val="FFFFFF"/>
                <w:sz w:val="17"/>
              </w:rPr>
              <w:t>Fig.</w:t>
            </w:r>
          </w:p>
        </w:tc>
        <w:tc>
          <w:tcPr>
            <w:tcW w:w="5026" w:type="dxa"/>
            <w:shd w:val="clear" w:color="auto" w:fill="17324D"/>
            <w:tcMar>
              <w:top w:w="90" w:type="dxa"/>
              <w:left w:w="100" w:type="dxa"/>
              <w:bottom w:w="90" w:type="dxa"/>
              <w:right w:w="100" w:type="dxa"/>
            </w:tcMar>
            <w:vAlign w:val="center"/>
          </w:tcPr>
          <w:p w14:paraId="362BDC75" w14:textId="77777777" w:rsidR="00AC1B78" w:rsidRDefault="002C0F08">
            <w:pPr>
              <w:spacing w:after="0" w:line="240" w:lineRule="auto"/>
              <w:jc w:val="center"/>
              <w:rPr>
                <w:rFonts w:hint="eastAsia"/>
              </w:rPr>
            </w:pPr>
            <w:r>
              <w:rPr>
                <w:b/>
                <w:color w:val="FFFFFF"/>
                <w:sz w:val="17"/>
              </w:rPr>
              <w:t>Interface / diagram</w:t>
            </w:r>
          </w:p>
        </w:tc>
      </w:tr>
      <w:tr w:rsidR="00AC1B78" w14:paraId="64725EE0" w14:textId="77777777">
        <w:trPr>
          <w:jc w:val="center"/>
        </w:trPr>
        <w:tc>
          <w:tcPr>
            <w:tcW w:w="1008" w:type="dxa"/>
            <w:tcMar>
              <w:top w:w="85" w:type="dxa"/>
              <w:left w:w="95" w:type="dxa"/>
              <w:bottom w:w="85" w:type="dxa"/>
              <w:right w:w="95" w:type="dxa"/>
            </w:tcMar>
            <w:vAlign w:val="center"/>
          </w:tcPr>
          <w:p w14:paraId="062F3046" w14:textId="77777777" w:rsidR="00AC1B78" w:rsidRDefault="002C0F08">
            <w:pPr>
              <w:spacing w:after="0" w:line="245" w:lineRule="auto"/>
              <w:rPr>
                <w:rFonts w:hint="eastAsia"/>
              </w:rPr>
            </w:pPr>
            <w:r>
              <w:rPr>
                <w:color w:val="1F2933"/>
                <w:sz w:val="17"/>
              </w:rPr>
              <w:t>1</w:t>
            </w:r>
          </w:p>
        </w:tc>
        <w:tc>
          <w:tcPr>
            <w:tcW w:w="7920" w:type="dxa"/>
            <w:tcMar>
              <w:top w:w="85" w:type="dxa"/>
              <w:left w:w="95" w:type="dxa"/>
              <w:bottom w:w="85" w:type="dxa"/>
              <w:right w:w="95" w:type="dxa"/>
            </w:tcMar>
            <w:vAlign w:val="center"/>
          </w:tcPr>
          <w:p w14:paraId="5B5B9BBC" w14:textId="77777777" w:rsidR="00AC1B78" w:rsidRDefault="002C0F08">
            <w:pPr>
              <w:spacing w:after="0" w:line="245" w:lineRule="auto"/>
              <w:rPr>
                <w:rFonts w:hint="eastAsia"/>
              </w:rPr>
            </w:pPr>
            <w:r>
              <w:rPr>
                <w:color w:val="1F2933"/>
                <w:sz w:val="17"/>
              </w:rPr>
              <w:t>Bits Before Tokens attention funnel</w:t>
            </w:r>
          </w:p>
        </w:tc>
      </w:tr>
      <w:tr w:rsidR="00AC1B78" w14:paraId="1B85F7A5" w14:textId="77777777">
        <w:trPr>
          <w:jc w:val="center"/>
        </w:trPr>
        <w:tc>
          <w:tcPr>
            <w:tcW w:w="1008" w:type="dxa"/>
            <w:shd w:val="clear" w:color="auto" w:fill="F7F9FB"/>
            <w:tcMar>
              <w:top w:w="85" w:type="dxa"/>
              <w:left w:w="95" w:type="dxa"/>
              <w:bottom w:w="85" w:type="dxa"/>
              <w:right w:w="95" w:type="dxa"/>
            </w:tcMar>
            <w:vAlign w:val="center"/>
          </w:tcPr>
          <w:p w14:paraId="12AEA094" w14:textId="77777777" w:rsidR="00AC1B78" w:rsidRDefault="002C0F08">
            <w:pPr>
              <w:spacing w:after="0" w:line="245" w:lineRule="auto"/>
              <w:rPr>
                <w:rFonts w:hint="eastAsia"/>
              </w:rPr>
            </w:pPr>
            <w:r>
              <w:rPr>
                <w:color w:val="1F2933"/>
                <w:sz w:val="17"/>
              </w:rPr>
              <w:t>2</w:t>
            </w:r>
          </w:p>
        </w:tc>
        <w:tc>
          <w:tcPr>
            <w:tcW w:w="7920" w:type="dxa"/>
            <w:shd w:val="clear" w:color="auto" w:fill="F7F9FB"/>
            <w:tcMar>
              <w:top w:w="85" w:type="dxa"/>
              <w:left w:w="95" w:type="dxa"/>
              <w:bottom w:w="85" w:type="dxa"/>
              <w:right w:w="95" w:type="dxa"/>
            </w:tcMar>
            <w:vAlign w:val="center"/>
          </w:tcPr>
          <w:p w14:paraId="50530224" w14:textId="77777777" w:rsidR="00AC1B78" w:rsidRDefault="002C0F08">
            <w:pPr>
              <w:spacing w:after="0" w:line="245" w:lineRule="auto"/>
              <w:rPr>
                <w:rFonts w:hint="eastAsia"/>
              </w:rPr>
            </w:pPr>
            <w:r>
              <w:rPr>
                <w:color w:val="1F2933"/>
                <w:sz w:val="17"/>
              </w:rPr>
              <w:t>Global 000 Knowledge Router</w:t>
            </w:r>
          </w:p>
        </w:tc>
      </w:tr>
      <w:tr w:rsidR="00AC1B78" w14:paraId="7FE25CBD" w14:textId="77777777">
        <w:trPr>
          <w:jc w:val="center"/>
        </w:trPr>
        <w:tc>
          <w:tcPr>
            <w:tcW w:w="1008" w:type="dxa"/>
            <w:tcMar>
              <w:top w:w="85" w:type="dxa"/>
              <w:left w:w="95" w:type="dxa"/>
              <w:bottom w:w="85" w:type="dxa"/>
              <w:right w:w="95" w:type="dxa"/>
            </w:tcMar>
            <w:vAlign w:val="center"/>
          </w:tcPr>
          <w:p w14:paraId="7D7A433D" w14:textId="77777777" w:rsidR="00AC1B78" w:rsidRDefault="002C0F08">
            <w:pPr>
              <w:spacing w:after="0" w:line="245" w:lineRule="auto"/>
              <w:rPr>
                <w:rFonts w:hint="eastAsia"/>
              </w:rPr>
            </w:pPr>
            <w:r>
              <w:rPr>
                <w:color w:val="1F2933"/>
                <w:sz w:val="17"/>
              </w:rPr>
              <w:t>3</w:t>
            </w:r>
          </w:p>
        </w:tc>
        <w:tc>
          <w:tcPr>
            <w:tcW w:w="7920" w:type="dxa"/>
            <w:tcMar>
              <w:top w:w="85" w:type="dxa"/>
              <w:left w:w="95" w:type="dxa"/>
              <w:bottom w:w="85" w:type="dxa"/>
              <w:right w:w="95" w:type="dxa"/>
            </w:tcMar>
            <w:vAlign w:val="center"/>
          </w:tcPr>
          <w:p w14:paraId="5672743E" w14:textId="77777777" w:rsidR="00AC1B78" w:rsidRDefault="002C0F08">
            <w:pPr>
              <w:spacing w:after="0" w:line="245" w:lineRule="auto"/>
              <w:rPr>
                <w:rFonts w:hint="eastAsia"/>
              </w:rPr>
            </w:pPr>
            <w:r>
              <w:rPr>
                <w:color w:val="1F2933"/>
                <w:sz w:val="17"/>
              </w:rPr>
              <w:t>Query Factorization Console</w:t>
            </w:r>
          </w:p>
        </w:tc>
      </w:tr>
      <w:tr w:rsidR="00AC1B78" w14:paraId="1FDD8492" w14:textId="77777777">
        <w:trPr>
          <w:jc w:val="center"/>
        </w:trPr>
        <w:tc>
          <w:tcPr>
            <w:tcW w:w="1008" w:type="dxa"/>
            <w:shd w:val="clear" w:color="auto" w:fill="F7F9FB"/>
            <w:tcMar>
              <w:top w:w="85" w:type="dxa"/>
              <w:left w:w="95" w:type="dxa"/>
              <w:bottom w:w="85" w:type="dxa"/>
              <w:right w:w="95" w:type="dxa"/>
            </w:tcMar>
            <w:vAlign w:val="center"/>
          </w:tcPr>
          <w:p w14:paraId="2A0CC648" w14:textId="77777777" w:rsidR="00AC1B78" w:rsidRDefault="002C0F08">
            <w:pPr>
              <w:spacing w:after="0" w:line="245" w:lineRule="auto"/>
              <w:rPr>
                <w:rFonts w:hint="eastAsia"/>
              </w:rPr>
            </w:pPr>
            <w:r>
              <w:rPr>
                <w:color w:val="1F2933"/>
                <w:sz w:val="17"/>
              </w:rPr>
              <w:t>4</w:t>
            </w:r>
          </w:p>
        </w:tc>
        <w:tc>
          <w:tcPr>
            <w:tcW w:w="7920" w:type="dxa"/>
            <w:shd w:val="clear" w:color="auto" w:fill="F7F9FB"/>
            <w:tcMar>
              <w:top w:w="85" w:type="dxa"/>
              <w:left w:w="95" w:type="dxa"/>
              <w:bottom w:w="85" w:type="dxa"/>
              <w:right w:w="95" w:type="dxa"/>
            </w:tcMar>
            <w:vAlign w:val="center"/>
          </w:tcPr>
          <w:p w14:paraId="471F8927" w14:textId="77777777" w:rsidR="00AC1B78" w:rsidRDefault="002C0F08">
            <w:pPr>
              <w:spacing w:after="0" w:line="245" w:lineRule="auto"/>
              <w:rPr>
                <w:rFonts w:hint="eastAsia"/>
              </w:rPr>
            </w:pPr>
            <w:r>
              <w:rPr>
                <w:color w:val="1F2933"/>
                <w:sz w:val="17"/>
              </w:rPr>
              <w:t>Active Semantic Frontier</w:t>
            </w:r>
          </w:p>
        </w:tc>
      </w:tr>
      <w:tr w:rsidR="00AC1B78" w14:paraId="7E14D356" w14:textId="77777777">
        <w:trPr>
          <w:jc w:val="center"/>
        </w:trPr>
        <w:tc>
          <w:tcPr>
            <w:tcW w:w="1008" w:type="dxa"/>
            <w:tcMar>
              <w:top w:w="85" w:type="dxa"/>
              <w:left w:w="95" w:type="dxa"/>
              <w:bottom w:w="85" w:type="dxa"/>
              <w:right w:w="95" w:type="dxa"/>
            </w:tcMar>
            <w:vAlign w:val="center"/>
          </w:tcPr>
          <w:p w14:paraId="1033A1FE" w14:textId="77777777" w:rsidR="00AC1B78" w:rsidRDefault="002C0F08">
            <w:pPr>
              <w:spacing w:after="0" w:line="245" w:lineRule="auto"/>
              <w:rPr>
                <w:rFonts w:hint="eastAsia"/>
              </w:rPr>
            </w:pPr>
            <w:r>
              <w:rPr>
                <w:color w:val="1F2933"/>
                <w:sz w:val="17"/>
              </w:rPr>
              <w:t>5</w:t>
            </w:r>
          </w:p>
        </w:tc>
        <w:tc>
          <w:tcPr>
            <w:tcW w:w="7920" w:type="dxa"/>
            <w:tcMar>
              <w:top w:w="85" w:type="dxa"/>
              <w:left w:w="95" w:type="dxa"/>
              <w:bottom w:w="85" w:type="dxa"/>
              <w:right w:w="95" w:type="dxa"/>
            </w:tcMar>
            <w:vAlign w:val="center"/>
          </w:tcPr>
          <w:p w14:paraId="27DA55A8" w14:textId="77777777" w:rsidR="00AC1B78" w:rsidRDefault="002C0F08">
            <w:pPr>
              <w:spacing w:after="0" w:line="245" w:lineRule="auto"/>
              <w:rPr>
                <w:rFonts w:hint="eastAsia"/>
              </w:rPr>
            </w:pPr>
            <w:r>
              <w:rPr>
                <w:color w:val="1F2933"/>
                <w:sz w:val="17"/>
              </w:rPr>
              <w:t>Semantic Fade Explorer</w:t>
            </w:r>
          </w:p>
        </w:tc>
      </w:tr>
      <w:tr w:rsidR="00AC1B78" w14:paraId="2ADB2379" w14:textId="77777777">
        <w:trPr>
          <w:jc w:val="center"/>
        </w:trPr>
        <w:tc>
          <w:tcPr>
            <w:tcW w:w="1008" w:type="dxa"/>
            <w:shd w:val="clear" w:color="auto" w:fill="F7F9FB"/>
            <w:tcMar>
              <w:top w:w="85" w:type="dxa"/>
              <w:left w:w="95" w:type="dxa"/>
              <w:bottom w:w="85" w:type="dxa"/>
              <w:right w:w="95" w:type="dxa"/>
            </w:tcMar>
            <w:vAlign w:val="center"/>
          </w:tcPr>
          <w:p w14:paraId="7FFC8B1E" w14:textId="77777777" w:rsidR="00AC1B78" w:rsidRDefault="002C0F08">
            <w:pPr>
              <w:spacing w:after="0" w:line="245" w:lineRule="auto"/>
              <w:rPr>
                <w:rFonts w:hint="eastAsia"/>
              </w:rPr>
            </w:pPr>
            <w:r>
              <w:rPr>
                <w:color w:val="1F2933"/>
                <w:sz w:val="17"/>
              </w:rPr>
              <w:t>6</w:t>
            </w:r>
          </w:p>
        </w:tc>
        <w:tc>
          <w:tcPr>
            <w:tcW w:w="7920" w:type="dxa"/>
            <w:shd w:val="clear" w:color="auto" w:fill="F7F9FB"/>
            <w:tcMar>
              <w:top w:w="85" w:type="dxa"/>
              <w:left w:w="95" w:type="dxa"/>
              <w:bottom w:w="85" w:type="dxa"/>
              <w:right w:w="95" w:type="dxa"/>
            </w:tcMar>
            <w:vAlign w:val="center"/>
          </w:tcPr>
          <w:p w14:paraId="1671E7ED" w14:textId="77777777" w:rsidR="00AC1B78" w:rsidRDefault="002C0F08">
            <w:pPr>
              <w:spacing w:after="0" w:line="245" w:lineRule="auto"/>
              <w:rPr>
                <w:rFonts w:hint="eastAsia"/>
              </w:rPr>
            </w:pPr>
            <w:r>
              <w:rPr>
                <w:color w:val="1F2933"/>
                <w:sz w:val="17"/>
              </w:rPr>
              <w:t>Authority and Applicability Inspector</w:t>
            </w:r>
          </w:p>
        </w:tc>
      </w:tr>
      <w:tr w:rsidR="00AC1B78" w14:paraId="6A3482E7" w14:textId="77777777">
        <w:trPr>
          <w:jc w:val="center"/>
        </w:trPr>
        <w:tc>
          <w:tcPr>
            <w:tcW w:w="1008" w:type="dxa"/>
            <w:tcMar>
              <w:top w:w="85" w:type="dxa"/>
              <w:left w:w="95" w:type="dxa"/>
              <w:bottom w:w="85" w:type="dxa"/>
              <w:right w:w="95" w:type="dxa"/>
            </w:tcMar>
            <w:vAlign w:val="center"/>
          </w:tcPr>
          <w:p w14:paraId="33ECB186" w14:textId="77777777" w:rsidR="00AC1B78" w:rsidRDefault="002C0F08">
            <w:pPr>
              <w:spacing w:after="0" w:line="245" w:lineRule="auto"/>
              <w:rPr>
                <w:rFonts w:hint="eastAsia"/>
              </w:rPr>
            </w:pPr>
            <w:r>
              <w:rPr>
                <w:color w:val="1F2933"/>
                <w:sz w:val="17"/>
              </w:rPr>
              <w:t>7</w:t>
            </w:r>
          </w:p>
        </w:tc>
        <w:tc>
          <w:tcPr>
            <w:tcW w:w="7920" w:type="dxa"/>
            <w:tcMar>
              <w:top w:w="85" w:type="dxa"/>
              <w:left w:w="95" w:type="dxa"/>
              <w:bottom w:w="85" w:type="dxa"/>
              <w:right w:w="95" w:type="dxa"/>
            </w:tcMar>
            <w:vAlign w:val="center"/>
          </w:tcPr>
          <w:p w14:paraId="1A632FFB" w14:textId="77777777" w:rsidR="00AC1B78" w:rsidRDefault="002C0F08">
            <w:pPr>
              <w:spacing w:after="0" w:line="245" w:lineRule="auto"/>
              <w:rPr>
                <w:rFonts w:hint="eastAsia"/>
              </w:rPr>
            </w:pPr>
            <w:r>
              <w:rPr>
                <w:color w:val="1F2933"/>
                <w:sz w:val="17"/>
              </w:rPr>
              <w:t>Semantic Search Plan Builder</w:t>
            </w:r>
          </w:p>
        </w:tc>
      </w:tr>
      <w:tr w:rsidR="00AC1B78" w14:paraId="46A8DA74" w14:textId="77777777">
        <w:trPr>
          <w:jc w:val="center"/>
        </w:trPr>
        <w:tc>
          <w:tcPr>
            <w:tcW w:w="1008" w:type="dxa"/>
            <w:shd w:val="clear" w:color="auto" w:fill="F7F9FB"/>
            <w:tcMar>
              <w:top w:w="85" w:type="dxa"/>
              <w:left w:w="95" w:type="dxa"/>
              <w:bottom w:w="85" w:type="dxa"/>
              <w:right w:w="95" w:type="dxa"/>
            </w:tcMar>
            <w:vAlign w:val="center"/>
          </w:tcPr>
          <w:p w14:paraId="7B8EC622" w14:textId="77777777" w:rsidR="00AC1B78" w:rsidRDefault="002C0F08">
            <w:pPr>
              <w:spacing w:after="0" w:line="245" w:lineRule="auto"/>
              <w:rPr>
                <w:rFonts w:hint="eastAsia"/>
              </w:rPr>
            </w:pPr>
            <w:r>
              <w:rPr>
                <w:color w:val="1F2933"/>
                <w:sz w:val="17"/>
              </w:rPr>
              <w:t>8</w:t>
            </w:r>
          </w:p>
        </w:tc>
        <w:tc>
          <w:tcPr>
            <w:tcW w:w="7920" w:type="dxa"/>
            <w:shd w:val="clear" w:color="auto" w:fill="F7F9FB"/>
            <w:tcMar>
              <w:top w:w="85" w:type="dxa"/>
              <w:left w:w="95" w:type="dxa"/>
              <w:bottom w:w="85" w:type="dxa"/>
              <w:right w:w="95" w:type="dxa"/>
            </w:tcMar>
            <w:vAlign w:val="center"/>
          </w:tcPr>
          <w:p w14:paraId="2F540DF9" w14:textId="77777777" w:rsidR="00AC1B78" w:rsidRDefault="002C0F08">
            <w:pPr>
              <w:spacing w:after="0" w:line="245" w:lineRule="auto"/>
              <w:rPr>
                <w:rFonts w:hint="eastAsia"/>
              </w:rPr>
            </w:pPr>
            <w:r>
              <w:rPr>
                <w:color w:val="1F2933"/>
                <w:sz w:val="17"/>
              </w:rPr>
              <w:t>GROOVE Retrieval Funnel</w:t>
            </w:r>
          </w:p>
        </w:tc>
      </w:tr>
      <w:tr w:rsidR="00AC1B78" w14:paraId="0B841429" w14:textId="77777777">
        <w:trPr>
          <w:jc w:val="center"/>
        </w:trPr>
        <w:tc>
          <w:tcPr>
            <w:tcW w:w="1008" w:type="dxa"/>
            <w:tcMar>
              <w:top w:w="85" w:type="dxa"/>
              <w:left w:w="95" w:type="dxa"/>
              <w:bottom w:w="85" w:type="dxa"/>
              <w:right w:w="95" w:type="dxa"/>
            </w:tcMar>
            <w:vAlign w:val="center"/>
          </w:tcPr>
          <w:p w14:paraId="56D17B8A" w14:textId="77777777" w:rsidR="00AC1B78" w:rsidRDefault="002C0F08">
            <w:pPr>
              <w:spacing w:after="0" w:line="245" w:lineRule="auto"/>
              <w:rPr>
                <w:rFonts w:hint="eastAsia"/>
              </w:rPr>
            </w:pPr>
            <w:r>
              <w:rPr>
                <w:color w:val="1F2933"/>
                <w:sz w:val="17"/>
              </w:rPr>
              <w:t>9</w:t>
            </w:r>
          </w:p>
        </w:tc>
        <w:tc>
          <w:tcPr>
            <w:tcW w:w="7920" w:type="dxa"/>
            <w:tcMar>
              <w:top w:w="85" w:type="dxa"/>
              <w:left w:w="95" w:type="dxa"/>
              <w:bottom w:w="85" w:type="dxa"/>
              <w:right w:w="95" w:type="dxa"/>
            </w:tcMar>
            <w:vAlign w:val="center"/>
          </w:tcPr>
          <w:p w14:paraId="3D7D5073" w14:textId="77777777" w:rsidR="00AC1B78" w:rsidRDefault="002C0F08">
            <w:pPr>
              <w:spacing w:after="0" w:line="245" w:lineRule="auto"/>
              <w:rPr>
                <w:rFonts w:hint="eastAsia"/>
              </w:rPr>
            </w:pPr>
            <w:r>
              <w:rPr>
                <w:color w:val="1F2933"/>
                <w:sz w:val="17"/>
              </w:rPr>
              <w:t>Why This Source Was Read</w:t>
            </w:r>
          </w:p>
        </w:tc>
      </w:tr>
      <w:tr w:rsidR="00AC1B78" w14:paraId="35EA6871" w14:textId="77777777">
        <w:trPr>
          <w:jc w:val="center"/>
        </w:trPr>
        <w:tc>
          <w:tcPr>
            <w:tcW w:w="1008" w:type="dxa"/>
            <w:shd w:val="clear" w:color="auto" w:fill="F7F9FB"/>
            <w:tcMar>
              <w:top w:w="85" w:type="dxa"/>
              <w:left w:w="95" w:type="dxa"/>
              <w:bottom w:w="85" w:type="dxa"/>
              <w:right w:w="95" w:type="dxa"/>
            </w:tcMar>
            <w:vAlign w:val="center"/>
          </w:tcPr>
          <w:p w14:paraId="65062E34" w14:textId="77777777" w:rsidR="00AC1B78" w:rsidRDefault="002C0F08">
            <w:pPr>
              <w:spacing w:after="0" w:line="245" w:lineRule="auto"/>
              <w:rPr>
                <w:rFonts w:hint="eastAsia"/>
              </w:rPr>
            </w:pPr>
            <w:r>
              <w:rPr>
                <w:color w:val="1F2933"/>
                <w:sz w:val="17"/>
              </w:rPr>
              <w:t>10</w:t>
            </w:r>
          </w:p>
        </w:tc>
        <w:tc>
          <w:tcPr>
            <w:tcW w:w="7920" w:type="dxa"/>
            <w:shd w:val="clear" w:color="auto" w:fill="F7F9FB"/>
            <w:tcMar>
              <w:top w:w="85" w:type="dxa"/>
              <w:left w:w="95" w:type="dxa"/>
              <w:bottom w:w="85" w:type="dxa"/>
              <w:right w:w="95" w:type="dxa"/>
            </w:tcMar>
            <w:vAlign w:val="center"/>
          </w:tcPr>
          <w:p w14:paraId="39275B68" w14:textId="77777777" w:rsidR="00AC1B78" w:rsidRDefault="002C0F08">
            <w:pPr>
              <w:spacing w:after="0" w:line="245" w:lineRule="auto"/>
              <w:rPr>
                <w:rFonts w:hint="eastAsia"/>
              </w:rPr>
            </w:pPr>
            <w:r>
              <w:rPr>
                <w:color w:val="1F2933"/>
                <w:sz w:val="17"/>
              </w:rPr>
              <w:t>Semantic Budget Monitor</w:t>
            </w:r>
          </w:p>
        </w:tc>
      </w:tr>
      <w:tr w:rsidR="00AC1B78" w14:paraId="177E30C4" w14:textId="77777777">
        <w:trPr>
          <w:jc w:val="center"/>
        </w:trPr>
        <w:tc>
          <w:tcPr>
            <w:tcW w:w="1008" w:type="dxa"/>
            <w:tcMar>
              <w:top w:w="85" w:type="dxa"/>
              <w:left w:w="95" w:type="dxa"/>
              <w:bottom w:w="85" w:type="dxa"/>
              <w:right w:w="95" w:type="dxa"/>
            </w:tcMar>
            <w:vAlign w:val="center"/>
          </w:tcPr>
          <w:p w14:paraId="7CB591B6" w14:textId="77777777" w:rsidR="00AC1B78" w:rsidRDefault="002C0F08">
            <w:pPr>
              <w:spacing w:after="0" w:line="245" w:lineRule="auto"/>
              <w:rPr>
                <w:rFonts w:hint="eastAsia"/>
              </w:rPr>
            </w:pPr>
            <w:r>
              <w:rPr>
                <w:color w:val="1F2933"/>
                <w:sz w:val="17"/>
              </w:rPr>
              <w:t>11</w:t>
            </w:r>
          </w:p>
        </w:tc>
        <w:tc>
          <w:tcPr>
            <w:tcW w:w="7920" w:type="dxa"/>
            <w:tcMar>
              <w:top w:w="85" w:type="dxa"/>
              <w:left w:w="95" w:type="dxa"/>
              <w:bottom w:w="85" w:type="dxa"/>
              <w:right w:w="95" w:type="dxa"/>
            </w:tcMar>
            <w:vAlign w:val="center"/>
          </w:tcPr>
          <w:p w14:paraId="5CA3EB13" w14:textId="77777777" w:rsidR="00AC1B78" w:rsidRDefault="002C0F08">
            <w:pPr>
              <w:spacing w:after="0" w:line="245" w:lineRule="auto"/>
              <w:rPr>
                <w:rFonts w:hint="eastAsia"/>
              </w:rPr>
            </w:pPr>
            <w:r>
              <w:rPr>
                <w:color w:val="1F2933"/>
                <w:sz w:val="17"/>
              </w:rPr>
              <w:t>Same Domain, Different Intent</w:t>
            </w:r>
          </w:p>
        </w:tc>
      </w:tr>
      <w:tr w:rsidR="00AC1B78" w14:paraId="2683B842" w14:textId="77777777">
        <w:trPr>
          <w:jc w:val="center"/>
        </w:trPr>
        <w:tc>
          <w:tcPr>
            <w:tcW w:w="1008" w:type="dxa"/>
            <w:shd w:val="clear" w:color="auto" w:fill="F7F9FB"/>
            <w:tcMar>
              <w:top w:w="85" w:type="dxa"/>
              <w:left w:w="95" w:type="dxa"/>
              <w:bottom w:w="85" w:type="dxa"/>
              <w:right w:w="95" w:type="dxa"/>
            </w:tcMar>
            <w:vAlign w:val="center"/>
          </w:tcPr>
          <w:p w14:paraId="5F218227" w14:textId="77777777" w:rsidR="00AC1B78" w:rsidRDefault="002C0F08">
            <w:pPr>
              <w:spacing w:after="0" w:line="245" w:lineRule="auto"/>
              <w:rPr>
                <w:rFonts w:hint="eastAsia"/>
              </w:rPr>
            </w:pPr>
            <w:r>
              <w:rPr>
                <w:color w:val="1F2933"/>
                <w:sz w:val="17"/>
              </w:rPr>
              <w:t>12</w:t>
            </w:r>
          </w:p>
        </w:tc>
        <w:tc>
          <w:tcPr>
            <w:tcW w:w="7920" w:type="dxa"/>
            <w:shd w:val="clear" w:color="auto" w:fill="F7F9FB"/>
            <w:tcMar>
              <w:top w:w="85" w:type="dxa"/>
              <w:left w:w="95" w:type="dxa"/>
              <w:bottom w:w="85" w:type="dxa"/>
              <w:right w:w="95" w:type="dxa"/>
            </w:tcMar>
            <w:vAlign w:val="center"/>
          </w:tcPr>
          <w:p w14:paraId="238AFFCA" w14:textId="77777777" w:rsidR="00AC1B78" w:rsidRDefault="002C0F08">
            <w:pPr>
              <w:spacing w:after="0" w:line="245" w:lineRule="auto"/>
              <w:rPr>
                <w:rFonts w:hint="eastAsia"/>
              </w:rPr>
            </w:pPr>
            <w:r>
              <w:rPr>
                <w:color w:val="1F2933"/>
                <w:sz w:val="17"/>
              </w:rPr>
              <w:t>Context-Bounded Authority: Game Law</w:t>
            </w:r>
          </w:p>
        </w:tc>
      </w:tr>
      <w:tr w:rsidR="00AC1B78" w14:paraId="10D1E3C0" w14:textId="77777777">
        <w:trPr>
          <w:jc w:val="center"/>
        </w:trPr>
        <w:tc>
          <w:tcPr>
            <w:tcW w:w="1008" w:type="dxa"/>
            <w:tcMar>
              <w:top w:w="85" w:type="dxa"/>
              <w:left w:w="95" w:type="dxa"/>
              <w:bottom w:w="85" w:type="dxa"/>
              <w:right w:w="95" w:type="dxa"/>
            </w:tcMar>
            <w:vAlign w:val="center"/>
          </w:tcPr>
          <w:p w14:paraId="26408795" w14:textId="77777777" w:rsidR="00AC1B78" w:rsidRDefault="002C0F08">
            <w:pPr>
              <w:spacing w:after="0" w:line="245" w:lineRule="auto"/>
              <w:rPr>
                <w:rFonts w:hint="eastAsia"/>
              </w:rPr>
            </w:pPr>
            <w:r>
              <w:rPr>
                <w:color w:val="1F2933"/>
                <w:sz w:val="17"/>
              </w:rPr>
              <w:t>13</w:t>
            </w:r>
          </w:p>
        </w:tc>
        <w:tc>
          <w:tcPr>
            <w:tcW w:w="7920" w:type="dxa"/>
            <w:tcMar>
              <w:top w:w="85" w:type="dxa"/>
              <w:left w:w="95" w:type="dxa"/>
              <w:bottom w:w="85" w:type="dxa"/>
              <w:right w:w="95" w:type="dxa"/>
            </w:tcMar>
            <w:vAlign w:val="center"/>
          </w:tcPr>
          <w:p w14:paraId="149E1D2C" w14:textId="77777777" w:rsidR="00AC1B78" w:rsidRDefault="002C0F08">
            <w:pPr>
              <w:spacing w:after="0" w:line="245" w:lineRule="auto"/>
              <w:rPr>
                <w:rFonts w:hint="eastAsia"/>
              </w:rPr>
            </w:pPr>
            <w:r>
              <w:rPr>
                <w:color w:val="1F2933"/>
                <w:sz w:val="17"/>
              </w:rPr>
              <w:t>Cross-Domain Semantic Search DAG</w:t>
            </w:r>
          </w:p>
        </w:tc>
      </w:tr>
      <w:tr w:rsidR="00AC1B78" w14:paraId="5E547B45" w14:textId="77777777">
        <w:trPr>
          <w:jc w:val="center"/>
        </w:trPr>
        <w:tc>
          <w:tcPr>
            <w:tcW w:w="1008" w:type="dxa"/>
            <w:shd w:val="clear" w:color="auto" w:fill="F7F9FB"/>
            <w:tcMar>
              <w:top w:w="85" w:type="dxa"/>
              <w:left w:w="95" w:type="dxa"/>
              <w:bottom w:w="85" w:type="dxa"/>
              <w:right w:w="95" w:type="dxa"/>
            </w:tcMar>
            <w:vAlign w:val="center"/>
          </w:tcPr>
          <w:p w14:paraId="5F1AEA28" w14:textId="77777777" w:rsidR="00AC1B78" w:rsidRDefault="002C0F08">
            <w:pPr>
              <w:spacing w:after="0" w:line="245" w:lineRule="auto"/>
              <w:rPr>
                <w:rFonts w:hint="eastAsia"/>
              </w:rPr>
            </w:pPr>
            <w:r>
              <w:rPr>
                <w:color w:val="1F2933"/>
                <w:sz w:val="17"/>
              </w:rPr>
              <w:t>14</w:t>
            </w:r>
          </w:p>
        </w:tc>
        <w:tc>
          <w:tcPr>
            <w:tcW w:w="7920" w:type="dxa"/>
            <w:shd w:val="clear" w:color="auto" w:fill="F7F9FB"/>
            <w:tcMar>
              <w:top w:w="85" w:type="dxa"/>
              <w:left w:w="95" w:type="dxa"/>
              <w:bottom w:w="85" w:type="dxa"/>
              <w:right w:w="95" w:type="dxa"/>
            </w:tcMar>
            <w:vAlign w:val="center"/>
          </w:tcPr>
          <w:p w14:paraId="2695DD38" w14:textId="77777777" w:rsidR="00AC1B78" w:rsidRDefault="002C0F08">
            <w:pPr>
              <w:spacing w:after="0" w:line="245" w:lineRule="auto"/>
              <w:rPr>
                <w:rFonts w:hint="eastAsia"/>
              </w:rPr>
            </w:pPr>
            <w:r>
              <w:rPr>
                <w:color w:val="1F2933"/>
                <w:sz w:val="17"/>
              </w:rPr>
              <w:t>Direct SOLAR vs Semantic Search</w:t>
            </w:r>
          </w:p>
        </w:tc>
      </w:tr>
      <w:tr w:rsidR="00AC1B78" w14:paraId="4AC7C747" w14:textId="77777777">
        <w:trPr>
          <w:jc w:val="center"/>
        </w:trPr>
        <w:tc>
          <w:tcPr>
            <w:tcW w:w="1008" w:type="dxa"/>
            <w:tcMar>
              <w:top w:w="85" w:type="dxa"/>
              <w:left w:w="95" w:type="dxa"/>
              <w:bottom w:w="85" w:type="dxa"/>
              <w:right w:w="95" w:type="dxa"/>
            </w:tcMar>
            <w:vAlign w:val="center"/>
          </w:tcPr>
          <w:p w14:paraId="6A09DC4E" w14:textId="77777777" w:rsidR="00AC1B78" w:rsidRDefault="002C0F08">
            <w:pPr>
              <w:spacing w:after="0" w:line="245" w:lineRule="auto"/>
              <w:rPr>
                <w:rFonts w:hint="eastAsia"/>
              </w:rPr>
            </w:pPr>
            <w:r>
              <w:rPr>
                <w:color w:val="1F2933"/>
                <w:sz w:val="17"/>
              </w:rPr>
              <w:t>15</w:t>
            </w:r>
          </w:p>
        </w:tc>
        <w:tc>
          <w:tcPr>
            <w:tcW w:w="7920" w:type="dxa"/>
            <w:tcMar>
              <w:top w:w="85" w:type="dxa"/>
              <w:left w:w="95" w:type="dxa"/>
              <w:bottom w:w="85" w:type="dxa"/>
              <w:right w:w="95" w:type="dxa"/>
            </w:tcMar>
            <w:vAlign w:val="center"/>
          </w:tcPr>
          <w:p w14:paraId="17559F2A" w14:textId="77777777" w:rsidR="00AC1B78" w:rsidRDefault="002C0F08">
            <w:pPr>
              <w:spacing w:after="0" w:line="245" w:lineRule="auto"/>
              <w:rPr>
                <w:rFonts w:hint="eastAsia"/>
              </w:rPr>
            </w:pPr>
            <w:r>
              <w:rPr>
                <w:color w:val="1F2933"/>
                <w:sz w:val="17"/>
              </w:rPr>
              <w:t>Bits Before Tokens Search Lifecycle</w:t>
            </w:r>
          </w:p>
        </w:tc>
      </w:tr>
    </w:tbl>
    <w:p w14:paraId="6D34D165" w14:textId="77777777" w:rsidR="00AC1B78" w:rsidRDefault="00AC1B78">
      <w:pPr>
        <w:spacing w:after="40"/>
        <w:rPr>
          <w:rFonts w:hint="eastAsia"/>
        </w:rPr>
      </w:pPr>
    </w:p>
    <w:p w14:paraId="1E521165" w14:textId="77777777" w:rsidR="00AC1B78" w:rsidRDefault="002C0F08">
      <w:pPr>
        <w:rPr>
          <w:rFonts w:hint="eastAsia"/>
        </w:rPr>
      </w:pPr>
      <w:r>
        <w:br w:type="page"/>
      </w:r>
    </w:p>
    <w:p w14:paraId="4D72135A" w14:textId="77777777" w:rsidR="00AC1B78" w:rsidRDefault="002C0F08">
      <w:pPr>
        <w:pStyle w:val="Heading1"/>
        <w:spacing w:before="200" w:after="100" w:line="240" w:lineRule="auto"/>
      </w:pPr>
      <w:r>
        <w:rPr>
          <w:rFonts w:ascii="Carlito" w:hAnsi="Carlito"/>
        </w:rPr>
        <w:t>0. Executive Summary</w:t>
      </w:r>
    </w:p>
    <w:p w14:paraId="2C5D3E5C" w14:textId="77777777" w:rsidR="00AC1B78" w:rsidRDefault="002C0F08">
      <w:pPr>
        <w:spacing w:after="120" w:line="259" w:lineRule="auto"/>
        <w:rPr>
          <w:rFonts w:hint="eastAsia"/>
        </w:rPr>
      </w:pPr>
      <w:r>
        <w:rPr>
          <w:color w:val="1F2933"/>
        </w:rPr>
        <w:t>Bits Before Tokens proposes that semantic routing should normally precede high-volume text retrieval when a governed semantic architecture already exists. Instead of treating every query as an invitation to search the entire document universe, the system first asks a small sequence of bounded questions: Which broad domains are active? What is the user trying to do? Which context or world applies? Which epistemic layers are allowed? Which finer semantic branches remain relevant after each pass?</w:t>
      </w:r>
    </w:p>
    <w:p w14:paraId="102E2106" w14:textId="77777777" w:rsidR="00AC1B78" w:rsidRDefault="002C0F08">
      <w:pPr>
        <w:spacing w:after="120" w:line="259" w:lineRule="auto"/>
        <w:rPr>
          <w:rFonts w:hint="eastAsia"/>
        </w:rPr>
      </w:pPr>
      <w:r>
        <w:rPr>
          <w:color w:val="1F2933"/>
        </w:rPr>
        <w:t>Each routing pass operates over a compact, inspectable vocabulary. A Routing SK may expose sixteen, thirty-two, sixty-four, or another bounded number of semantic factors. The request can activate several factors simultaneously. Those factors become independent branches, not competing labels. Each branch may then be routed through a finer semantic surface. The resulting query topology is therefore a dynamic directed acyclic graph rather than a one-best-classification tree.</w:t>
      </w:r>
    </w:p>
    <w:p w14:paraId="54B58F3D" w14:textId="77777777" w:rsidR="00AC1B78" w:rsidRDefault="002C0F08">
      <w:pPr>
        <w:spacing w:after="120" w:line="259" w:lineRule="auto"/>
        <w:rPr>
          <w:rFonts w:hint="eastAsia"/>
        </w:rPr>
      </w:pPr>
      <w:r>
        <w:rPr>
          <w:color w:val="1F2933"/>
        </w:rPr>
        <w:t>The system uses Semantic Fade to stop expanding branches that no longer justify further attention. Fade is not a blind depth penalty. Relevance is re-evaluated at every resolution level against the original request plus inherited parent context. A branch may strengthen as the vocabulary becomes more precise. A broad Materials route may be only moderately relevant while a deeper Self-Healing Materials route becomes highly relevant. Conversely, a superficially related branch may fall below the continuation th</w:t>
      </w:r>
      <w:r>
        <w:rPr>
          <w:color w:val="1F2933"/>
        </w:rPr>
        <w:t>reshold and disappear before any large documents are opened.</w:t>
      </w:r>
    </w:p>
    <w:p w14:paraId="5444E981" w14:textId="77777777" w:rsidR="00AC1B78" w:rsidRDefault="002C0F08">
      <w:pPr>
        <w:spacing w:after="120" w:line="259" w:lineRule="auto"/>
        <w:rPr>
          <w:rFonts w:hint="eastAsia"/>
        </w:rPr>
      </w:pPr>
      <w:r>
        <w:rPr>
          <w:color w:val="1F2933"/>
        </w:rPr>
        <w:t>The surviving semantic frontier routes into the GROOVE network. Global and domain 000 surfaces identify semantic neighborhoods; 00 manifests expose bounded document bundles, Masters, Models, Operators, Rules, FASKs, and saved GROOVE projections. Query routes can be intersected with saved source coordinates and branch-conditioned descriptions. This produces a much smaller candidate set. Only then does the system reopen original files and spend substantial language-model tokens.</w:t>
      </w:r>
    </w:p>
    <w:p w14:paraId="72BEEB9A" w14:textId="77777777" w:rsidR="00AC1B78" w:rsidRDefault="002C0F08">
      <w:pPr>
        <w:spacing w:after="120" w:line="259" w:lineRule="auto"/>
        <w:rPr>
          <w:rFonts w:hint="eastAsia"/>
        </w:rPr>
      </w:pPr>
      <w:r>
        <w:rPr>
          <w:color w:val="1F2933"/>
        </w:rPr>
        <w:t>The architecture also separates three dimensions that ordinary retrieval systems often collapse: semantic relevance, authority or trust, and contextual applicability. A source can be strongly relevant yet low-authority. A source can be fully authoritative yet inapplicable to the current world or organization. These distinctions are preserved in the search plan and search trace rather than hidden inside one opaque relevance number.</w:t>
      </w:r>
    </w:p>
    <w:p w14:paraId="216168CF" w14:textId="77777777" w:rsidR="00AC1B78" w:rsidRDefault="002C0F08">
      <w:pPr>
        <w:keepNext/>
        <w:spacing w:before="80" w:after="60" w:line="240" w:lineRule="auto"/>
        <w:jc w:val="center"/>
        <w:rPr>
          <w:rFonts w:hint="eastAsia"/>
        </w:rPr>
      </w:pPr>
      <w:r>
        <w:rPr>
          <w:noProof/>
        </w:rPr>
        <w:drawing>
          <wp:inline distT="0" distB="0" distL="0" distR="0" wp14:anchorId="5742C4D3" wp14:editId="3785B376">
            <wp:extent cx="5897880" cy="3460365"/>
            <wp:effectExtent l="0" t="0" r="0" b="0"/>
            <wp:docPr id="1" name="Picture 1" descr="The figure shows a funnel from millions of source artifacts through tiny Routing SK decisions, active domains, finer semantic branches, GROOVE bundles, compact descriptions, and finally a handful of original source documents before LLM token reasoning begins." title="Figure 1: Bits Before Tokens attention 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bits_before_tokens.png"/>
                    <pic:cNvPicPr/>
                  </pic:nvPicPr>
                  <pic:blipFill>
                    <a:blip r:embed="rId8"/>
                    <a:stretch>
                      <a:fillRect/>
                    </a:stretch>
                  </pic:blipFill>
                  <pic:spPr>
                    <a:xfrm>
                      <a:off x="0" y="0"/>
                      <a:ext cx="5897880" cy="3460365"/>
                    </a:xfrm>
                    <a:prstGeom prst="rect">
                      <a:avLst/>
                    </a:prstGeom>
                  </pic:spPr>
                </pic:pic>
              </a:graphicData>
            </a:graphic>
          </wp:inline>
        </w:drawing>
      </w:r>
    </w:p>
    <w:p w14:paraId="30FE9C66" w14:textId="77777777" w:rsidR="00AC1B78" w:rsidRDefault="002C0F08">
      <w:pPr>
        <w:keepLines/>
        <w:spacing w:after="160" w:line="245" w:lineRule="auto"/>
        <w:rPr>
          <w:rFonts w:hint="eastAsia"/>
        </w:rPr>
      </w:pPr>
      <w:r>
        <w:rPr>
          <w:b/>
          <w:color w:val="17324D"/>
          <w:sz w:val="17"/>
        </w:rPr>
        <w:t xml:space="preserve">Figure 1. Bits Before Tokens attention funnel. </w:t>
      </w:r>
      <w:r>
        <w:rPr>
          <w:color w:val="6B7785"/>
          <w:sz w:val="17"/>
        </w:rPr>
        <w:t>The figure shows a funnel from millions of source artifacts through tiny Routing SK decisions, active domains, finer semantic branches, GROOVE bundles, compact descriptions, and finally a handful of original source documents before LLM token reasoning begins.</w:t>
      </w:r>
    </w:p>
    <w:tbl>
      <w:tblPr>
        <w:tblW w:w="0" w:type="auto"/>
        <w:jc w:val="center"/>
        <w:tblLayout w:type="fixed"/>
        <w:tblLook w:val="04A0" w:firstRow="1" w:lastRow="0" w:firstColumn="1" w:lastColumn="0" w:noHBand="0" w:noVBand="1"/>
      </w:tblPr>
      <w:tblGrid>
        <w:gridCol w:w="5026"/>
        <w:gridCol w:w="5026"/>
      </w:tblGrid>
      <w:tr w:rsidR="00AC1B78" w14:paraId="3E783D77" w14:textId="77777777">
        <w:trPr>
          <w:tblHeader/>
          <w:jc w:val="center"/>
        </w:trPr>
        <w:tc>
          <w:tcPr>
            <w:tcW w:w="5026" w:type="dxa"/>
            <w:shd w:val="clear" w:color="auto" w:fill="1F8A8A"/>
            <w:tcMar>
              <w:top w:w="60" w:type="dxa"/>
              <w:left w:w="40" w:type="dxa"/>
              <w:bottom w:w="60" w:type="dxa"/>
              <w:right w:w="40" w:type="dxa"/>
            </w:tcMar>
          </w:tcPr>
          <w:p w14:paraId="32C2CEAC" w14:textId="77777777" w:rsidR="00AC1B78" w:rsidRDefault="00AC1B78">
            <w:pPr>
              <w:rPr>
                <w:rFonts w:hint="eastAsia"/>
              </w:rPr>
            </w:pPr>
          </w:p>
        </w:tc>
        <w:tc>
          <w:tcPr>
            <w:tcW w:w="5026" w:type="dxa"/>
            <w:shd w:val="clear" w:color="auto" w:fill="E6F4F4"/>
            <w:tcMar>
              <w:top w:w="110" w:type="dxa"/>
              <w:left w:w="140" w:type="dxa"/>
              <w:bottom w:w="110" w:type="dxa"/>
              <w:right w:w="140" w:type="dxa"/>
            </w:tcMar>
          </w:tcPr>
          <w:p w14:paraId="767F5940" w14:textId="77777777" w:rsidR="00AC1B78" w:rsidRDefault="002C0F08">
            <w:pPr>
              <w:spacing w:after="40" w:line="252" w:lineRule="auto"/>
              <w:rPr>
                <w:rFonts w:hint="eastAsia"/>
              </w:rPr>
            </w:pPr>
            <w:r>
              <w:rPr>
                <w:b/>
                <w:color w:val="1F8A8A"/>
                <w:sz w:val="18"/>
              </w:rPr>
              <w:t>ENGINEERING SUMMARY</w:t>
            </w:r>
          </w:p>
          <w:p w14:paraId="0E8FD202" w14:textId="77777777" w:rsidR="00AC1B78" w:rsidRDefault="002C0F08">
            <w:pPr>
              <w:spacing w:after="0" w:line="259" w:lineRule="auto"/>
              <w:rPr>
                <w:rFonts w:hint="eastAsia"/>
              </w:rPr>
            </w:pPr>
            <w:r>
              <w:rPr>
                <w:color w:val="1F2933"/>
                <w:sz w:val="19"/>
              </w:rPr>
              <w:t>Route broadly with tiny words. Let irrelevant meaning fade. Spend tokens only where semantics survive.</w:t>
            </w:r>
          </w:p>
        </w:tc>
      </w:tr>
    </w:tbl>
    <w:p w14:paraId="25DAD48D" w14:textId="77777777" w:rsidR="00AC1B78" w:rsidRDefault="00AC1B78">
      <w:pPr>
        <w:spacing w:after="40"/>
        <w:rPr>
          <w:rFonts w:hint="eastAsia"/>
        </w:rPr>
      </w:pPr>
    </w:p>
    <w:p w14:paraId="5718E24A" w14:textId="77777777" w:rsidR="00AC1B78" w:rsidRDefault="002C0F08">
      <w:pPr>
        <w:pStyle w:val="Heading1"/>
        <w:spacing w:before="200" w:after="100" w:line="240" w:lineRule="auto"/>
      </w:pPr>
      <w:r>
        <w:rPr>
          <w:rFonts w:ascii="Carlito" w:hAnsi="Carlito"/>
        </w:rPr>
        <w:t>1. Purpose and Scope</w:t>
      </w:r>
    </w:p>
    <w:p w14:paraId="70AE0C25" w14:textId="77777777" w:rsidR="00AC1B78" w:rsidRDefault="002C0F08">
      <w:pPr>
        <w:spacing w:after="120" w:line="259" w:lineRule="auto"/>
        <w:rPr>
          <w:rFonts w:hint="eastAsia"/>
        </w:rPr>
      </w:pPr>
      <w:r>
        <w:rPr>
          <w:color w:val="1F2933"/>
        </w:rPr>
        <w:t>This specification defines a reference architecture for semantic search over CERBERUS knowledge environments. It focuses on query routing, retrieval planning, relevance pruning, authority and applicability handling, GROOVE-assisted source selection, token budgeting, and explainable search traces. It is intended to guide prototype Interfaces, data schemas, Routing SK design, LLM orchestration, search experiments, and later formal implementation.</w:t>
      </w:r>
    </w:p>
    <w:p w14:paraId="6014CA6C" w14:textId="77777777" w:rsidR="00AC1B78" w:rsidRDefault="002C0F08">
      <w:pPr>
        <w:pStyle w:val="Heading2"/>
        <w:spacing w:before="140" w:after="100" w:line="240" w:lineRule="auto"/>
      </w:pPr>
      <w:r>
        <w:rPr>
          <w:rFonts w:ascii="Carlito" w:hAnsi="Carlito"/>
        </w:rPr>
        <w:t>1.1 Goals</w:t>
      </w:r>
    </w:p>
    <w:p w14:paraId="18A66921" w14:textId="77777777" w:rsidR="00AC1B78" w:rsidRDefault="002C0F08">
      <w:pPr>
        <w:pStyle w:val="ListBullet"/>
        <w:spacing w:after="60" w:line="250" w:lineRule="auto"/>
        <w:rPr>
          <w:rFonts w:hint="eastAsia"/>
        </w:rPr>
      </w:pPr>
      <w:r>
        <w:rPr>
          <w:color w:val="1F2933"/>
          <w:sz w:val="20"/>
        </w:rPr>
        <w:t>Use bounded semantic structures to reduce retrieval scope before reading large quantities of source language.</w:t>
      </w:r>
    </w:p>
    <w:p w14:paraId="431BCCF0" w14:textId="77777777" w:rsidR="00AC1B78" w:rsidRDefault="002C0F08">
      <w:pPr>
        <w:pStyle w:val="ListBullet"/>
        <w:spacing w:after="60" w:line="250" w:lineRule="auto"/>
        <w:rPr>
          <w:rFonts w:hint="eastAsia"/>
        </w:rPr>
      </w:pPr>
      <w:r>
        <w:rPr>
          <w:color w:val="1F2933"/>
          <w:sz w:val="20"/>
        </w:rPr>
        <w:t>Preserve multifactor query meaning so a request may travel through several domains at once.</w:t>
      </w:r>
    </w:p>
    <w:p w14:paraId="1C91E4A3" w14:textId="77777777" w:rsidR="00AC1B78" w:rsidRDefault="002C0F08">
      <w:pPr>
        <w:pStyle w:val="ListBullet"/>
        <w:spacing w:after="60" w:line="250" w:lineRule="auto"/>
        <w:rPr>
          <w:rFonts w:hint="eastAsia"/>
        </w:rPr>
      </w:pPr>
      <w:r>
        <w:rPr>
          <w:color w:val="1F2933"/>
          <w:sz w:val="20"/>
        </w:rPr>
        <w:t>Make relevance pruning explicit through Semantic Fade rather than silently dropping candidates inside opaque model state.</w:t>
      </w:r>
    </w:p>
    <w:p w14:paraId="23FD05B4" w14:textId="77777777" w:rsidR="00AC1B78" w:rsidRDefault="002C0F08">
      <w:pPr>
        <w:pStyle w:val="ListBullet"/>
        <w:spacing w:after="60" w:line="250" w:lineRule="auto"/>
        <w:rPr>
          <w:rFonts w:hint="eastAsia"/>
        </w:rPr>
      </w:pPr>
      <w:r>
        <w:rPr>
          <w:color w:val="1F2933"/>
          <w:sz w:val="20"/>
        </w:rPr>
        <w:t>Keep relevance, authority, applicability, permissions, and epistemic status inspectably separate.</w:t>
      </w:r>
    </w:p>
    <w:p w14:paraId="3CD07E9E" w14:textId="77777777" w:rsidR="00AC1B78" w:rsidRDefault="002C0F08">
      <w:pPr>
        <w:pStyle w:val="ListBullet"/>
        <w:spacing w:after="60" w:line="250" w:lineRule="auto"/>
        <w:rPr>
          <w:rFonts w:hint="eastAsia"/>
        </w:rPr>
      </w:pPr>
      <w:r>
        <w:rPr>
          <w:color w:val="1F2933"/>
          <w:sz w:val="20"/>
        </w:rPr>
        <w:t>Reuse existing 000/00 GROOVE structure and saved semantic projections rather than reconstructing domain organization per query.</w:t>
      </w:r>
    </w:p>
    <w:p w14:paraId="25963E07" w14:textId="77777777" w:rsidR="00AC1B78" w:rsidRDefault="002C0F08">
      <w:pPr>
        <w:pStyle w:val="ListBullet"/>
        <w:spacing w:after="60" w:line="250" w:lineRule="auto"/>
        <w:rPr>
          <w:rFonts w:hint="eastAsia"/>
        </w:rPr>
      </w:pPr>
      <w:r>
        <w:rPr>
          <w:color w:val="1F2933"/>
          <w:sz w:val="20"/>
        </w:rPr>
        <w:t>Permit exact SOLAR resolution to short-circuit broader semantic search when a registered lexical address already exists.</w:t>
      </w:r>
    </w:p>
    <w:p w14:paraId="0FD66917" w14:textId="77777777" w:rsidR="00AC1B78" w:rsidRDefault="002C0F08">
      <w:pPr>
        <w:pStyle w:val="ListBullet"/>
        <w:spacing w:after="60" w:line="250" w:lineRule="auto"/>
        <w:rPr>
          <w:rFonts w:hint="eastAsia"/>
        </w:rPr>
      </w:pPr>
      <w:r>
        <w:rPr>
          <w:color w:val="1F2933"/>
          <w:sz w:val="20"/>
        </w:rPr>
        <w:t>Provide a route trace that explains why a domain, bundle, Model, Operator, Rule, FASK, or source document was opened.</w:t>
      </w:r>
    </w:p>
    <w:p w14:paraId="2F8A42F7" w14:textId="77777777" w:rsidR="00AC1B78" w:rsidRDefault="002C0F08">
      <w:pPr>
        <w:pStyle w:val="Heading2"/>
        <w:spacing w:before="140" w:after="100" w:line="240" w:lineRule="auto"/>
      </w:pPr>
      <w:r>
        <w:rPr>
          <w:rFonts w:ascii="Carlito" w:hAnsi="Carlito"/>
        </w:rPr>
        <w:t>1.2 Non-goals</w:t>
      </w:r>
    </w:p>
    <w:p w14:paraId="6637CCA1" w14:textId="77777777" w:rsidR="00AC1B78" w:rsidRDefault="002C0F08">
      <w:pPr>
        <w:pStyle w:val="ListBullet"/>
        <w:spacing w:after="60" w:line="250" w:lineRule="auto"/>
        <w:rPr>
          <w:rFonts w:hint="eastAsia"/>
        </w:rPr>
      </w:pPr>
      <w:r>
        <w:rPr>
          <w:color w:val="1F2933"/>
          <w:sz w:val="20"/>
        </w:rPr>
        <w:t>The architecture does not claim that Routing SKs replace full-text search, embeddings, databases, or LLM reasoning.</w:t>
      </w:r>
    </w:p>
    <w:p w14:paraId="05B22099" w14:textId="77777777" w:rsidR="00AC1B78" w:rsidRDefault="002C0F08">
      <w:pPr>
        <w:pStyle w:val="ListBullet"/>
        <w:spacing w:after="60" w:line="250" w:lineRule="auto"/>
        <w:rPr>
          <w:rFonts w:hint="eastAsia"/>
        </w:rPr>
      </w:pPr>
      <w:r>
        <w:rPr>
          <w:color w:val="1F2933"/>
          <w:sz w:val="20"/>
        </w:rPr>
        <w:t>It does not claim that a high relevance score is equivalent to factual truth.</w:t>
      </w:r>
    </w:p>
    <w:p w14:paraId="1D993479" w14:textId="77777777" w:rsidR="00AC1B78" w:rsidRDefault="002C0F08">
      <w:pPr>
        <w:pStyle w:val="ListBullet"/>
        <w:spacing w:after="60" w:line="250" w:lineRule="auto"/>
        <w:rPr>
          <w:rFonts w:hint="eastAsia"/>
        </w:rPr>
      </w:pPr>
      <w:r>
        <w:rPr>
          <w:color w:val="1F2933"/>
          <w:sz w:val="20"/>
        </w:rPr>
        <w:t>It does not require one universal routing hierarchy or one fixed BitWord width for all human knowledge.</w:t>
      </w:r>
    </w:p>
    <w:p w14:paraId="197EC3DA" w14:textId="77777777" w:rsidR="00AC1B78" w:rsidRDefault="002C0F08">
      <w:pPr>
        <w:pStyle w:val="ListBullet"/>
        <w:spacing w:after="60" w:line="250" w:lineRule="auto"/>
        <w:rPr>
          <w:rFonts w:hint="eastAsia"/>
        </w:rPr>
      </w:pPr>
      <w:r>
        <w:rPr>
          <w:color w:val="1F2933"/>
          <w:sz w:val="20"/>
        </w:rPr>
        <w:t>It does not require one global numeric trust score to represent every epistemic relationship.</w:t>
      </w:r>
    </w:p>
    <w:p w14:paraId="2F2C3705" w14:textId="77777777" w:rsidR="00AC1B78" w:rsidRDefault="002C0F08">
      <w:pPr>
        <w:pStyle w:val="ListBullet"/>
        <w:spacing w:after="60" w:line="250" w:lineRule="auto"/>
        <w:rPr>
          <w:rFonts w:hint="eastAsia"/>
        </w:rPr>
      </w:pPr>
      <w:r>
        <w:rPr>
          <w:color w:val="1F2933"/>
          <w:sz w:val="20"/>
        </w:rPr>
        <w:t>It does not make GROOVE metadata authoritative evidence for a factual claim when the underlying source should be inspected.</w:t>
      </w:r>
    </w:p>
    <w:p w14:paraId="4E4796D4" w14:textId="77777777" w:rsidR="00AC1B78" w:rsidRDefault="002C0F08">
      <w:pPr>
        <w:pStyle w:val="Heading1"/>
        <w:spacing w:before="200" w:after="100" w:line="240" w:lineRule="auto"/>
      </w:pPr>
      <w:r>
        <w:rPr>
          <w:rFonts w:ascii="Carlito" w:hAnsi="Carlito"/>
        </w:rPr>
        <w:t>2. Architectural Position</w:t>
      </w:r>
    </w:p>
    <w:p w14:paraId="2B721EF4" w14:textId="77777777" w:rsidR="00AC1B78" w:rsidRDefault="002C0F08">
      <w:pPr>
        <w:spacing w:after="120" w:line="259" w:lineRule="auto"/>
        <w:rPr>
          <w:rFonts w:hint="eastAsia"/>
        </w:rPr>
      </w:pPr>
      <w:r>
        <w:rPr>
          <w:color w:val="1F2933"/>
        </w:rPr>
        <w:t>Bits Before Tokens sits across several existing CERBERUS layers rather than replacing any of them. SOLAR handles exact lexical addressing. BIGFOOT provides stable semantic identity and factorization. Routing SKs provide bounded, reusable semantic measurement surfaces. GROOVE provides persistent corpus structure and document-level semantic coordinates. Models, Operators, Rules, CIRCLE, FRINGE, and FASK provide formal and epistemic structures inside the semantic territory reached by routing.</w:t>
      </w:r>
    </w:p>
    <w:tbl>
      <w:tblPr>
        <w:tblW w:w="0" w:type="auto"/>
        <w:jc w:val="center"/>
        <w:tblLayout w:type="fixed"/>
        <w:tblLook w:val="04A0" w:firstRow="1" w:lastRow="0" w:firstColumn="1" w:lastColumn="0" w:noHBand="0" w:noVBand="1"/>
      </w:tblPr>
      <w:tblGrid>
        <w:gridCol w:w="10052"/>
      </w:tblGrid>
      <w:tr w:rsidR="00AC1B78" w14:paraId="0FD378C4" w14:textId="77777777">
        <w:trPr>
          <w:tblHeader/>
          <w:jc w:val="center"/>
        </w:trPr>
        <w:tc>
          <w:tcPr>
            <w:tcW w:w="10052" w:type="dxa"/>
            <w:shd w:val="clear" w:color="auto" w:fill="F4F6F8"/>
            <w:tcMar>
              <w:top w:w="100" w:type="dxa"/>
              <w:left w:w="120" w:type="dxa"/>
              <w:bottom w:w="100" w:type="dxa"/>
              <w:right w:w="120" w:type="dxa"/>
            </w:tcMar>
          </w:tcPr>
          <w:p w14:paraId="541A4B9C" w14:textId="77777777" w:rsidR="00AC1B78" w:rsidRDefault="002C0F08">
            <w:pPr>
              <w:spacing w:after="0" w:line="240" w:lineRule="auto"/>
              <w:rPr>
                <w:rFonts w:hint="eastAsia"/>
              </w:rPr>
            </w:pPr>
            <w:r>
              <w:rPr>
                <w:rFonts w:ascii="DejaVu Sans Mono" w:hAnsi="DejaVu Sans Mono"/>
                <w:color w:val="34495E"/>
                <w:sz w:val="16"/>
              </w:rPr>
              <w:t>USER LANGUAGE</w:t>
            </w:r>
            <w:r>
              <w:rPr>
                <w:rFonts w:ascii="DejaVu Sans Mono" w:hAnsi="DejaVu Sans Mono"/>
                <w:color w:val="34495E"/>
                <w:sz w:val="16"/>
              </w:rPr>
              <w:br/>
            </w:r>
            <w:r>
              <w:rPr>
                <w:rFonts w:ascii="DejaVu Sans Mono" w:hAnsi="DejaVu Sans Mono"/>
                <w:color w:val="34495E"/>
                <w:sz w:val="16"/>
              </w:rPr>
              <w:t xml:space="preserve">  -&gt; SOLAR exact routes where available</w:t>
            </w:r>
            <w:r>
              <w:rPr>
                <w:rFonts w:ascii="DejaVu Sans Mono" w:hAnsi="DejaVu Sans Mono"/>
                <w:color w:val="34495E"/>
                <w:sz w:val="16"/>
              </w:rPr>
              <w:br/>
              <w:t xml:space="preserve">  -&gt; Routing SK query factorization</w:t>
            </w:r>
            <w:r>
              <w:rPr>
                <w:rFonts w:ascii="DejaVu Sans Mono" w:hAnsi="DejaVu Sans Mono"/>
                <w:color w:val="34495E"/>
                <w:sz w:val="16"/>
              </w:rPr>
              <w:br/>
              <w:t xml:space="preserve">  -&gt; 000 / 00 semantic navigation</w:t>
            </w:r>
            <w:r>
              <w:rPr>
                <w:rFonts w:ascii="DejaVu Sans Mono" w:hAnsi="DejaVu Sans Mono"/>
                <w:color w:val="34495E"/>
                <w:sz w:val="16"/>
              </w:rPr>
              <w:br/>
              <w:t xml:space="preserve">  -&gt; GROOVE projection matching</w:t>
            </w:r>
            <w:r>
              <w:rPr>
                <w:rFonts w:ascii="DejaVu Sans Mono" w:hAnsi="DejaVu Sans Mono"/>
                <w:color w:val="34495E"/>
                <w:sz w:val="16"/>
              </w:rPr>
              <w:br/>
              <w:t xml:space="preserve">  -&gt; selective source reopening</w:t>
            </w:r>
            <w:r>
              <w:rPr>
                <w:rFonts w:ascii="DejaVu Sans Mono" w:hAnsi="DejaVu Sans Mono"/>
                <w:color w:val="34495E"/>
                <w:sz w:val="16"/>
              </w:rPr>
              <w:br/>
              <w:t xml:space="preserve">  -&gt; Models / Operators / Rules / literature</w:t>
            </w:r>
            <w:r>
              <w:rPr>
                <w:rFonts w:ascii="DejaVu Sans Mono" w:hAnsi="DejaVu Sans Mono"/>
                <w:color w:val="34495E"/>
                <w:sz w:val="16"/>
              </w:rPr>
              <w:br/>
              <w:t xml:space="preserve">  -&gt; LLM reasoning, construction, or answer</w:t>
            </w:r>
          </w:p>
        </w:tc>
      </w:tr>
    </w:tbl>
    <w:p w14:paraId="3ECCA98E" w14:textId="77777777" w:rsidR="00AC1B78" w:rsidRDefault="00AC1B78">
      <w:pPr>
        <w:spacing w:after="20"/>
        <w:rPr>
          <w:rFonts w:hint="eastAsia"/>
        </w:rPr>
      </w:pPr>
    </w:p>
    <w:tbl>
      <w:tblPr>
        <w:tblW w:w="0" w:type="auto"/>
        <w:jc w:val="center"/>
        <w:tblLayout w:type="fixed"/>
        <w:tblLook w:val="04A0" w:firstRow="1" w:lastRow="0" w:firstColumn="1" w:lastColumn="0" w:noHBand="0" w:noVBand="1"/>
      </w:tblPr>
      <w:tblGrid>
        <w:gridCol w:w="5026"/>
        <w:gridCol w:w="5026"/>
      </w:tblGrid>
      <w:tr w:rsidR="00AC1B78" w14:paraId="576B0A37" w14:textId="77777777">
        <w:trPr>
          <w:tblHeader/>
          <w:jc w:val="center"/>
        </w:trPr>
        <w:tc>
          <w:tcPr>
            <w:tcW w:w="5026" w:type="dxa"/>
            <w:shd w:val="clear" w:color="auto" w:fill="B7791F"/>
            <w:tcMar>
              <w:top w:w="60" w:type="dxa"/>
              <w:left w:w="40" w:type="dxa"/>
              <w:bottom w:w="60" w:type="dxa"/>
              <w:right w:w="40" w:type="dxa"/>
            </w:tcMar>
          </w:tcPr>
          <w:p w14:paraId="4C9188D2" w14:textId="77777777" w:rsidR="00AC1B78" w:rsidRDefault="00AC1B78">
            <w:pPr>
              <w:rPr>
                <w:rFonts w:hint="eastAsia"/>
              </w:rPr>
            </w:pPr>
          </w:p>
        </w:tc>
        <w:tc>
          <w:tcPr>
            <w:tcW w:w="5026" w:type="dxa"/>
            <w:shd w:val="clear" w:color="auto" w:fill="F7F3E8"/>
            <w:tcMar>
              <w:top w:w="110" w:type="dxa"/>
              <w:left w:w="140" w:type="dxa"/>
              <w:bottom w:w="110" w:type="dxa"/>
              <w:right w:w="140" w:type="dxa"/>
            </w:tcMar>
          </w:tcPr>
          <w:p w14:paraId="063AD123" w14:textId="77777777" w:rsidR="00AC1B78" w:rsidRDefault="002C0F08">
            <w:pPr>
              <w:spacing w:after="40" w:line="252" w:lineRule="auto"/>
              <w:rPr>
                <w:rFonts w:hint="eastAsia"/>
              </w:rPr>
            </w:pPr>
            <w:r>
              <w:rPr>
                <w:b/>
                <w:color w:val="B7791F"/>
                <w:sz w:val="18"/>
              </w:rPr>
              <w:t>BOUNDARY</w:t>
            </w:r>
          </w:p>
          <w:p w14:paraId="1975CDF6" w14:textId="77777777" w:rsidR="00AC1B78" w:rsidRDefault="002C0F08">
            <w:pPr>
              <w:spacing w:after="0" w:line="259" w:lineRule="auto"/>
              <w:rPr>
                <w:rFonts w:hint="eastAsia"/>
              </w:rPr>
            </w:pPr>
            <w:r>
              <w:rPr>
                <w:color w:val="1F2933"/>
                <w:sz w:val="19"/>
              </w:rPr>
              <w:t>Routing guides attention. It does not become the source of truth. GROOVE descriptions orient. Observable sources remain available for grounding. Models and Rules retain their own authority.</w:t>
            </w:r>
          </w:p>
        </w:tc>
      </w:tr>
    </w:tbl>
    <w:p w14:paraId="4073D47F" w14:textId="77777777" w:rsidR="00AC1B78" w:rsidRDefault="00AC1B78">
      <w:pPr>
        <w:spacing w:after="40"/>
        <w:rPr>
          <w:rFonts w:hint="eastAsia"/>
        </w:rPr>
      </w:pPr>
    </w:p>
    <w:p w14:paraId="36ABD0EC" w14:textId="77777777" w:rsidR="00AC1B78" w:rsidRDefault="002C0F08">
      <w:pPr>
        <w:pStyle w:val="Heading1"/>
        <w:spacing w:before="200" w:after="100" w:line="240" w:lineRule="auto"/>
      </w:pPr>
      <w:r>
        <w:rPr>
          <w:rFonts w:ascii="Carlito" w:hAnsi="Carlito"/>
        </w:rPr>
        <w:t>3. Core Thesis: Bits Before Tokens</w:t>
      </w:r>
    </w:p>
    <w:p w14:paraId="787ABDD4" w14:textId="77777777" w:rsidR="00AC1B78" w:rsidRDefault="002C0F08">
      <w:pPr>
        <w:spacing w:after="120" w:line="259" w:lineRule="auto"/>
        <w:rPr>
          <w:rFonts w:hint="eastAsia"/>
        </w:rPr>
      </w:pPr>
      <w:r>
        <w:rPr>
          <w:color w:val="1F2933"/>
        </w:rPr>
        <w:t>The architecture treats high-volume language as an expensive late-stage representation. Early search should preferentially use stable identities, bounded BitWords, route masks, small scores, and compact GROOVE projections. The objective is not token avoidance for its own sake. The objective is to avoid repeatedly spending language-model attention on semantic territory that a governed external architecture has already made legible.</w:t>
      </w:r>
    </w:p>
    <w:p w14:paraId="17D174E4" w14:textId="77777777" w:rsidR="00AC1B78" w:rsidRDefault="002C0F08">
      <w:pPr>
        <w:spacing w:after="120" w:line="259" w:lineRule="auto"/>
        <w:rPr>
          <w:rFonts w:hint="eastAsia"/>
        </w:rPr>
      </w:pPr>
      <w:r>
        <w:rPr>
          <w:color w:val="1F2933"/>
        </w:rPr>
        <w:t>A useful implementation can therefore be extensive up front while remaining data-efficient at run time. It may contain many small Routing SKs, many 000 semantic maps, many 00 bundles, and many saved GROOVE projections. The per-query cost remains bounded by the active frontier: only the semantic branches that survive relevance, applicability, permission, and search-budget criteria continue to expand.</w:t>
      </w:r>
    </w:p>
    <w:tbl>
      <w:tblPr>
        <w:tblW w:w="0" w:type="auto"/>
        <w:jc w:val="center"/>
        <w:tblLayout w:type="fixed"/>
        <w:tblLook w:val="04A0" w:firstRow="1" w:lastRow="0" w:firstColumn="1" w:lastColumn="0" w:noHBand="0" w:noVBand="1"/>
      </w:tblPr>
      <w:tblGrid>
        <w:gridCol w:w="5026"/>
        <w:gridCol w:w="5026"/>
      </w:tblGrid>
      <w:tr w:rsidR="00AC1B78" w14:paraId="4692B242" w14:textId="77777777">
        <w:trPr>
          <w:tblHeader/>
          <w:jc w:val="center"/>
        </w:trPr>
        <w:tc>
          <w:tcPr>
            <w:tcW w:w="5026" w:type="dxa"/>
            <w:shd w:val="clear" w:color="auto" w:fill="2D6CDF"/>
            <w:tcMar>
              <w:top w:w="60" w:type="dxa"/>
              <w:left w:w="40" w:type="dxa"/>
              <w:bottom w:w="60" w:type="dxa"/>
              <w:right w:w="40" w:type="dxa"/>
            </w:tcMar>
          </w:tcPr>
          <w:p w14:paraId="597E0081" w14:textId="77777777" w:rsidR="00AC1B78" w:rsidRDefault="00AC1B78">
            <w:pPr>
              <w:rPr>
                <w:rFonts w:hint="eastAsia"/>
              </w:rPr>
            </w:pPr>
          </w:p>
        </w:tc>
        <w:tc>
          <w:tcPr>
            <w:tcW w:w="5026" w:type="dxa"/>
            <w:shd w:val="clear" w:color="auto" w:fill="EAF1FB"/>
            <w:tcMar>
              <w:top w:w="110" w:type="dxa"/>
              <w:left w:w="140" w:type="dxa"/>
              <w:bottom w:w="110" w:type="dxa"/>
              <w:right w:w="140" w:type="dxa"/>
            </w:tcMar>
          </w:tcPr>
          <w:p w14:paraId="51E63F1C" w14:textId="77777777" w:rsidR="00AC1B78" w:rsidRDefault="002C0F08">
            <w:pPr>
              <w:spacing w:after="40" w:line="252" w:lineRule="auto"/>
              <w:rPr>
                <w:rFonts w:hint="eastAsia"/>
              </w:rPr>
            </w:pPr>
            <w:r>
              <w:rPr>
                <w:b/>
                <w:color w:val="2D6CDF"/>
                <w:sz w:val="18"/>
              </w:rPr>
              <w:t>BITS BEFORE TOKENS PRINCIPLE</w:t>
            </w:r>
          </w:p>
          <w:p w14:paraId="091004BE" w14:textId="77777777" w:rsidR="00AC1B78" w:rsidRDefault="002C0F08">
            <w:pPr>
              <w:spacing w:after="0" w:line="259" w:lineRule="auto"/>
              <w:rPr>
                <w:rFonts w:hint="eastAsia"/>
              </w:rPr>
            </w:pPr>
            <w:r>
              <w:rPr>
                <w:color w:val="1F2933"/>
                <w:sz w:val="19"/>
              </w:rPr>
              <w:t>A system SHOULD use available bounded semantic structure to reduce the retrieval space before consuming large quantities of source-language tokens.</w:t>
            </w:r>
          </w:p>
        </w:tc>
      </w:tr>
    </w:tbl>
    <w:p w14:paraId="04CD6187" w14:textId="77777777" w:rsidR="00AC1B78" w:rsidRDefault="00AC1B78">
      <w:pPr>
        <w:spacing w:after="40"/>
        <w:rPr>
          <w:rFonts w:hint="eastAsia"/>
        </w:rPr>
      </w:pPr>
    </w:p>
    <w:p w14:paraId="56231976" w14:textId="77777777" w:rsidR="00AC1B78" w:rsidRDefault="002C0F08">
      <w:pPr>
        <w:pStyle w:val="Heading1"/>
        <w:spacing w:before="200" w:after="100" w:line="240" w:lineRule="auto"/>
      </w:pPr>
      <w:r>
        <w:rPr>
          <w:rFonts w:ascii="Carlito" w:hAnsi="Carlito"/>
        </w:rPr>
        <w:t>4. Why Tokens Should Not Be the First Retrieval Primitive</w:t>
      </w:r>
    </w:p>
    <w:p w14:paraId="1B949E29" w14:textId="77777777" w:rsidR="00AC1B78" w:rsidRDefault="002C0F08">
      <w:pPr>
        <w:spacing w:after="120" w:line="259" w:lineRule="auto"/>
        <w:rPr>
          <w:rFonts w:hint="eastAsia"/>
        </w:rPr>
      </w:pPr>
      <w:r>
        <w:rPr>
          <w:color w:val="1F2933"/>
        </w:rPr>
        <w:t>Token-first retrieval forces an LLM or retrieval model to rediscover domain boundaries indirectly through text similarity, chunk selection, or latent geometry. That remains useful when no explicit semantic structure exists. Once semantic structure has been externalized, however, repeated reconstruction becomes unnecessary work. A query asking about marine structural repair should not need to read music, tax, fantasy, culinary, or unrelated engineering documents merely because their prose happens to share ge</w:t>
      </w:r>
      <w:r>
        <w:rPr>
          <w:color w:val="1F2933"/>
        </w:rPr>
        <w:t>neral words such as repair, structure, system, or model.</w:t>
      </w:r>
    </w:p>
    <w:p w14:paraId="2F8439A7" w14:textId="77777777" w:rsidR="00AC1B78" w:rsidRDefault="002C0F08">
      <w:pPr>
        <w:spacing w:after="120" w:line="259" w:lineRule="auto"/>
        <w:rPr>
          <w:rFonts w:hint="eastAsia"/>
        </w:rPr>
      </w:pPr>
      <w:r>
        <w:rPr>
          <w:color w:val="1F2933"/>
        </w:rPr>
        <w:t>Bits Before Tokens therefore treats text retrieval as a downstream operation. A Routing SK first answers bounded semantic questions. GROOVE then answers where the corresponding knowledge has already accumulated. Only the final candidate set is opened in full. This creates two efficiencies: context efficiency, because irrelevant tokens are excluded; and semantic efficiency, because the system reuses domain structure instead of asking the model to infer that structure repeatedly.</w:t>
      </w:r>
    </w:p>
    <w:p w14:paraId="7EA47C54" w14:textId="77777777" w:rsidR="00AC1B78" w:rsidRDefault="002C0F08">
      <w:pPr>
        <w:pStyle w:val="Heading1"/>
        <w:spacing w:before="200" w:after="100" w:line="240" w:lineRule="auto"/>
      </w:pPr>
      <w:r>
        <w:rPr>
          <w:rFonts w:ascii="Carlito" w:hAnsi="Carlito"/>
        </w:rPr>
        <w:t>Part I - Hierarchical Semantic Routing</w:t>
      </w:r>
    </w:p>
    <w:p w14:paraId="0742995B" w14:textId="77777777" w:rsidR="00AC1B78" w:rsidRDefault="002C0F08">
      <w:pPr>
        <w:pStyle w:val="Heading1"/>
        <w:spacing w:before="200" w:after="100" w:line="240" w:lineRule="auto"/>
      </w:pPr>
      <w:r>
        <w:rPr>
          <w:rFonts w:ascii="Carlito" w:hAnsi="Carlito"/>
        </w:rPr>
        <w:t>5. Global 000 and Domain 000</w:t>
      </w:r>
    </w:p>
    <w:p w14:paraId="2101EEAF" w14:textId="77777777" w:rsidR="00AC1B78" w:rsidRDefault="002C0F08">
      <w:pPr>
        <w:spacing w:after="120" w:line="259" w:lineRule="auto"/>
        <w:rPr>
          <w:rFonts w:hint="eastAsia"/>
        </w:rPr>
      </w:pPr>
      <w:r>
        <w:rPr>
          <w:color w:val="1F2933"/>
        </w:rPr>
        <w:t>The 000 network is the semantic switchyard. A global 000 exposes broad knowledge territories. Each active territory can open a domain 000 that exposes finer routing surfaces, subdomains, 00 bundles, cross-domain bridges, and registered semantic components. The visible Interface may use human-readable labels, but the operational layer can remain tiny: an ordered Routing SK BitWord and the associated route definitions.</w:t>
      </w:r>
    </w:p>
    <w:p w14:paraId="622E7302" w14:textId="77777777" w:rsidR="00AC1B78" w:rsidRDefault="002C0F08">
      <w:pPr>
        <w:keepNext/>
        <w:spacing w:before="80" w:after="60" w:line="240" w:lineRule="auto"/>
        <w:jc w:val="center"/>
        <w:rPr>
          <w:rFonts w:hint="eastAsia"/>
        </w:rPr>
      </w:pPr>
      <w:r>
        <w:rPr>
          <w:noProof/>
        </w:rPr>
        <w:drawing>
          <wp:inline distT="0" distB="0" distL="0" distR="0" wp14:anchorId="1F42836C" wp14:editId="55B879A2">
            <wp:extent cx="5897880" cy="3460365"/>
            <wp:effectExtent l="0" t="0" r="0" b="0"/>
            <wp:docPr id="2" name="Picture 2" descr="The interface presents a Global 000 with relevance scores for broad domains. Science and Engineering remain active while low-relevance domains fade or drop. The visible labels are a human projection over a bounded routing surface." title="Figure 2: Global 000 Knowledge Ro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global_000.png"/>
                    <pic:cNvPicPr/>
                  </pic:nvPicPr>
                  <pic:blipFill>
                    <a:blip r:embed="rId9"/>
                    <a:stretch>
                      <a:fillRect/>
                    </a:stretch>
                  </pic:blipFill>
                  <pic:spPr>
                    <a:xfrm>
                      <a:off x="0" y="0"/>
                      <a:ext cx="5897880" cy="3460365"/>
                    </a:xfrm>
                    <a:prstGeom prst="rect">
                      <a:avLst/>
                    </a:prstGeom>
                  </pic:spPr>
                </pic:pic>
              </a:graphicData>
            </a:graphic>
          </wp:inline>
        </w:drawing>
      </w:r>
    </w:p>
    <w:p w14:paraId="2AFEFFDA" w14:textId="77777777" w:rsidR="00AC1B78" w:rsidRDefault="002C0F08">
      <w:pPr>
        <w:keepLines/>
        <w:spacing w:after="160" w:line="245" w:lineRule="auto"/>
        <w:rPr>
          <w:rFonts w:hint="eastAsia"/>
        </w:rPr>
      </w:pPr>
      <w:r>
        <w:rPr>
          <w:b/>
          <w:color w:val="17324D"/>
          <w:sz w:val="17"/>
        </w:rPr>
        <w:t xml:space="preserve">Figure 2. Global 000 Knowledge Router. </w:t>
      </w:r>
      <w:r>
        <w:rPr>
          <w:color w:val="6B7785"/>
          <w:sz w:val="17"/>
        </w:rPr>
        <w:t>The interface presents a Global 000 with relevance scores for broad domains. Science and Engineering remain active while low-relevance domains fade or drop. The visible labels are a human projection over a bounded routing surface.</w:t>
      </w:r>
    </w:p>
    <w:p w14:paraId="13AA05CC" w14:textId="77777777" w:rsidR="00AC1B78" w:rsidRDefault="002C0F08">
      <w:pPr>
        <w:spacing w:after="120" w:line="259" w:lineRule="auto"/>
        <w:rPr>
          <w:rFonts w:hint="eastAsia"/>
        </w:rPr>
      </w:pPr>
      <w:r>
        <w:rPr>
          <w:color w:val="1F2933"/>
        </w:rPr>
        <w:t>The global router does not need to encode every leaf of human knowledge. It only needs enough distinctions to direct a request into a smaller semantic neighborhood. A branch may then load the next relevant Routing SK. Coverage grows through depth and composition rather than through one gigantic word.</w:t>
      </w:r>
    </w:p>
    <w:p w14:paraId="7CAD0E0A" w14:textId="77777777" w:rsidR="00AC1B78" w:rsidRDefault="002C0F08">
      <w:pPr>
        <w:pStyle w:val="Heading1"/>
        <w:spacing w:before="200" w:after="100" w:line="240" w:lineRule="auto"/>
      </w:pPr>
      <w:r>
        <w:rPr>
          <w:rFonts w:ascii="Carlito" w:hAnsi="Carlito"/>
        </w:rPr>
        <w:t>6. Bounded Semantic Reach</w:t>
      </w:r>
    </w:p>
    <w:p w14:paraId="160098E9" w14:textId="77777777" w:rsidR="00AC1B78" w:rsidRDefault="002C0F08">
      <w:pPr>
        <w:spacing w:after="120" w:line="259" w:lineRule="auto"/>
        <w:rPr>
          <w:rFonts w:hint="eastAsia"/>
        </w:rPr>
      </w:pPr>
      <w:r>
        <w:rPr>
          <w:color w:val="1F2933"/>
        </w:rPr>
        <w:t>Bounded Semantic Reach is the ability to expose very large semantic territory through recursively composed local routing vocabularies. A top-level word may distinguish Science, Engineering, History, Law, Arts, and other broad domains. The Science route may expose a second bounded word. Materials may expose a third. Self-Healing Materials may expose a fourth. Each local state remains small and auditable even when the reachable graph is enormous.</w:t>
      </w:r>
    </w:p>
    <w:tbl>
      <w:tblPr>
        <w:tblW w:w="0" w:type="auto"/>
        <w:jc w:val="center"/>
        <w:tblLayout w:type="fixed"/>
        <w:tblLook w:val="04A0" w:firstRow="1" w:lastRow="0" w:firstColumn="1" w:lastColumn="0" w:noHBand="0" w:noVBand="1"/>
      </w:tblPr>
      <w:tblGrid>
        <w:gridCol w:w="10052"/>
      </w:tblGrid>
      <w:tr w:rsidR="00AC1B78" w14:paraId="2CDA256A" w14:textId="77777777">
        <w:trPr>
          <w:tblHeader/>
          <w:jc w:val="center"/>
        </w:trPr>
        <w:tc>
          <w:tcPr>
            <w:tcW w:w="10052" w:type="dxa"/>
            <w:shd w:val="clear" w:color="auto" w:fill="F4F6F8"/>
            <w:tcMar>
              <w:top w:w="100" w:type="dxa"/>
              <w:left w:w="120" w:type="dxa"/>
              <w:bottom w:w="100" w:type="dxa"/>
              <w:right w:w="120" w:type="dxa"/>
            </w:tcMar>
          </w:tcPr>
          <w:p w14:paraId="2FF6DF1D" w14:textId="77777777" w:rsidR="00AC1B78" w:rsidRDefault="002C0F08">
            <w:pPr>
              <w:spacing w:after="0" w:line="240" w:lineRule="auto"/>
              <w:rPr>
                <w:rFonts w:hint="eastAsia"/>
              </w:rPr>
            </w:pPr>
            <w:r>
              <w:rPr>
                <w:rFonts w:ascii="DejaVu Sans Mono" w:hAnsi="DejaVu Sans Mono"/>
                <w:color w:val="34495E"/>
                <w:sz w:val="16"/>
              </w:rPr>
              <w:t>KNOWLEDGE-16</w:t>
            </w:r>
            <w:r>
              <w:rPr>
                <w:rFonts w:ascii="DejaVu Sans Mono" w:hAnsi="DejaVu Sans Mono"/>
                <w:color w:val="34495E"/>
                <w:sz w:val="16"/>
              </w:rPr>
              <w:br/>
              <w:t xml:space="preserve">  -&gt; SCIENCE-16</w:t>
            </w:r>
            <w:r>
              <w:rPr>
                <w:rFonts w:ascii="DejaVu Sans Mono" w:hAnsi="DejaVu Sans Mono"/>
                <w:color w:val="34495E"/>
                <w:sz w:val="16"/>
              </w:rPr>
              <w:br/>
              <w:t xml:space="preserve">       -&gt; MATERIALS-32</w:t>
            </w:r>
            <w:r>
              <w:rPr>
                <w:rFonts w:ascii="DejaVu Sans Mono" w:hAnsi="DejaVu Sans Mono"/>
                <w:color w:val="34495E"/>
                <w:sz w:val="16"/>
              </w:rPr>
              <w:br/>
            </w:r>
            <w:r>
              <w:rPr>
                <w:rFonts w:ascii="DejaVu Sans Mono" w:hAnsi="DejaVu Sans Mono"/>
                <w:color w:val="34495E"/>
                <w:sz w:val="16"/>
              </w:rPr>
              <w:t xml:space="preserve">            -&gt; RESPONSIVE_MATERIALS-64</w:t>
            </w:r>
            <w:r>
              <w:rPr>
                <w:rFonts w:ascii="DejaVu Sans Mono" w:hAnsi="DejaVu Sans Mono"/>
                <w:color w:val="34495E"/>
                <w:sz w:val="16"/>
              </w:rPr>
              <w:br/>
              <w:t xml:space="preserve">                 -&gt; 00 bundles / Models / literature</w:t>
            </w:r>
          </w:p>
        </w:tc>
      </w:tr>
    </w:tbl>
    <w:p w14:paraId="47DA3118" w14:textId="77777777" w:rsidR="00AC1B78" w:rsidRDefault="00AC1B78">
      <w:pPr>
        <w:spacing w:after="20"/>
        <w:rPr>
          <w:rFonts w:hint="eastAsia"/>
        </w:rPr>
      </w:pPr>
    </w:p>
    <w:p w14:paraId="189A3A8A" w14:textId="77777777" w:rsidR="00AC1B78" w:rsidRDefault="002C0F08">
      <w:pPr>
        <w:spacing w:after="120" w:line="259" w:lineRule="auto"/>
        <w:rPr>
          <w:rFonts w:hint="eastAsia"/>
        </w:rPr>
      </w:pPr>
      <w:r>
        <w:rPr>
          <w:color w:val="1F2933"/>
        </w:rPr>
        <w:t>This architecture avoids the assumption that full semantic coverage requires a single flat ontology. The routing network may be polyhierarchical, versioned, domain-specific, and selectively available. Different organizations or applications may publish different Routing SK families while sharing stable BIGFOOT identities where exact semantic identity exists.</w:t>
      </w:r>
    </w:p>
    <w:p w14:paraId="6FC48B49" w14:textId="77777777" w:rsidR="00AC1B78" w:rsidRDefault="002C0F08">
      <w:pPr>
        <w:pStyle w:val="Heading1"/>
        <w:spacing w:before="200" w:after="100" w:line="240" w:lineRule="auto"/>
      </w:pPr>
      <w:r>
        <w:rPr>
          <w:rFonts w:ascii="Carlito" w:hAnsi="Carlito"/>
        </w:rPr>
        <w:t>7. Multifactor Query States</w:t>
      </w:r>
    </w:p>
    <w:p w14:paraId="6220507A" w14:textId="77777777" w:rsidR="00AC1B78" w:rsidRDefault="002C0F08">
      <w:pPr>
        <w:spacing w:after="120" w:line="259" w:lineRule="auto"/>
        <w:rPr>
          <w:rFonts w:hint="eastAsia"/>
        </w:rPr>
      </w:pPr>
      <w:r>
        <w:rPr>
          <w:color w:val="1F2933"/>
        </w:rPr>
        <w:t>A query is not forced into one category. Routing SKs may permit multiple active routes. If a request concerns biological repair mechanisms, structural materials, and marine infrastructure, all three semantic factors may survive the same pass or emerge through parallel passes. The combined state is preserved before branch factorization so co-occurrence is not lost.</w:t>
      </w:r>
    </w:p>
    <w:tbl>
      <w:tblPr>
        <w:tblW w:w="0" w:type="auto"/>
        <w:jc w:val="center"/>
        <w:tblLayout w:type="fixed"/>
        <w:tblLook w:val="04A0" w:firstRow="1" w:lastRow="0" w:firstColumn="1" w:lastColumn="0" w:noHBand="0" w:noVBand="1"/>
      </w:tblPr>
      <w:tblGrid>
        <w:gridCol w:w="10052"/>
      </w:tblGrid>
      <w:tr w:rsidR="00AC1B78" w14:paraId="2B1C5DB9" w14:textId="77777777">
        <w:trPr>
          <w:tblHeader/>
          <w:jc w:val="center"/>
        </w:trPr>
        <w:tc>
          <w:tcPr>
            <w:tcW w:w="10052" w:type="dxa"/>
            <w:shd w:val="clear" w:color="auto" w:fill="F4F6F8"/>
            <w:tcMar>
              <w:top w:w="100" w:type="dxa"/>
              <w:left w:w="120" w:type="dxa"/>
              <w:bottom w:w="100" w:type="dxa"/>
              <w:right w:w="120" w:type="dxa"/>
            </w:tcMar>
          </w:tcPr>
          <w:p w14:paraId="0CBC33D0" w14:textId="77777777" w:rsidR="00AC1B78" w:rsidRDefault="002C0F08">
            <w:pPr>
              <w:spacing w:after="0" w:line="240" w:lineRule="auto"/>
              <w:rPr>
                <w:rFonts w:hint="eastAsia"/>
              </w:rPr>
            </w:pPr>
            <w:r>
              <w:rPr>
                <w:rFonts w:ascii="DejaVu Sans Mono" w:hAnsi="DejaVu Sans Mono"/>
                <w:color w:val="34495E"/>
                <w:sz w:val="16"/>
              </w:rPr>
              <w:t>QUERY ROUTING STATE</w:t>
            </w:r>
            <w:r>
              <w:rPr>
                <w:rFonts w:ascii="DejaVu Sans Mono" w:hAnsi="DejaVu Sans Mono"/>
                <w:color w:val="34495E"/>
                <w:sz w:val="16"/>
              </w:rPr>
              <w:br/>
              <w:t>Science = 1</w:t>
            </w:r>
            <w:r>
              <w:rPr>
                <w:rFonts w:ascii="DejaVu Sans Mono" w:hAnsi="DejaVu Sans Mono"/>
                <w:color w:val="34495E"/>
                <w:sz w:val="16"/>
              </w:rPr>
              <w:br/>
              <w:t>Engineering = 1</w:t>
            </w:r>
            <w:r>
              <w:rPr>
                <w:rFonts w:ascii="DejaVu Sans Mono" w:hAnsi="DejaVu Sans Mono"/>
                <w:color w:val="34495E"/>
                <w:sz w:val="16"/>
              </w:rPr>
              <w:br/>
              <w:t>History = 0</w:t>
            </w:r>
            <w:r>
              <w:rPr>
                <w:rFonts w:ascii="DejaVu Sans Mono" w:hAnsi="DejaVu Sans Mono"/>
                <w:color w:val="34495E"/>
                <w:sz w:val="16"/>
              </w:rPr>
              <w:br/>
              <w:t>...</w:t>
            </w:r>
            <w:r>
              <w:rPr>
                <w:rFonts w:ascii="DejaVu Sans Mono" w:hAnsi="DejaVu Sans Mono"/>
                <w:color w:val="34495E"/>
                <w:sz w:val="16"/>
              </w:rPr>
              <w:br/>
            </w:r>
            <w:r>
              <w:rPr>
                <w:rFonts w:ascii="DejaVu Sans Mono" w:hAnsi="DejaVu Sans Mono"/>
                <w:color w:val="34495E"/>
                <w:sz w:val="16"/>
              </w:rPr>
              <w:br/>
              <w:t>SCIENCE BRANCH</w:t>
            </w:r>
            <w:r>
              <w:rPr>
                <w:rFonts w:ascii="DejaVu Sans Mono" w:hAnsi="DejaVu Sans Mono"/>
                <w:color w:val="34495E"/>
                <w:sz w:val="16"/>
              </w:rPr>
              <w:br/>
              <w:t>Biology = 1</w:t>
            </w:r>
            <w:r>
              <w:rPr>
                <w:rFonts w:ascii="DejaVu Sans Mono" w:hAnsi="DejaVu Sans Mono"/>
                <w:color w:val="34495E"/>
                <w:sz w:val="16"/>
              </w:rPr>
              <w:br/>
              <w:t>Materials = 1</w:t>
            </w:r>
            <w:r>
              <w:rPr>
                <w:rFonts w:ascii="DejaVu Sans Mono" w:hAnsi="DejaVu Sans Mono"/>
                <w:color w:val="34495E"/>
                <w:sz w:val="16"/>
              </w:rPr>
              <w:br/>
              <w:t>Physics = 1</w:t>
            </w:r>
          </w:p>
        </w:tc>
      </w:tr>
    </w:tbl>
    <w:p w14:paraId="7A444DA8" w14:textId="77777777" w:rsidR="00AC1B78" w:rsidRDefault="00AC1B78">
      <w:pPr>
        <w:spacing w:after="20"/>
        <w:rPr>
          <w:rFonts w:hint="eastAsia"/>
        </w:rPr>
      </w:pPr>
    </w:p>
    <w:tbl>
      <w:tblPr>
        <w:tblW w:w="0" w:type="auto"/>
        <w:jc w:val="center"/>
        <w:tblLayout w:type="fixed"/>
        <w:tblLook w:val="04A0" w:firstRow="1" w:lastRow="0" w:firstColumn="1" w:lastColumn="0" w:noHBand="0" w:noVBand="1"/>
      </w:tblPr>
      <w:tblGrid>
        <w:gridCol w:w="5026"/>
        <w:gridCol w:w="5026"/>
      </w:tblGrid>
      <w:tr w:rsidR="00AC1B78" w14:paraId="220AC1A7" w14:textId="77777777">
        <w:trPr>
          <w:tblHeader/>
          <w:jc w:val="center"/>
        </w:trPr>
        <w:tc>
          <w:tcPr>
            <w:tcW w:w="5026" w:type="dxa"/>
            <w:shd w:val="clear" w:color="auto" w:fill="1F8A8A"/>
            <w:tcMar>
              <w:top w:w="60" w:type="dxa"/>
              <w:left w:w="40" w:type="dxa"/>
              <w:bottom w:w="60" w:type="dxa"/>
              <w:right w:w="40" w:type="dxa"/>
            </w:tcMar>
          </w:tcPr>
          <w:p w14:paraId="296422DD" w14:textId="77777777" w:rsidR="00AC1B78" w:rsidRDefault="00AC1B78">
            <w:pPr>
              <w:rPr>
                <w:rFonts w:hint="eastAsia"/>
              </w:rPr>
            </w:pPr>
          </w:p>
        </w:tc>
        <w:tc>
          <w:tcPr>
            <w:tcW w:w="5026" w:type="dxa"/>
            <w:shd w:val="clear" w:color="auto" w:fill="E6F4F4"/>
            <w:tcMar>
              <w:top w:w="110" w:type="dxa"/>
              <w:left w:w="140" w:type="dxa"/>
              <w:bottom w:w="110" w:type="dxa"/>
              <w:right w:w="140" w:type="dxa"/>
            </w:tcMar>
          </w:tcPr>
          <w:p w14:paraId="019A434B" w14:textId="77777777" w:rsidR="00AC1B78" w:rsidRDefault="002C0F08">
            <w:pPr>
              <w:spacing w:after="40" w:line="252" w:lineRule="auto"/>
              <w:rPr>
                <w:rFonts w:hint="eastAsia"/>
              </w:rPr>
            </w:pPr>
            <w:r>
              <w:rPr>
                <w:b/>
                <w:color w:val="1F8A8A"/>
                <w:sz w:val="18"/>
              </w:rPr>
              <w:t>MULTIFACTOR QUERY PRINCIPLE</w:t>
            </w:r>
          </w:p>
          <w:p w14:paraId="161440E8" w14:textId="77777777" w:rsidR="00AC1B78" w:rsidRDefault="002C0F08">
            <w:pPr>
              <w:spacing w:after="0" w:line="259" w:lineRule="auto"/>
              <w:rPr>
                <w:rFonts w:hint="eastAsia"/>
              </w:rPr>
            </w:pPr>
            <w:r>
              <w:rPr>
                <w:color w:val="1F2933"/>
                <w:sz w:val="19"/>
              </w:rPr>
              <w:t>A query MAY simultaneously activate multiple compatible semantic routes. One-best-domain classification SHOULD NOT be imposed when several factors materially contribute to the request.</w:t>
            </w:r>
          </w:p>
        </w:tc>
      </w:tr>
    </w:tbl>
    <w:p w14:paraId="11B3D995" w14:textId="77777777" w:rsidR="00AC1B78" w:rsidRDefault="00AC1B78">
      <w:pPr>
        <w:spacing w:after="40"/>
        <w:rPr>
          <w:rFonts w:hint="eastAsia"/>
        </w:rPr>
      </w:pPr>
    </w:p>
    <w:p w14:paraId="3BAEE3E9" w14:textId="77777777" w:rsidR="00AC1B78" w:rsidRDefault="002C0F08">
      <w:pPr>
        <w:pStyle w:val="Heading1"/>
        <w:spacing w:before="200" w:after="100" w:line="240" w:lineRule="auto"/>
      </w:pPr>
      <w:r>
        <w:rPr>
          <w:rFonts w:ascii="Carlito" w:hAnsi="Carlito"/>
        </w:rPr>
        <w:t>8. Semantic Query Factorization</w:t>
      </w:r>
    </w:p>
    <w:p w14:paraId="3F6A3B5F" w14:textId="77777777" w:rsidR="00AC1B78" w:rsidRDefault="002C0F08">
      <w:pPr>
        <w:spacing w:after="120" w:line="259" w:lineRule="auto"/>
        <w:rPr>
          <w:rFonts w:hint="eastAsia"/>
        </w:rPr>
      </w:pPr>
      <w:r>
        <w:rPr>
          <w:color w:val="1F2933"/>
        </w:rPr>
        <w:t>Semantic Query Factorization is the progressive decomposition of a request into independently traversable semantic branches. Each branch inherits the originating request and the context of its parent route. This permits a deeper pass to ask a more precise question than the global pass without pretending the branch is a separate user request.</w:t>
      </w:r>
    </w:p>
    <w:p w14:paraId="697485F3" w14:textId="77777777" w:rsidR="00AC1B78" w:rsidRDefault="002C0F08">
      <w:pPr>
        <w:keepNext/>
        <w:spacing w:before="80" w:after="60" w:line="240" w:lineRule="auto"/>
        <w:jc w:val="center"/>
        <w:rPr>
          <w:rFonts w:hint="eastAsia"/>
        </w:rPr>
      </w:pPr>
      <w:r>
        <w:rPr>
          <w:noProof/>
        </w:rPr>
        <w:drawing>
          <wp:inline distT="0" distB="0" distL="0" distR="0" wp14:anchorId="211F2CEC" wp14:editId="440B10E2">
            <wp:extent cx="5212080" cy="3057997"/>
            <wp:effectExtent l="0" t="0" r="0" b="0"/>
            <wp:docPr id="3" name="Picture 3" descr="The console shows parallel Routing SK measurements for subject, intent, context, and epistemic mode. The query activates Science and Engineering, Compare and Design, Real World context, and both established and experimental knowledge layers." title="Figure 3: Query Factorization 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query_factorization.png"/>
                    <pic:cNvPicPr/>
                  </pic:nvPicPr>
                  <pic:blipFill>
                    <a:blip r:embed="rId10"/>
                    <a:stretch>
                      <a:fillRect/>
                    </a:stretch>
                  </pic:blipFill>
                  <pic:spPr>
                    <a:xfrm>
                      <a:off x="0" y="0"/>
                      <a:ext cx="5212080" cy="3057997"/>
                    </a:xfrm>
                    <a:prstGeom prst="rect">
                      <a:avLst/>
                    </a:prstGeom>
                  </pic:spPr>
                </pic:pic>
              </a:graphicData>
            </a:graphic>
          </wp:inline>
        </w:drawing>
      </w:r>
    </w:p>
    <w:p w14:paraId="36439E55" w14:textId="77777777" w:rsidR="00AC1B78" w:rsidRDefault="002C0F08">
      <w:pPr>
        <w:keepLines/>
        <w:spacing w:after="160" w:line="245" w:lineRule="auto"/>
        <w:rPr>
          <w:rFonts w:hint="eastAsia"/>
        </w:rPr>
      </w:pPr>
      <w:r>
        <w:rPr>
          <w:b/>
          <w:color w:val="17324D"/>
          <w:sz w:val="17"/>
        </w:rPr>
        <w:t xml:space="preserve">Figure 3. Query Factorization Console. </w:t>
      </w:r>
      <w:r>
        <w:rPr>
          <w:color w:val="6B7785"/>
          <w:sz w:val="17"/>
        </w:rPr>
        <w:t>The console shows parallel Routing SK measurements for subject, intent, context, and epistemic mode. The query activates Science and Engineering, Compare and Design, Real World context, and both established and experimental knowledge layers.</w:t>
      </w:r>
    </w:p>
    <w:p w14:paraId="5B1E01A9" w14:textId="77777777" w:rsidR="00AC1B78" w:rsidRDefault="002C0F08">
      <w:pPr>
        <w:spacing w:after="120" w:line="259" w:lineRule="auto"/>
        <w:rPr>
          <w:rFonts w:hint="eastAsia"/>
        </w:rPr>
      </w:pPr>
      <w:r>
        <w:rPr>
          <w:color w:val="1F2933"/>
        </w:rPr>
        <w:t>The factorization process may be implemented by an LLM, deterministic classifier, hybrid model, or specialist router. What matters for conformance is that the resulting semantic coordinates, route versions, and branch provenance remain inspectable and that uncertain or unsupported interpretations are not silently promoted to canonical identity.</w:t>
      </w:r>
    </w:p>
    <w:p w14:paraId="2932A7FB" w14:textId="77777777" w:rsidR="00AC1B78" w:rsidRDefault="002C0F08">
      <w:pPr>
        <w:pStyle w:val="Heading1"/>
        <w:spacing w:before="200" w:after="100" w:line="240" w:lineRule="auto"/>
      </w:pPr>
      <w:r>
        <w:rPr>
          <w:rFonts w:ascii="Carlito" w:hAnsi="Carlito"/>
        </w:rPr>
        <w:t>9. Parallel Subject, Intent, Context, and Epistemic Routing</w:t>
      </w:r>
    </w:p>
    <w:p w14:paraId="17631E21" w14:textId="77777777" w:rsidR="00AC1B78" w:rsidRDefault="002C0F08">
      <w:pPr>
        <w:spacing w:after="120" w:line="259" w:lineRule="auto"/>
        <w:rPr>
          <w:rFonts w:hint="eastAsia"/>
        </w:rPr>
      </w:pPr>
      <w:r>
        <w:rPr>
          <w:color w:val="1F2933"/>
        </w:rPr>
        <w:t>Topic routing alone is insufficient. The same subject should produce different search plans when the user asks to explain, compare, design, simulate, verify, speculate, or find official policy. Bits Before Tokens therefore permits several tiny Routing SKs to measure orthogonal dimensions in parallel. A SUBJECT router identifies semantic territory. An INTENT router identifies the requested operation. A CONTEXT router establishes the world, organization, project, or environment. An EPISTEMIC router identifies</w:t>
      </w:r>
      <w:r>
        <w:rPr>
          <w:color w:val="1F2933"/>
        </w:rPr>
        <w:t xml:space="preserve"> whether established, experimental, speculative, historical, fictional, or personal material should remain eligible.</w:t>
      </w:r>
    </w:p>
    <w:tbl>
      <w:tblPr>
        <w:tblW w:w="0" w:type="auto"/>
        <w:jc w:val="center"/>
        <w:tblLayout w:type="fixed"/>
        <w:tblLook w:val="04A0" w:firstRow="1" w:lastRow="0" w:firstColumn="1" w:lastColumn="0" w:noHBand="0" w:noVBand="1"/>
      </w:tblPr>
      <w:tblGrid>
        <w:gridCol w:w="3351"/>
        <w:gridCol w:w="3351"/>
        <w:gridCol w:w="4032"/>
      </w:tblGrid>
      <w:tr w:rsidR="00AC1B78" w14:paraId="1607C069" w14:textId="77777777">
        <w:trPr>
          <w:tblHeader/>
          <w:jc w:val="center"/>
        </w:trPr>
        <w:tc>
          <w:tcPr>
            <w:tcW w:w="3351" w:type="dxa"/>
            <w:shd w:val="clear" w:color="auto" w:fill="17324D"/>
            <w:tcMar>
              <w:top w:w="90" w:type="dxa"/>
              <w:left w:w="100" w:type="dxa"/>
              <w:bottom w:w="90" w:type="dxa"/>
              <w:right w:w="100" w:type="dxa"/>
            </w:tcMar>
            <w:vAlign w:val="center"/>
          </w:tcPr>
          <w:p w14:paraId="50879893" w14:textId="77777777" w:rsidR="00AC1B78" w:rsidRDefault="002C0F08">
            <w:pPr>
              <w:spacing w:after="0" w:line="240" w:lineRule="auto"/>
              <w:jc w:val="center"/>
              <w:rPr>
                <w:rFonts w:hint="eastAsia"/>
              </w:rPr>
            </w:pPr>
            <w:r>
              <w:rPr>
                <w:b/>
                <w:color w:val="FFFFFF"/>
                <w:sz w:val="17"/>
              </w:rPr>
              <w:t>Routing dimension</w:t>
            </w:r>
          </w:p>
        </w:tc>
        <w:tc>
          <w:tcPr>
            <w:tcW w:w="3351" w:type="dxa"/>
            <w:shd w:val="clear" w:color="auto" w:fill="17324D"/>
            <w:tcMar>
              <w:top w:w="90" w:type="dxa"/>
              <w:left w:w="100" w:type="dxa"/>
              <w:bottom w:w="90" w:type="dxa"/>
              <w:right w:w="100" w:type="dxa"/>
            </w:tcMar>
            <w:vAlign w:val="center"/>
          </w:tcPr>
          <w:p w14:paraId="7CF52F44" w14:textId="77777777" w:rsidR="00AC1B78" w:rsidRDefault="002C0F08">
            <w:pPr>
              <w:spacing w:after="0" w:line="240" w:lineRule="auto"/>
              <w:jc w:val="center"/>
              <w:rPr>
                <w:rFonts w:hint="eastAsia"/>
              </w:rPr>
            </w:pPr>
            <w:r>
              <w:rPr>
                <w:b/>
                <w:color w:val="FFFFFF"/>
                <w:sz w:val="17"/>
              </w:rPr>
              <w:t>Example active factors</w:t>
            </w:r>
          </w:p>
        </w:tc>
        <w:tc>
          <w:tcPr>
            <w:tcW w:w="3351" w:type="dxa"/>
            <w:shd w:val="clear" w:color="auto" w:fill="17324D"/>
            <w:tcMar>
              <w:top w:w="90" w:type="dxa"/>
              <w:left w:w="100" w:type="dxa"/>
              <w:bottom w:w="90" w:type="dxa"/>
              <w:right w:w="100" w:type="dxa"/>
            </w:tcMar>
            <w:vAlign w:val="center"/>
          </w:tcPr>
          <w:p w14:paraId="65234B2C" w14:textId="77777777" w:rsidR="00AC1B78" w:rsidRDefault="002C0F08">
            <w:pPr>
              <w:spacing w:after="0" w:line="240" w:lineRule="auto"/>
              <w:jc w:val="center"/>
              <w:rPr>
                <w:rFonts w:hint="eastAsia"/>
              </w:rPr>
            </w:pPr>
            <w:r>
              <w:rPr>
                <w:b/>
                <w:color w:val="FFFFFF"/>
                <w:sz w:val="17"/>
              </w:rPr>
              <w:t>Search consequence</w:t>
            </w:r>
          </w:p>
        </w:tc>
      </w:tr>
      <w:tr w:rsidR="00AC1B78" w14:paraId="634F8CB5" w14:textId="77777777">
        <w:trPr>
          <w:jc w:val="center"/>
        </w:trPr>
        <w:tc>
          <w:tcPr>
            <w:tcW w:w="1872" w:type="dxa"/>
            <w:tcMar>
              <w:top w:w="85" w:type="dxa"/>
              <w:left w:w="95" w:type="dxa"/>
              <w:bottom w:w="85" w:type="dxa"/>
              <w:right w:w="95" w:type="dxa"/>
            </w:tcMar>
            <w:vAlign w:val="center"/>
          </w:tcPr>
          <w:p w14:paraId="426D456D" w14:textId="77777777" w:rsidR="00AC1B78" w:rsidRDefault="002C0F08">
            <w:pPr>
              <w:spacing w:after="0" w:line="245" w:lineRule="auto"/>
              <w:rPr>
                <w:rFonts w:hint="eastAsia"/>
              </w:rPr>
            </w:pPr>
            <w:r>
              <w:rPr>
                <w:color w:val="1F2933"/>
                <w:sz w:val="17"/>
              </w:rPr>
              <w:t>Subject</w:t>
            </w:r>
          </w:p>
        </w:tc>
        <w:tc>
          <w:tcPr>
            <w:tcW w:w="2880" w:type="dxa"/>
            <w:tcMar>
              <w:top w:w="85" w:type="dxa"/>
              <w:left w:w="95" w:type="dxa"/>
              <w:bottom w:w="85" w:type="dxa"/>
              <w:right w:w="95" w:type="dxa"/>
            </w:tcMar>
            <w:vAlign w:val="center"/>
          </w:tcPr>
          <w:p w14:paraId="750D32CC" w14:textId="77777777" w:rsidR="00AC1B78" w:rsidRDefault="002C0F08">
            <w:pPr>
              <w:spacing w:after="0" w:line="245" w:lineRule="auto"/>
              <w:rPr>
                <w:rFonts w:hint="eastAsia"/>
              </w:rPr>
            </w:pPr>
            <w:r>
              <w:rPr>
                <w:color w:val="1F2933"/>
                <w:sz w:val="17"/>
              </w:rPr>
              <w:t>Science + Engineering</w:t>
            </w:r>
          </w:p>
        </w:tc>
        <w:tc>
          <w:tcPr>
            <w:tcW w:w="4032" w:type="dxa"/>
            <w:tcMar>
              <w:top w:w="85" w:type="dxa"/>
              <w:left w:w="95" w:type="dxa"/>
              <w:bottom w:w="85" w:type="dxa"/>
              <w:right w:w="95" w:type="dxa"/>
            </w:tcMar>
            <w:vAlign w:val="center"/>
          </w:tcPr>
          <w:p w14:paraId="1662B1E6" w14:textId="77777777" w:rsidR="00AC1B78" w:rsidRDefault="002C0F08">
            <w:pPr>
              <w:spacing w:after="0" w:line="245" w:lineRule="auto"/>
              <w:rPr>
                <w:rFonts w:hint="eastAsia"/>
              </w:rPr>
            </w:pPr>
            <w:r>
              <w:rPr>
                <w:color w:val="1F2933"/>
                <w:sz w:val="17"/>
              </w:rPr>
              <w:t>Open scientific and engineering 000 surfaces.</w:t>
            </w:r>
          </w:p>
        </w:tc>
      </w:tr>
      <w:tr w:rsidR="00AC1B78" w14:paraId="17EB96F2" w14:textId="77777777">
        <w:trPr>
          <w:jc w:val="center"/>
        </w:trPr>
        <w:tc>
          <w:tcPr>
            <w:tcW w:w="1872" w:type="dxa"/>
            <w:shd w:val="clear" w:color="auto" w:fill="F7F9FB"/>
            <w:tcMar>
              <w:top w:w="85" w:type="dxa"/>
              <w:left w:w="95" w:type="dxa"/>
              <w:bottom w:w="85" w:type="dxa"/>
              <w:right w:w="95" w:type="dxa"/>
            </w:tcMar>
            <w:vAlign w:val="center"/>
          </w:tcPr>
          <w:p w14:paraId="7DD5F8E1" w14:textId="77777777" w:rsidR="00AC1B78" w:rsidRDefault="002C0F08">
            <w:pPr>
              <w:spacing w:after="0" w:line="245" w:lineRule="auto"/>
              <w:rPr>
                <w:rFonts w:hint="eastAsia"/>
              </w:rPr>
            </w:pPr>
            <w:r>
              <w:rPr>
                <w:color w:val="1F2933"/>
                <w:sz w:val="17"/>
              </w:rPr>
              <w:t>Intent</w:t>
            </w:r>
          </w:p>
        </w:tc>
        <w:tc>
          <w:tcPr>
            <w:tcW w:w="2880" w:type="dxa"/>
            <w:shd w:val="clear" w:color="auto" w:fill="F7F9FB"/>
            <w:tcMar>
              <w:top w:w="85" w:type="dxa"/>
              <w:left w:w="95" w:type="dxa"/>
              <w:bottom w:w="85" w:type="dxa"/>
              <w:right w:w="95" w:type="dxa"/>
            </w:tcMar>
            <w:vAlign w:val="center"/>
          </w:tcPr>
          <w:p w14:paraId="14B9DCFB" w14:textId="77777777" w:rsidR="00AC1B78" w:rsidRDefault="002C0F08">
            <w:pPr>
              <w:spacing w:after="0" w:line="245" w:lineRule="auto"/>
              <w:rPr>
                <w:rFonts w:hint="eastAsia"/>
              </w:rPr>
            </w:pPr>
            <w:r>
              <w:rPr>
                <w:color w:val="1F2933"/>
                <w:sz w:val="17"/>
              </w:rPr>
              <w:t>Compare + Design</w:t>
            </w:r>
          </w:p>
        </w:tc>
        <w:tc>
          <w:tcPr>
            <w:tcW w:w="4032" w:type="dxa"/>
            <w:shd w:val="clear" w:color="auto" w:fill="F7F9FB"/>
            <w:tcMar>
              <w:top w:w="85" w:type="dxa"/>
              <w:left w:w="95" w:type="dxa"/>
              <w:bottom w:w="85" w:type="dxa"/>
              <w:right w:w="95" w:type="dxa"/>
            </w:tcMar>
            <w:vAlign w:val="center"/>
          </w:tcPr>
          <w:p w14:paraId="395F4BCC" w14:textId="77777777" w:rsidR="00AC1B78" w:rsidRDefault="002C0F08">
            <w:pPr>
              <w:spacing w:after="0" w:line="245" w:lineRule="auto"/>
              <w:rPr>
                <w:rFonts w:hint="eastAsia"/>
              </w:rPr>
            </w:pPr>
            <w:r>
              <w:rPr>
                <w:color w:val="1F2933"/>
                <w:sz w:val="17"/>
              </w:rPr>
              <w:t>Retain comparative literature and applicable Models/Operators.</w:t>
            </w:r>
          </w:p>
        </w:tc>
      </w:tr>
      <w:tr w:rsidR="00AC1B78" w14:paraId="2FA20490" w14:textId="77777777">
        <w:trPr>
          <w:jc w:val="center"/>
        </w:trPr>
        <w:tc>
          <w:tcPr>
            <w:tcW w:w="1872" w:type="dxa"/>
            <w:tcMar>
              <w:top w:w="85" w:type="dxa"/>
              <w:left w:w="95" w:type="dxa"/>
              <w:bottom w:w="85" w:type="dxa"/>
              <w:right w:w="95" w:type="dxa"/>
            </w:tcMar>
            <w:vAlign w:val="center"/>
          </w:tcPr>
          <w:p w14:paraId="440A807B" w14:textId="77777777" w:rsidR="00AC1B78" w:rsidRDefault="002C0F08">
            <w:pPr>
              <w:spacing w:after="0" w:line="245" w:lineRule="auto"/>
              <w:rPr>
                <w:rFonts w:hint="eastAsia"/>
              </w:rPr>
            </w:pPr>
            <w:r>
              <w:rPr>
                <w:color w:val="1F2933"/>
                <w:sz w:val="17"/>
              </w:rPr>
              <w:t>Context</w:t>
            </w:r>
          </w:p>
        </w:tc>
        <w:tc>
          <w:tcPr>
            <w:tcW w:w="2880" w:type="dxa"/>
            <w:tcMar>
              <w:top w:w="85" w:type="dxa"/>
              <w:left w:w="95" w:type="dxa"/>
              <w:bottom w:w="85" w:type="dxa"/>
              <w:right w:w="95" w:type="dxa"/>
            </w:tcMar>
            <w:vAlign w:val="center"/>
          </w:tcPr>
          <w:p w14:paraId="61EFBBDC" w14:textId="77777777" w:rsidR="00AC1B78" w:rsidRDefault="002C0F08">
            <w:pPr>
              <w:spacing w:after="0" w:line="245" w:lineRule="auto"/>
              <w:jc w:val="center"/>
              <w:rPr>
                <w:rFonts w:hint="eastAsia"/>
              </w:rPr>
            </w:pPr>
            <w:r>
              <w:rPr>
                <w:color w:val="1F2933"/>
                <w:sz w:val="17"/>
              </w:rPr>
              <w:t>Real World</w:t>
            </w:r>
          </w:p>
        </w:tc>
        <w:tc>
          <w:tcPr>
            <w:tcW w:w="4032" w:type="dxa"/>
            <w:tcMar>
              <w:top w:w="85" w:type="dxa"/>
              <w:left w:w="95" w:type="dxa"/>
              <w:bottom w:w="85" w:type="dxa"/>
              <w:right w:w="95" w:type="dxa"/>
            </w:tcMar>
            <w:vAlign w:val="center"/>
          </w:tcPr>
          <w:p w14:paraId="4506C435" w14:textId="77777777" w:rsidR="00AC1B78" w:rsidRDefault="002C0F08">
            <w:pPr>
              <w:spacing w:after="0" w:line="245" w:lineRule="auto"/>
              <w:rPr>
                <w:rFonts w:hint="eastAsia"/>
              </w:rPr>
            </w:pPr>
            <w:r>
              <w:rPr>
                <w:color w:val="1F2933"/>
                <w:sz w:val="17"/>
              </w:rPr>
              <w:t>Suppress world-specific fictional rules unless explicitly requested.</w:t>
            </w:r>
          </w:p>
        </w:tc>
      </w:tr>
      <w:tr w:rsidR="00AC1B78" w14:paraId="4415A33A" w14:textId="77777777">
        <w:trPr>
          <w:jc w:val="center"/>
        </w:trPr>
        <w:tc>
          <w:tcPr>
            <w:tcW w:w="1872" w:type="dxa"/>
            <w:shd w:val="clear" w:color="auto" w:fill="F7F9FB"/>
            <w:tcMar>
              <w:top w:w="85" w:type="dxa"/>
              <w:left w:w="95" w:type="dxa"/>
              <w:bottom w:w="85" w:type="dxa"/>
              <w:right w:w="95" w:type="dxa"/>
            </w:tcMar>
            <w:vAlign w:val="center"/>
          </w:tcPr>
          <w:p w14:paraId="7595E3F2" w14:textId="77777777" w:rsidR="00AC1B78" w:rsidRDefault="002C0F08">
            <w:pPr>
              <w:spacing w:after="0" w:line="245" w:lineRule="auto"/>
              <w:rPr>
                <w:rFonts w:hint="eastAsia"/>
              </w:rPr>
            </w:pPr>
            <w:r>
              <w:rPr>
                <w:color w:val="1F2933"/>
                <w:sz w:val="17"/>
              </w:rPr>
              <w:t>Epistemic mode</w:t>
            </w:r>
          </w:p>
        </w:tc>
        <w:tc>
          <w:tcPr>
            <w:tcW w:w="2880" w:type="dxa"/>
            <w:shd w:val="clear" w:color="auto" w:fill="F7F9FB"/>
            <w:tcMar>
              <w:top w:w="85" w:type="dxa"/>
              <w:left w:w="95" w:type="dxa"/>
              <w:bottom w:w="85" w:type="dxa"/>
              <w:right w:w="95" w:type="dxa"/>
            </w:tcMar>
            <w:vAlign w:val="center"/>
          </w:tcPr>
          <w:p w14:paraId="1256C0BD" w14:textId="77777777" w:rsidR="00AC1B78" w:rsidRDefault="002C0F08">
            <w:pPr>
              <w:spacing w:after="0" w:line="245" w:lineRule="auto"/>
              <w:rPr>
                <w:rFonts w:hint="eastAsia"/>
              </w:rPr>
            </w:pPr>
            <w:r>
              <w:rPr>
                <w:color w:val="1F2933"/>
                <w:sz w:val="17"/>
              </w:rPr>
              <w:t>Established + Experimental</w:t>
            </w:r>
          </w:p>
        </w:tc>
        <w:tc>
          <w:tcPr>
            <w:tcW w:w="4032" w:type="dxa"/>
            <w:shd w:val="clear" w:color="auto" w:fill="F7F9FB"/>
            <w:tcMar>
              <w:top w:w="85" w:type="dxa"/>
              <w:left w:w="95" w:type="dxa"/>
              <w:bottom w:w="85" w:type="dxa"/>
              <w:right w:w="95" w:type="dxa"/>
            </w:tcMar>
            <w:vAlign w:val="center"/>
          </w:tcPr>
          <w:p w14:paraId="252CD5DF" w14:textId="77777777" w:rsidR="00AC1B78" w:rsidRDefault="002C0F08">
            <w:pPr>
              <w:spacing w:after="0" w:line="245" w:lineRule="auto"/>
              <w:rPr>
                <w:rFonts w:hint="eastAsia"/>
              </w:rPr>
            </w:pPr>
            <w:r>
              <w:rPr>
                <w:color w:val="1F2933"/>
                <w:sz w:val="17"/>
              </w:rPr>
              <w:t>Prioritize CIRCLE; permit FRINGE; keep FASK only where requested or strongly relevant.</w:t>
            </w:r>
          </w:p>
        </w:tc>
      </w:tr>
    </w:tbl>
    <w:p w14:paraId="0D23D266" w14:textId="77777777" w:rsidR="00AC1B78" w:rsidRDefault="00AC1B78">
      <w:pPr>
        <w:spacing w:after="40"/>
        <w:rPr>
          <w:rFonts w:hint="eastAsia"/>
        </w:rPr>
      </w:pPr>
    </w:p>
    <w:p w14:paraId="324B3CDE" w14:textId="77777777" w:rsidR="00AC1B78" w:rsidRDefault="002C0F08">
      <w:pPr>
        <w:pStyle w:val="Heading1"/>
        <w:spacing w:before="200" w:after="100" w:line="240" w:lineRule="auto"/>
      </w:pPr>
      <w:r>
        <w:rPr>
          <w:rFonts w:ascii="Carlito" w:hAnsi="Carlito"/>
        </w:rPr>
        <w:t>10. Active Semantic Frontier</w:t>
      </w:r>
    </w:p>
    <w:p w14:paraId="0B6AD1C4" w14:textId="77777777" w:rsidR="00AC1B78" w:rsidRDefault="002C0F08">
      <w:pPr>
        <w:spacing w:after="120" w:line="259" w:lineRule="auto"/>
        <w:rPr>
          <w:rFonts w:hint="eastAsia"/>
        </w:rPr>
      </w:pPr>
      <w:r>
        <w:rPr>
          <w:color w:val="1F2933"/>
        </w:rPr>
        <w:t>At any moment, the query maintains a bounded set of branches eligible for further expansion. This is the Active Semantic Frontier. Branches behind the frontier have already been expanded, resolved, merged into an intersection, or dropped. The router only spends another pass on the frontier, keeping the query cost proportional to relevant semantic territory rather than the size of the full knowledge graph.</w:t>
      </w:r>
    </w:p>
    <w:p w14:paraId="1BFDF9C3" w14:textId="77777777" w:rsidR="00AC1B78" w:rsidRDefault="002C0F08">
      <w:pPr>
        <w:keepNext/>
        <w:spacing w:before="80" w:after="60" w:line="240" w:lineRule="auto"/>
        <w:jc w:val="center"/>
        <w:rPr>
          <w:rFonts w:hint="eastAsia"/>
        </w:rPr>
      </w:pPr>
      <w:r>
        <w:rPr>
          <w:noProof/>
        </w:rPr>
        <w:drawing>
          <wp:inline distT="0" distB="0" distL="0" distR="0" wp14:anchorId="77937BF3" wp14:editId="70070EEA">
            <wp:extent cx="5897880" cy="3350251"/>
            <wp:effectExtent l="0" t="0" r="0" b="0"/>
            <wp:docPr id="4" name="Picture 4" descr="The graph shows active branches such as Biology to Regeneration, Materials to Self Repair, and Marine to Structural Repair. Low-relevance Optics and Electrical branches are faded instead of expanded." title="Figure 4: Active Semantic Front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active_frontier.png"/>
                    <pic:cNvPicPr/>
                  </pic:nvPicPr>
                  <pic:blipFill>
                    <a:blip r:embed="rId11"/>
                    <a:stretch>
                      <a:fillRect/>
                    </a:stretch>
                  </pic:blipFill>
                  <pic:spPr>
                    <a:xfrm>
                      <a:off x="0" y="0"/>
                      <a:ext cx="5897880" cy="3350251"/>
                    </a:xfrm>
                    <a:prstGeom prst="rect">
                      <a:avLst/>
                    </a:prstGeom>
                  </pic:spPr>
                </pic:pic>
              </a:graphicData>
            </a:graphic>
          </wp:inline>
        </w:drawing>
      </w:r>
    </w:p>
    <w:p w14:paraId="79637219" w14:textId="77777777" w:rsidR="00AC1B78" w:rsidRDefault="002C0F08">
      <w:pPr>
        <w:keepLines/>
        <w:spacing w:after="160" w:line="245" w:lineRule="auto"/>
        <w:rPr>
          <w:rFonts w:hint="eastAsia"/>
        </w:rPr>
      </w:pPr>
      <w:r>
        <w:rPr>
          <w:b/>
          <w:color w:val="17324D"/>
          <w:sz w:val="17"/>
        </w:rPr>
        <w:t xml:space="preserve">Figure 4. Active Semantic Frontier. </w:t>
      </w:r>
      <w:r>
        <w:rPr>
          <w:color w:val="6B7785"/>
          <w:sz w:val="17"/>
        </w:rPr>
        <w:t>The graph shows active branches such as Biology to Regeneration, Materials to Self Repair, and Marine to Structural Repair. Low-relevance Optics and Electrical branches are faded instead of expanded.</w:t>
      </w:r>
    </w:p>
    <w:p w14:paraId="771D1520" w14:textId="77777777" w:rsidR="00AC1B78" w:rsidRDefault="002C0F08">
      <w:pPr>
        <w:pStyle w:val="Heading1"/>
        <w:spacing w:before="200" w:after="100" w:line="240" w:lineRule="auto"/>
      </w:pPr>
      <w:r>
        <w:rPr>
          <w:rFonts w:ascii="Carlito" w:hAnsi="Carlito"/>
        </w:rPr>
        <w:t>11. Recursive Resolution and Cross-Branch Intersections</w:t>
      </w:r>
    </w:p>
    <w:p w14:paraId="31C069FB" w14:textId="77777777" w:rsidR="00AC1B78" w:rsidRDefault="002C0F08">
      <w:pPr>
        <w:spacing w:after="120" w:line="259" w:lineRule="auto"/>
        <w:rPr>
          <w:rFonts w:hint="eastAsia"/>
        </w:rPr>
      </w:pPr>
      <w:r>
        <w:rPr>
          <w:color w:val="1F2933"/>
        </w:rPr>
        <w:t>Recursive routing increases semantic precision. A branch such as Materials may load a Materials Routing SK; Self Repair may load another. Parallel branches may also intersect. Biology to Regeneration and Materials to Self Repair can form a Cross-GROOVE semantic surface without either branch losing its identity. Marine to Structural Repair may then intersect with the resulting surface to produce a highly specific candidate region for underwater self-repair research.</w:t>
      </w:r>
    </w:p>
    <w:p w14:paraId="3DAE97AD" w14:textId="77777777" w:rsidR="00AC1B78" w:rsidRDefault="002C0F08">
      <w:pPr>
        <w:spacing w:after="120" w:line="259" w:lineRule="auto"/>
        <w:rPr>
          <w:rFonts w:hint="eastAsia"/>
        </w:rPr>
      </w:pPr>
      <w:r>
        <w:rPr>
          <w:color w:val="1F2933"/>
        </w:rPr>
        <w:t>This means the active topology is a directed acyclic graph, not a mandatory tree. Branches can split, intersect, and rejoin. The 000/00 architecture should therefore expose explicit bridge and intersection objects rather than relying on folder nesting alone.</w:t>
      </w:r>
    </w:p>
    <w:p w14:paraId="6DFDAB5A" w14:textId="77777777" w:rsidR="00AC1B78" w:rsidRDefault="002C0F08">
      <w:pPr>
        <w:keepNext/>
        <w:spacing w:before="80" w:after="60" w:line="240" w:lineRule="auto"/>
        <w:jc w:val="center"/>
        <w:rPr>
          <w:rFonts w:hint="eastAsia"/>
        </w:rPr>
      </w:pPr>
      <w:r>
        <w:rPr>
          <w:noProof/>
        </w:rPr>
        <w:drawing>
          <wp:inline distT="0" distB="0" distL="0" distR="0" wp14:anchorId="59D40797" wp14:editId="36340AF1">
            <wp:extent cx="5897880" cy="3460365"/>
            <wp:effectExtent l="0" t="0" r="0" b="0"/>
            <wp:docPr id="5" name="Picture 5" descr="The diagram shows Biology and Materials routes forming a Cross-GROOVE Bio-Materials surface, while Marine to Structural Repair joins later to produce a targeted 00 surface. The query topology is a DAG rather than a single hierarchy." title="Figure 13: Cross-Domain Semantic Search 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cross_domain_dag.png"/>
                    <pic:cNvPicPr/>
                  </pic:nvPicPr>
                  <pic:blipFill>
                    <a:blip r:embed="rId12"/>
                    <a:stretch>
                      <a:fillRect/>
                    </a:stretch>
                  </pic:blipFill>
                  <pic:spPr>
                    <a:xfrm>
                      <a:off x="0" y="0"/>
                      <a:ext cx="5897880" cy="3460365"/>
                    </a:xfrm>
                    <a:prstGeom prst="rect">
                      <a:avLst/>
                    </a:prstGeom>
                  </pic:spPr>
                </pic:pic>
              </a:graphicData>
            </a:graphic>
          </wp:inline>
        </w:drawing>
      </w:r>
    </w:p>
    <w:p w14:paraId="37A37DED" w14:textId="77777777" w:rsidR="00AC1B78" w:rsidRDefault="002C0F08">
      <w:pPr>
        <w:keepLines/>
        <w:spacing w:after="160" w:line="245" w:lineRule="auto"/>
        <w:rPr>
          <w:rFonts w:hint="eastAsia"/>
        </w:rPr>
      </w:pPr>
      <w:r>
        <w:rPr>
          <w:b/>
          <w:color w:val="17324D"/>
          <w:sz w:val="17"/>
        </w:rPr>
        <w:t xml:space="preserve">Figure 13. Cross-Domain Semantic Search DAG. </w:t>
      </w:r>
      <w:r>
        <w:rPr>
          <w:color w:val="6B7785"/>
          <w:sz w:val="17"/>
        </w:rPr>
        <w:t>The diagram shows Biology and Materials routes forming a Cross-GROOVE Bio-Materials surface, while Marine to Structural Repair joins later to produce a targeted 00 surface. The query topology is a DAG rather than a single hierarchy.</w:t>
      </w:r>
    </w:p>
    <w:p w14:paraId="1622CC09" w14:textId="77777777" w:rsidR="00AC1B78" w:rsidRDefault="002C0F08">
      <w:pPr>
        <w:pStyle w:val="Heading1"/>
        <w:spacing w:before="200" w:after="100" w:line="240" w:lineRule="auto"/>
      </w:pPr>
      <w:r>
        <w:rPr>
          <w:rFonts w:ascii="Carlito" w:hAnsi="Carlito"/>
        </w:rPr>
        <w:t>Part II - Semantic Fade</w:t>
      </w:r>
    </w:p>
    <w:p w14:paraId="4FFA2E11" w14:textId="77777777" w:rsidR="00AC1B78" w:rsidRDefault="002C0F08">
      <w:pPr>
        <w:pStyle w:val="Heading1"/>
        <w:spacing w:before="200" w:after="100" w:line="240" w:lineRule="auto"/>
      </w:pPr>
      <w:r>
        <w:rPr>
          <w:rFonts w:ascii="Carlito" w:hAnsi="Carlito"/>
        </w:rPr>
        <w:t>12. Relevance Signals</w:t>
      </w:r>
    </w:p>
    <w:p w14:paraId="4BC60FE0" w14:textId="77777777" w:rsidR="00AC1B78" w:rsidRDefault="002C0F08">
      <w:pPr>
        <w:spacing w:after="120" w:line="259" w:lineRule="auto"/>
        <w:rPr>
          <w:rFonts w:hint="eastAsia"/>
        </w:rPr>
      </w:pPr>
      <w:r>
        <w:rPr>
          <w:color w:val="1F2933"/>
        </w:rPr>
        <w:t>Every active branch may carry a contextual relevance signal R in the interval [0,1] or an equivalent bounded representation. The score indicates how strongly that branch appears to contribute to the originating request under the current routing vocabulary. It is a runtime search property, not a canonical property of the semantic object itself.</w:t>
      </w:r>
    </w:p>
    <w:p w14:paraId="085BEC14" w14:textId="77777777" w:rsidR="00AC1B78" w:rsidRDefault="002C0F08">
      <w:pPr>
        <w:spacing w:after="120" w:line="259" w:lineRule="auto"/>
        <w:rPr>
          <w:rFonts w:hint="eastAsia"/>
        </w:rPr>
      </w:pPr>
      <w:r>
        <w:rPr>
          <w:color w:val="1F2933"/>
        </w:rPr>
        <w:t>Relevance may be estimated by an LLM, classifier, rule set, registered relationship strength, GROOVE overlap, or a hybrid method. The architecture does not prescribe one universal estimator. It does prescribe inspectability: the system should be able to show which branch was scored, under which router and version, and why it was continued or dropped.</w:t>
      </w:r>
    </w:p>
    <w:p w14:paraId="497C7DBA" w14:textId="77777777" w:rsidR="00AC1B78" w:rsidRDefault="002C0F08">
      <w:pPr>
        <w:pStyle w:val="Heading1"/>
        <w:spacing w:before="200" w:after="100" w:line="240" w:lineRule="auto"/>
      </w:pPr>
      <w:r>
        <w:rPr>
          <w:rFonts w:ascii="Carlito" w:hAnsi="Carlito"/>
        </w:rPr>
        <w:t>13. Contextual Relevance Re-Evaluation</w:t>
      </w:r>
    </w:p>
    <w:p w14:paraId="47F026D4" w14:textId="77777777" w:rsidR="00AC1B78" w:rsidRDefault="002C0F08">
      <w:pPr>
        <w:spacing w:after="120" w:line="259" w:lineRule="auto"/>
        <w:rPr>
          <w:rFonts w:hint="eastAsia"/>
        </w:rPr>
      </w:pPr>
      <w:r>
        <w:rPr>
          <w:color w:val="1F2933"/>
        </w:rPr>
        <w:t>Relevance is re-evaluated at every depth. The deeper pass receives the original request plus the semantic context inherited from its parent branch. This is intentionally different from a mechanical decay function. A broad route can become more relevant as ambiguity is removed. Materials may begin at 0.61, Responsive Materials may rise to 0.82, and Self Repair may rise to 0.96.</w:t>
      </w:r>
    </w:p>
    <w:p w14:paraId="630E802F" w14:textId="77777777" w:rsidR="00AC1B78" w:rsidRDefault="002C0F08">
      <w:pPr>
        <w:keepNext/>
        <w:spacing w:before="80" w:after="60" w:line="240" w:lineRule="auto"/>
        <w:jc w:val="center"/>
        <w:rPr>
          <w:rFonts w:hint="eastAsia"/>
        </w:rPr>
      </w:pPr>
      <w:r>
        <w:rPr>
          <w:noProof/>
        </w:rPr>
        <w:drawing>
          <wp:inline distT="0" distB="0" distL="0" distR="0" wp14:anchorId="05948649" wp14:editId="2DF063FB">
            <wp:extent cx="5897880" cy="3460365"/>
            <wp:effectExtent l="0" t="0" r="0" b="0"/>
            <wp:docPr id="6" name="Picture 6" descr="The interface shows relevance across routing depth. One branch strengthens from Materials to Responsive to Self Repair, while an Optics branch falls below the continuation threshold and stops expanding." title="Figure 5: Semantic Fade Explo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semantic_fade.png"/>
                    <pic:cNvPicPr/>
                  </pic:nvPicPr>
                  <pic:blipFill>
                    <a:blip r:embed="rId13"/>
                    <a:stretch>
                      <a:fillRect/>
                    </a:stretch>
                  </pic:blipFill>
                  <pic:spPr>
                    <a:xfrm>
                      <a:off x="0" y="0"/>
                      <a:ext cx="5897880" cy="3460365"/>
                    </a:xfrm>
                    <a:prstGeom prst="rect">
                      <a:avLst/>
                    </a:prstGeom>
                  </pic:spPr>
                </pic:pic>
              </a:graphicData>
            </a:graphic>
          </wp:inline>
        </w:drawing>
      </w:r>
    </w:p>
    <w:p w14:paraId="3E587DDD" w14:textId="77777777" w:rsidR="00AC1B78" w:rsidRDefault="002C0F08">
      <w:pPr>
        <w:keepLines/>
        <w:spacing w:after="160" w:line="245" w:lineRule="auto"/>
        <w:rPr>
          <w:rFonts w:hint="eastAsia"/>
        </w:rPr>
      </w:pPr>
      <w:r>
        <w:rPr>
          <w:b/>
          <w:color w:val="17324D"/>
          <w:sz w:val="17"/>
        </w:rPr>
        <w:t xml:space="preserve">Figure 5. Semantic Fade Explorer. </w:t>
      </w:r>
      <w:r>
        <w:rPr>
          <w:color w:val="6B7785"/>
          <w:sz w:val="17"/>
        </w:rPr>
        <w:t>The interface shows relevance across routing depth. One branch strengthens from Materials to Responsive to Self Repair, while an Optics branch falls below the continuation threshold and stops expanding.</w:t>
      </w:r>
    </w:p>
    <w:tbl>
      <w:tblPr>
        <w:tblW w:w="0" w:type="auto"/>
        <w:jc w:val="center"/>
        <w:tblLayout w:type="fixed"/>
        <w:tblLook w:val="04A0" w:firstRow="1" w:lastRow="0" w:firstColumn="1" w:lastColumn="0" w:noHBand="0" w:noVBand="1"/>
      </w:tblPr>
      <w:tblGrid>
        <w:gridCol w:w="5026"/>
        <w:gridCol w:w="5026"/>
      </w:tblGrid>
      <w:tr w:rsidR="00AC1B78" w14:paraId="3890FD9D" w14:textId="77777777">
        <w:trPr>
          <w:tblHeader/>
          <w:jc w:val="center"/>
        </w:trPr>
        <w:tc>
          <w:tcPr>
            <w:tcW w:w="5026" w:type="dxa"/>
            <w:shd w:val="clear" w:color="auto" w:fill="2D6CDF"/>
            <w:tcMar>
              <w:top w:w="60" w:type="dxa"/>
              <w:left w:w="40" w:type="dxa"/>
              <w:bottom w:w="60" w:type="dxa"/>
              <w:right w:w="40" w:type="dxa"/>
            </w:tcMar>
          </w:tcPr>
          <w:p w14:paraId="63E16B9D" w14:textId="77777777" w:rsidR="00AC1B78" w:rsidRDefault="00AC1B78">
            <w:pPr>
              <w:rPr>
                <w:rFonts w:hint="eastAsia"/>
              </w:rPr>
            </w:pPr>
          </w:p>
        </w:tc>
        <w:tc>
          <w:tcPr>
            <w:tcW w:w="5026" w:type="dxa"/>
            <w:shd w:val="clear" w:color="auto" w:fill="EAF1FB"/>
            <w:tcMar>
              <w:top w:w="110" w:type="dxa"/>
              <w:left w:w="140" w:type="dxa"/>
              <w:bottom w:w="110" w:type="dxa"/>
              <w:right w:w="140" w:type="dxa"/>
            </w:tcMar>
          </w:tcPr>
          <w:p w14:paraId="59EA4831" w14:textId="77777777" w:rsidR="00AC1B78" w:rsidRDefault="002C0F08">
            <w:pPr>
              <w:spacing w:after="40" w:line="252" w:lineRule="auto"/>
              <w:rPr>
                <w:rFonts w:hint="eastAsia"/>
              </w:rPr>
            </w:pPr>
            <w:r>
              <w:rPr>
                <w:b/>
                <w:color w:val="2D6CDF"/>
                <w:sz w:val="18"/>
              </w:rPr>
              <w:t>RELEVANCE RE-EVALUATION PRINCIPLE</w:t>
            </w:r>
          </w:p>
          <w:p w14:paraId="0BE057B2" w14:textId="77777777" w:rsidR="00AC1B78" w:rsidRDefault="002C0F08">
            <w:pPr>
              <w:spacing w:after="0" w:line="259" w:lineRule="auto"/>
              <w:rPr>
                <w:rFonts w:hint="eastAsia"/>
              </w:rPr>
            </w:pPr>
            <w:r>
              <w:rPr>
                <w:color w:val="1F2933"/>
                <w:sz w:val="19"/>
              </w:rPr>
              <w:t>Semantic relevance MAY increase or decrease at deeper routing levels and SHOULD be re-evaluated against the originating request rather than mechanically decayed by depth.</w:t>
            </w:r>
          </w:p>
        </w:tc>
      </w:tr>
    </w:tbl>
    <w:p w14:paraId="2D5E417C" w14:textId="77777777" w:rsidR="00AC1B78" w:rsidRDefault="00AC1B78">
      <w:pPr>
        <w:spacing w:after="40"/>
        <w:rPr>
          <w:rFonts w:hint="eastAsia"/>
        </w:rPr>
      </w:pPr>
    </w:p>
    <w:p w14:paraId="1402F689" w14:textId="77777777" w:rsidR="00AC1B78" w:rsidRDefault="002C0F08">
      <w:pPr>
        <w:pStyle w:val="Heading1"/>
        <w:spacing w:before="200" w:after="100" w:line="240" w:lineRule="auto"/>
      </w:pPr>
      <w:r>
        <w:rPr>
          <w:rFonts w:ascii="Carlito" w:hAnsi="Carlito"/>
        </w:rPr>
        <w:t>14. Semantic Fade and Continuation Thresholds</w:t>
      </w:r>
    </w:p>
    <w:p w14:paraId="50B899FE" w14:textId="77777777" w:rsidR="00AC1B78" w:rsidRDefault="002C0F08">
      <w:pPr>
        <w:spacing w:after="120" w:line="259" w:lineRule="auto"/>
        <w:rPr>
          <w:rFonts w:hint="eastAsia"/>
        </w:rPr>
      </w:pPr>
      <w:r>
        <w:rPr>
          <w:color w:val="1F2933"/>
        </w:rPr>
        <w:t>Semantic Fade is the progressive attenuation and pruning of branches that no longer justify further semantic work. A branch below the continuation criterion remains available for trace inspection but does not consume another Routing SK pass. Implementations may use one threshold, several bands such as strong/continue/borderline/drop, or adaptive thresholds based on query complexity.</w:t>
      </w:r>
    </w:p>
    <w:tbl>
      <w:tblPr>
        <w:tblW w:w="0" w:type="auto"/>
        <w:jc w:val="center"/>
        <w:tblLayout w:type="fixed"/>
        <w:tblLook w:val="04A0" w:firstRow="1" w:lastRow="0" w:firstColumn="1" w:lastColumn="0" w:noHBand="0" w:noVBand="1"/>
      </w:tblPr>
      <w:tblGrid>
        <w:gridCol w:w="3351"/>
        <w:gridCol w:w="3351"/>
        <w:gridCol w:w="5328"/>
      </w:tblGrid>
      <w:tr w:rsidR="00AC1B78" w14:paraId="3E5A2DD2" w14:textId="77777777">
        <w:trPr>
          <w:tblHeader/>
          <w:jc w:val="center"/>
        </w:trPr>
        <w:tc>
          <w:tcPr>
            <w:tcW w:w="3351" w:type="dxa"/>
            <w:shd w:val="clear" w:color="auto" w:fill="17324D"/>
            <w:tcMar>
              <w:top w:w="90" w:type="dxa"/>
              <w:left w:w="100" w:type="dxa"/>
              <w:bottom w:w="90" w:type="dxa"/>
              <w:right w:w="100" w:type="dxa"/>
            </w:tcMar>
            <w:vAlign w:val="center"/>
          </w:tcPr>
          <w:p w14:paraId="54F89644" w14:textId="77777777" w:rsidR="00AC1B78" w:rsidRDefault="002C0F08">
            <w:pPr>
              <w:spacing w:after="0" w:line="240" w:lineRule="auto"/>
              <w:jc w:val="center"/>
              <w:rPr>
                <w:rFonts w:hint="eastAsia"/>
              </w:rPr>
            </w:pPr>
            <w:r>
              <w:rPr>
                <w:b/>
                <w:color w:val="FFFFFF"/>
                <w:sz w:val="17"/>
              </w:rPr>
              <w:t>Band</w:t>
            </w:r>
          </w:p>
        </w:tc>
        <w:tc>
          <w:tcPr>
            <w:tcW w:w="3351" w:type="dxa"/>
            <w:shd w:val="clear" w:color="auto" w:fill="17324D"/>
            <w:tcMar>
              <w:top w:w="90" w:type="dxa"/>
              <w:left w:w="100" w:type="dxa"/>
              <w:bottom w:w="90" w:type="dxa"/>
              <w:right w:w="100" w:type="dxa"/>
            </w:tcMar>
            <w:vAlign w:val="center"/>
          </w:tcPr>
          <w:p w14:paraId="5FA9853E" w14:textId="77777777" w:rsidR="00AC1B78" w:rsidRDefault="002C0F08">
            <w:pPr>
              <w:spacing w:after="0" w:line="240" w:lineRule="auto"/>
              <w:jc w:val="center"/>
              <w:rPr>
                <w:rFonts w:hint="eastAsia"/>
              </w:rPr>
            </w:pPr>
            <w:r>
              <w:rPr>
                <w:b/>
                <w:color w:val="FFFFFF"/>
                <w:sz w:val="17"/>
              </w:rPr>
              <w:t>Illustrative R</w:t>
            </w:r>
          </w:p>
        </w:tc>
        <w:tc>
          <w:tcPr>
            <w:tcW w:w="3351" w:type="dxa"/>
            <w:shd w:val="clear" w:color="auto" w:fill="17324D"/>
            <w:tcMar>
              <w:top w:w="90" w:type="dxa"/>
              <w:left w:w="100" w:type="dxa"/>
              <w:bottom w:w="90" w:type="dxa"/>
              <w:right w:w="100" w:type="dxa"/>
            </w:tcMar>
            <w:vAlign w:val="center"/>
          </w:tcPr>
          <w:p w14:paraId="056993DD" w14:textId="77777777" w:rsidR="00AC1B78" w:rsidRDefault="002C0F08">
            <w:pPr>
              <w:spacing w:after="0" w:line="240" w:lineRule="auto"/>
              <w:jc w:val="center"/>
              <w:rPr>
                <w:rFonts w:hint="eastAsia"/>
              </w:rPr>
            </w:pPr>
            <w:r>
              <w:rPr>
                <w:b/>
                <w:color w:val="FFFFFF"/>
                <w:sz w:val="17"/>
              </w:rPr>
              <w:t>Default behavior</w:t>
            </w:r>
          </w:p>
        </w:tc>
      </w:tr>
      <w:tr w:rsidR="00AC1B78" w14:paraId="4EF84706" w14:textId="77777777">
        <w:trPr>
          <w:jc w:val="center"/>
        </w:trPr>
        <w:tc>
          <w:tcPr>
            <w:tcW w:w="1728" w:type="dxa"/>
            <w:tcMar>
              <w:top w:w="85" w:type="dxa"/>
              <w:left w:w="95" w:type="dxa"/>
              <w:bottom w:w="85" w:type="dxa"/>
              <w:right w:w="95" w:type="dxa"/>
            </w:tcMar>
            <w:vAlign w:val="center"/>
          </w:tcPr>
          <w:p w14:paraId="249CB565" w14:textId="77777777" w:rsidR="00AC1B78" w:rsidRDefault="002C0F08">
            <w:pPr>
              <w:spacing w:after="0" w:line="245" w:lineRule="auto"/>
              <w:rPr>
                <w:rFonts w:hint="eastAsia"/>
              </w:rPr>
            </w:pPr>
            <w:r>
              <w:rPr>
                <w:color w:val="1F2933"/>
                <w:sz w:val="17"/>
              </w:rPr>
              <w:t>Strong</w:t>
            </w:r>
          </w:p>
        </w:tc>
        <w:tc>
          <w:tcPr>
            <w:tcW w:w="1728" w:type="dxa"/>
            <w:tcMar>
              <w:top w:w="85" w:type="dxa"/>
              <w:left w:w="95" w:type="dxa"/>
              <w:bottom w:w="85" w:type="dxa"/>
              <w:right w:w="95" w:type="dxa"/>
            </w:tcMar>
            <w:vAlign w:val="center"/>
          </w:tcPr>
          <w:p w14:paraId="2AE7B0F2" w14:textId="77777777" w:rsidR="00AC1B78" w:rsidRDefault="002C0F08">
            <w:pPr>
              <w:spacing w:after="0" w:line="245" w:lineRule="auto"/>
              <w:jc w:val="center"/>
              <w:rPr>
                <w:rFonts w:hint="eastAsia"/>
              </w:rPr>
            </w:pPr>
            <w:r>
              <w:rPr>
                <w:color w:val="1F2933"/>
                <w:sz w:val="17"/>
              </w:rPr>
              <w:t>&gt;= 0.75</w:t>
            </w:r>
          </w:p>
        </w:tc>
        <w:tc>
          <w:tcPr>
            <w:tcW w:w="5328" w:type="dxa"/>
            <w:tcMar>
              <w:top w:w="85" w:type="dxa"/>
              <w:left w:w="95" w:type="dxa"/>
              <w:bottom w:w="85" w:type="dxa"/>
              <w:right w:w="95" w:type="dxa"/>
            </w:tcMar>
            <w:vAlign w:val="center"/>
          </w:tcPr>
          <w:p w14:paraId="157BF1CF" w14:textId="77777777" w:rsidR="00AC1B78" w:rsidRDefault="002C0F08">
            <w:pPr>
              <w:spacing w:after="0" w:line="245" w:lineRule="auto"/>
              <w:rPr>
                <w:rFonts w:hint="eastAsia"/>
              </w:rPr>
            </w:pPr>
            <w:r>
              <w:rPr>
                <w:color w:val="1F2933"/>
                <w:sz w:val="17"/>
              </w:rPr>
              <w:t>Continue and consider early bundle lookup.</w:t>
            </w:r>
          </w:p>
        </w:tc>
      </w:tr>
      <w:tr w:rsidR="00AC1B78" w14:paraId="387CF094" w14:textId="77777777">
        <w:trPr>
          <w:jc w:val="center"/>
        </w:trPr>
        <w:tc>
          <w:tcPr>
            <w:tcW w:w="1728" w:type="dxa"/>
            <w:shd w:val="clear" w:color="auto" w:fill="F7F9FB"/>
            <w:tcMar>
              <w:top w:w="85" w:type="dxa"/>
              <w:left w:w="95" w:type="dxa"/>
              <w:bottom w:w="85" w:type="dxa"/>
              <w:right w:w="95" w:type="dxa"/>
            </w:tcMar>
            <w:vAlign w:val="center"/>
          </w:tcPr>
          <w:p w14:paraId="25C98D32" w14:textId="77777777" w:rsidR="00AC1B78" w:rsidRDefault="002C0F08">
            <w:pPr>
              <w:spacing w:after="0" w:line="245" w:lineRule="auto"/>
              <w:rPr>
                <w:rFonts w:hint="eastAsia"/>
              </w:rPr>
            </w:pPr>
            <w:r>
              <w:rPr>
                <w:color w:val="1F2933"/>
                <w:sz w:val="17"/>
              </w:rPr>
              <w:t>Continue</w:t>
            </w:r>
          </w:p>
        </w:tc>
        <w:tc>
          <w:tcPr>
            <w:tcW w:w="1728" w:type="dxa"/>
            <w:shd w:val="clear" w:color="auto" w:fill="F7F9FB"/>
            <w:tcMar>
              <w:top w:w="85" w:type="dxa"/>
              <w:left w:w="95" w:type="dxa"/>
              <w:bottom w:w="85" w:type="dxa"/>
              <w:right w:w="95" w:type="dxa"/>
            </w:tcMar>
            <w:vAlign w:val="center"/>
          </w:tcPr>
          <w:p w14:paraId="403A6CBD" w14:textId="77777777" w:rsidR="00AC1B78" w:rsidRDefault="002C0F08">
            <w:pPr>
              <w:spacing w:after="0" w:line="245" w:lineRule="auto"/>
              <w:jc w:val="center"/>
              <w:rPr>
                <w:rFonts w:hint="eastAsia"/>
              </w:rPr>
            </w:pPr>
            <w:r>
              <w:rPr>
                <w:color w:val="1F2933"/>
                <w:sz w:val="17"/>
              </w:rPr>
              <w:t>0.40-0.74</w:t>
            </w:r>
          </w:p>
        </w:tc>
        <w:tc>
          <w:tcPr>
            <w:tcW w:w="5328" w:type="dxa"/>
            <w:shd w:val="clear" w:color="auto" w:fill="F7F9FB"/>
            <w:tcMar>
              <w:top w:w="85" w:type="dxa"/>
              <w:left w:w="95" w:type="dxa"/>
              <w:bottom w:w="85" w:type="dxa"/>
              <w:right w:w="95" w:type="dxa"/>
            </w:tcMar>
            <w:vAlign w:val="center"/>
          </w:tcPr>
          <w:p w14:paraId="1C6A63A2" w14:textId="77777777" w:rsidR="00AC1B78" w:rsidRDefault="002C0F08">
            <w:pPr>
              <w:spacing w:after="0" w:line="245" w:lineRule="auto"/>
              <w:rPr>
                <w:rFonts w:hint="eastAsia"/>
              </w:rPr>
            </w:pPr>
            <w:r>
              <w:rPr>
                <w:color w:val="1F2933"/>
                <w:sz w:val="17"/>
              </w:rPr>
              <w:t>Expand if search budget permits.</w:t>
            </w:r>
          </w:p>
        </w:tc>
      </w:tr>
      <w:tr w:rsidR="00AC1B78" w14:paraId="75A5B695" w14:textId="77777777">
        <w:trPr>
          <w:jc w:val="center"/>
        </w:trPr>
        <w:tc>
          <w:tcPr>
            <w:tcW w:w="1728" w:type="dxa"/>
            <w:tcMar>
              <w:top w:w="85" w:type="dxa"/>
              <w:left w:w="95" w:type="dxa"/>
              <w:bottom w:w="85" w:type="dxa"/>
              <w:right w:w="95" w:type="dxa"/>
            </w:tcMar>
            <w:vAlign w:val="center"/>
          </w:tcPr>
          <w:p w14:paraId="2C26367B" w14:textId="77777777" w:rsidR="00AC1B78" w:rsidRDefault="002C0F08">
            <w:pPr>
              <w:spacing w:after="0" w:line="245" w:lineRule="auto"/>
              <w:rPr>
                <w:rFonts w:hint="eastAsia"/>
              </w:rPr>
            </w:pPr>
            <w:r>
              <w:rPr>
                <w:color w:val="1F2933"/>
                <w:sz w:val="17"/>
              </w:rPr>
              <w:t>Borderline</w:t>
            </w:r>
          </w:p>
        </w:tc>
        <w:tc>
          <w:tcPr>
            <w:tcW w:w="1728" w:type="dxa"/>
            <w:tcMar>
              <w:top w:w="85" w:type="dxa"/>
              <w:left w:w="95" w:type="dxa"/>
              <w:bottom w:w="85" w:type="dxa"/>
              <w:right w:w="95" w:type="dxa"/>
            </w:tcMar>
            <w:vAlign w:val="center"/>
          </w:tcPr>
          <w:p w14:paraId="5104E8EB" w14:textId="77777777" w:rsidR="00AC1B78" w:rsidRDefault="002C0F08">
            <w:pPr>
              <w:spacing w:after="0" w:line="245" w:lineRule="auto"/>
              <w:jc w:val="center"/>
              <w:rPr>
                <w:rFonts w:hint="eastAsia"/>
              </w:rPr>
            </w:pPr>
            <w:r>
              <w:rPr>
                <w:color w:val="1F2933"/>
                <w:sz w:val="17"/>
              </w:rPr>
              <w:t>0.25-0.39</w:t>
            </w:r>
          </w:p>
        </w:tc>
        <w:tc>
          <w:tcPr>
            <w:tcW w:w="5328" w:type="dxa"/>
            <w:tcMar>
              <w:top w:w="85" w:type="dxa"/>
              <w:left w:w="95" w:type="dxa"/>
              <w:bottom w:w="85" w:type="dxa"/>
              <w:right w:w="95" w:type="dxa"/>
            </w:tcMar>
            <w:vAlign w:val="center"/>
          </w:tcPr>
          <w:p w14:paraId="44687037" w14:textId="77777777" w:rsidR="00AC1B78" w:rsidRDefault="002C0F08">
            <w:pPr>
              <w:spacing w:after="0" w:line="245" w:lineRule="auto"/>
              <w:rPr>
                <w:rFonts w:hint="eastAsia"/>
              </w:rPr>
            </w:pPr>
            <w:r>
              <w:rPr>
                <w:color w:val="1F2933"/>
                <w:sz w:val="17"/>
              </w:rPr>
              <w:t>Retain for trace or second-pass rescue; do not expand by default.</w:t>
            </w:r>
          </w:p>
        </w:tc>
      </w:tr>
      <w:tr w:rsidR="00AC1B78" w14:paraId="7ED35024" w14:textId="77777777">
        <w:trPr>
          <w:jc w:val="center"/>
        </w:trPr>
        <w:tc>
          <w:tcPr>
            <w:tcW w:w="1728" w:type="dxa"/>
            <w:shd w:val="clear" w:color="auto" w:fill="F7F9FB"/>
            <w:tcMar>
              <w:top w:w="85" w:type="dxa"/>
              <w:left w:w="95" w:type="dxa"/>
              <w:bottom w:w="85" w:type="dxa"/>
              <w:right w:w="95" w:type="dxa"/>
            </w:tcMar>
            <w:vAlign w:val="center"/>
          </w:tcPr>
          <w:p w14:paraId="715A72B4" w14:textId="77777777" w:rsidR="00AC1B78" w:rsidRDefault="002C0F08">
            <w:pPr>
              <w:spacing w:after="0" w:line="245" w:lineRule="auto"/>
              <w:rPr>
                <w:rFonts w:hint="eastAsia"/>
              </w:rPr>
            </w:pPr>
            <w:r>
              <w:rPr>
                <w:color w:val="1F2933"/>
                <w:sz w:val="17"/>
              </w:rPr>
              <w:t>Drop</w:t>
            </w:r>
          </w:p>
        </w:tc>
        <w:tc>
          <w:tcPr>
            <w:tcW w:w="1728" w:type="dxa"/>
            <w:shd w:val="clear" w:color="auto" w:fill="F7F9FB"/>
            <w:tcMar>
              <w:top w:w="85" w:type="dxa"/>
              <w:left w:w="95" w:type="dxa"/>
              <w:bottom w:w="85" w:type="dxa"/>
              <w:right w:w="95" w:type="dxa"/>
            </w:tcMar>
            <w:vAlign w:val="center"/>
          </w:tcPr>
          <w:p w14:paraId="35EF57E8" w14:textId="77777777" w:rsidR="00AC1B78" w:rsidRDefault="002C0F08">
            <w:pPr>
              <w:spacing w:after="0" w:line="245" w:lineRule="auto"/>
              <w:jc w:val="center"/>
              <w:rPr>
                <w:rFonts w:hint="eastAsia"/>
              </w:rPr>
            </w:pPr>
            <w:r>
              <w:rPr>
                <w:color w:val="1F2933"/>
                <w:sz w:val="17"/>
              </w:rPr>
              <w:t>&lt; 0.25</w:t>
            </w:r>
          </w:p>
        </w:tc>
        <w:tc>
          <w:tcPr>
            <w:tcW w:w="5328" w:type="dxa"/>
            <w:shd w:val="clear" w:color="auto" w:fill="F7F9FB"/>
            <w:tcMar>
              <w:top w:w="85" w:type="dxa"/>
              <w:left w:w="95" w:type="dxa"/>
              <w:bottom w:w="85" w:type="dxa"/>
              <w:right w:w="95" w:type="dxa"/>
            </w:tcMar>
            <w:vAlign w:val="center"/>
          </w:tcPr>
          <w:p w14:paraId="3A0C2424" w14:textId="77777777" w:rsidR="00AC1B78" w:rsidRDefault="002C0F08">
            <w:pPr>
              <w:spacing w:after="0" w:line="245" w:lineRule="auto"/>
              <w:rPr>
                <w:rFonts w:hint="eastAsia"/>
              </w:rPr>
            </w:pPr>
            <w:r>
              <w:rPr>
                <w:color w:val="1F2933"/>
                <w:sz w:val="17"/>
              </w:rPr>
              <w:t>Stop semantic expansion unless explicitly reopened.</w:t>
            </w:r>
          </w:p>
        </w:tc>
      </w:tr>
    </w:tbl>
    <w:p w14:paraId="0BB677D5" w14:textId="77777777" w:rsidR="00AC1B78" w:rsidRDefault="00AC1B78">
      <w:pPr>
        <w:spacing w:after="40"/>
        <w:rPr>
          <w:rFonts w:hint="eastAsia"/>
        </w:rPr>
      </w:pPr>
    </w:p>
    <w:p w14:paraId="721FD881" w14:textId="77777777" w:rsidR="00AC1B78" w:rsidRDefault="002C0F08">
      <w:pPr>
        <w:spacing w:after="120" w:line="259" w:lineRule="auto"/>
        <w:rPr>
          <w:rFonts w:hint="eastAsia"/>
        </w:rPr>
      </w:pPr>
      <w:r>
        <w:rPr>
          <w:color w:val="1F2933"/>
        </w:rPr>
        <w:t>Thresholds are configuration, not universal truth. Research exploration may keep broad branches alive. A fast operational query may prune aggressively. A user may also explicitly pin a branch so it remains active despite a low automatic relevance estimate.</w:t>
      </w:r>
    </w:p>
    <w:p w14:paraId="4AC1BA8F" w14:textId="77777777" w:rsidR="00AC1B78" w:rsidRDefault="002C0F08">
      <w:pPr>
        <w:pStyle w:val="Heading1"/>
        <w:spacing w:before="200" w:after="100" w:line="240" w:lineRule="auto"/>
      </w:pPr>
      <w:r>
        <w:rPr>
          <w:rFonts w:ascii="Carlito" w:hAnsi="Carlito"/>
        </w:rPr>
        <w:t>15. Semantic Beam Width and Routing Budgets</w:t>
      </w:r>
    </w:p>
    <w:p w14:paraId="051ED6CC" w14:textId="77777777" w:rsidR="00AC1B78" w:rsidRDefault="002C0F08">
      <w:pPr>
        <w:spacing w:after="120" w:line="259" w:lineRule="auto"/>
        <w:rPr>
          <w:rFonts w:hint="eastAsia"/>
        </w:rPr>
      </w:pPr>
      <w:r>
        <w:rPr>
          <w:color w:val="1F2933"/>
        </w:rPr>
        <w:t>Semantic Fade naturally creates a beam-like search over an authored semantic graph. The beam width should be configurable. A runtime may continue every branch above a threshold, preserve the top N branches, or use a hybrid policy. It may also cap maximum semantic depth, total Routing SK evaluations, number of 00 bundles opened, number of GROOVE descriptions read, and token budget for source reopening.</w:t>
      </w:r>
    </w:p>
    <w:tbl>
      <w:tblPr>
        <w:tblW w:w="0" w:type="auto"/>
        <w:jc w:val="center"/>
        <w:tblLayout w:type="fixed"/>
        <w:tblLook w:val="04A0" w:firstRow="1" w:lastRow="0" w:firstColumn="1" w:lastColumn="0" w:noHBand="0" w:noVBand="1"/>
      </w:tblPr>
      <w:tblGrid>
        <w:gridCol w:w="3351"/>
        <w:gridCol w:w="3351"/>
        <w:gridCol w:w="4104"/>
      </w:tblGrid>
      <w:tr w:rsidR="00AC1B78" w14:paraId="3D42BBDA" w14:textId="77777777">
        <w:trPr>
          <w:tblHeader/>
          <w:jc w:val="center"/>
        </w:trPr>
        <w:tc>
          <w:tcPr>
            <w:tcW w:w="3351" w:type="dxa"/>
            <w:shd w:val="clear" w:color="auto" w:fill="17324D"/>
            <w:tcMar>
              <w:top w:w="90" w:type="dxa"/>
              <w:left w:w="100" w:type="dxa"/>
              <w:bottom w:w="90" w:type="dxa"/>
              <w:right w:w="100" w:type="dxa"/>
            </w:tcMar>
            <w:vAlign w:val="center"/>
          </w:tcPr>
          <w:p w14:paraId="0B22F13B" w14:textId="77777777" w:rsidR="00AC1B78" w:rsidRDefault="002C0F08">
            <w:pPr>
              <w:spacing w:after="0" w:line="240" w:lineRule="auto"/>
              <w:jc w:val="center"/>
              <w:rPr>
                <w:rFonts w:hint="eastAsia"/>
              </w:rPr>
            </w:pPr>
            <w:r>
              <w:rPr>
                <w:b/>
                <w:color w:val="FFFFFF"/>
                <w:sz w:val="17"/>
              </w:rPr>
              <w:t>Budget parameter</w:t>
            </w:r>
          </w:p>
        </w:tc>
        <w:tc>
          <w:tcPr>
            <w:tcW w:w="3351" w:type="dxa"/>
            <w:shd w:val="clear" w:color="auto" w:fill="17324D"/>
            <w:tcMar>
              <w:top w:w="90" w:type="dxa"/>
              <w:left w:w="100" w:type="dxa"/>
              <w:bottom w:w="90" w:type="dxa"/>
              <w:right w:w="100" w:type="dxa"/>
            </w:tcMar>
            <w:vAlign w:val="center"/>
          </w:tcPr>
          <w:p w14:paraId="568D22D9" w14:textId="77777777" w:rsidR="00AC1B78" w:rsidRDefault="002C0F08">
            <w:pPr>
              <w:spacing w:after="0" w:line="240" w:lineRule="auto"/>
              <w:jc w:val="center"/>
              <w:rPr>
                <w:rFonts w:hint="eastAsia"/>
              </w:rPr>
            </w:pPr>
            <w:r>
              <w:rPr>
                <w:b/>
                <w:color w:val="FFFFFF"/>
                <w:sz w:val="17"/>
              </w:rPr>
              <w:t>Illustrative value</w:t>
            </w:r>
          </w:p>
        </w:tc>
        <w:tc>
          <w:tcPr>
            <w:tcW w:w="3351" w:type="dxa"/>
            <w:shd w:val="clear" w:color="auto" w:fill="17324D"/>
            <w:tcMar>
              <w:top w:w="90" w:type="dxa"/>
              <w:left w:w="100" w:type="dxa"/>
              <w:bottom w:w="90" w:type="dxa"/>
              <w:right w:w="100" w:type="dxa"/>
            </w:tcMar>
            <w:vAlign w:val="center"/>
          </w:tcPr>
          <w:p w14:paraId="7F7EC46E" w14:textId="77777777" w:rsidR="00AC1B78" w:rsidRDefault="002C0F08">
            <w:pPr>
              <w:spacing w:after="0" w:line="240" w:lineRule="auto"/>
              <w:jc w:val="center"/>
              <w:rPr>
                <w:rFonts w:hint="eastAsia"/>
              </w:rPr>
            </w:pPr>
            <w:r>
              <w:rPr>
                <w:b/>
                <w:color w:val="FFFFFF"/>
                <w:sz w:val="17"/>
              </w:rPr>
              <w:t>Purpose</w:t>
            </w:r>
          </w:p>
        </w:tc>
      </w:tr>
      <w:tr w:rsidR="00AC1B78" w14:paraId="103694C2" w14:textId="77777777">
        <w:trPr>
          <w:jc w:val="center"/>
        </w:trPr>
        <w:tc>
          <w:tcPr>
            <w:tcW w:w="2880" w:type="dxa"/>
            <w:tcMar>
              <w:top w:w="85" w:type="dxa"/>
              <w:left w:w="95" w:type="dxa"/>
              <w:bottom w:w="85" w:type="dxa"/>
              <w:right w:w="95" w:type="dxa"/>
            </w:tcMar>
            <w:vAlign w:val="center"/>
          </w:tcPr>
          <w:p w14:paraId="442D78D4" w14:textId="77777777" w:rsidR="00AC1B78" w:rsidRDefault="002C0F08">
            <w:pPr>
              <w:spacing w:after="0" w:line="245" w:lineRule="auto"/>
              <w:rPr>
                <w:rFonts w:hint="eastAsia"/>
              </w:rPr>
            </w:pPr>
            <w:r>
              <w:rPr>
                <w:color w:val="1F2933"/>
                <w:sz w:val="17"/>
              </w:rPr>
              <w:t>Maximum active branches</w:t>
            </w:r>
          </w:p>
        </w:tc>
        <w:tc>
          <w:tcPr>
            <w:tcW w:w="1800" w:type="dxa"/>
            <w:tcMar>
              <w:top w:w="85" w:type="dxa"/>
              <w:left w:w="95" w:type="dxa"/>
              <w:bottom w:w="85" w:type="dxa"/>
              <w:right w:w="95" w:type="dxa"/>
            </w:tcMar>
            <w:vAlign w:val="center"/>
          </w:tcPr>
          <w:p w14:paraId="1F8146AB" w14:textId="77777777" w:rsidR="00AC1B78" w:rsidRDefault="002C0F08">
            <w:pPr>
              <w:spacing w:after="0" w:line="245" w:lineRule="auto"/>
              <w:jc w:val="center"/>
              <w:rPr>
                <w:rFonts w:hint="eastAsia"/>
              </w:rPr>
            </w:pPr>
            <w:r>
              <w:rPr>
                <w:color w:val="1F2933"/>
                <w:sz w:val="17"/>
              </w:rPr>
              <w:t>12</w:t>
            </w:r>
          </w:p>
        </w:tc>
        <w:tc>
          <w:tcPr>
            <w:tcW w:w="4104" w:type="dxa"/>
            <w:tcMar>
              <w:top w:w="85" w:type="dxa"/>
              <w:left w:w="95" w:type="dxa"/>
              <w:bottom w:w="85" w:type="dxa"/>
              <w:right w:w="95" w:type="dxa"/>
            </w:tcMar>
            <w:vAlign w:val="center"/>
          </w:tcPr>
          <w:p w14:paraId="3D80C5F1" w14:textId="77777777" w:rsidR="00AC1B78" w:rsidRDefault="002C0F08">
            <w:pPr>
              <w:spacing w:after="0" w:line="245" w:lineRule="auto"/>
              <w:rPr>
                <w:rFonts w:hint="eastAsia"/>
              </w:rPr>
            </w:pPr>
            <w:r>
              <w:rPr>
                <w:color w:val="1F2933"/>
                <w:sz w:val="17"/>
              </w:rPr>
              <w:t>Prevents a broad multifactor query from exploding.</w:t>
            </w:r>
          </w:p>
        </w:tc>
      </w:tr>
      <w:tr w:rsidR="00AC1B78" w14:paraId="31E4B439" w14:textId="77777777">
        <w:trPr>
          <w:jc w:val="center"/>
        </w:trPr>
        <w:tc>
          <w:tcPr>
            <w:tcW w:w="2880" w:type="dxa"/>
            <w:shd w:val="clear" w:color="auto" w:fill="F7F9FB"/>
            <w:tcMar>
              <w:top w:w="85" w:type="dxa"/>
              <w:left w:w="95" w:type="dxa"/>
              <w:bottom w:w="85" w:type="dxa"/>
              <w:right w:w="95" w:type="dxa"/>
            </w:tcMar>
            <w:vAlign w:val="center"/>
          </w:tcPr>
          <w:p w14:paraId="18F580AA" w14:textId="77777777" w:rsidR="00AC1B78" w:rsidRDefault="002C0F08">
            <w:pPr>
              <w:spacing w:after="0" w:line="245" w:lineRule="auto"/>
              <w:rPr>
                <w:rFonts w:hint="eastAsia"/>
              </w:rPr>
            </w:pPr>
            <w:r>
              <w:rPr>
                <w:color w:val="1F2933"/>
                <w:sz w:val="17"/>
              </w:rPr>
              <w:t>Minimum continuation relevance</w:t>
            </w:r>
          </w:p>
        </w:tc>
        <w:tc>
          <w:tcPr>
            <w:tcW w:w="1800" w:type="dxa"/>
            <w:shd w:val="clear" w:color="auto" w:fill="F7F9FB"/>
            <w:tcMar>
              <w:top w:w="85" w:type="dxa"/>
              <w:left w:w="95" w:type="dxa"/>
              <w:bottom w:w="85" w:type="dxa"/>
              <w:right w:w="95" w:type="dxa"/>
            </w:tcMar>
            <w:vAlign w:val="center"/>
          </w:tcPr>
          <w:p w14:paraId="1D55B75A" w14:textId="77777777" w:rsidR="00AC1B78" w:rsidRDefault="002C0F08">
            <w:pPr>
              <w:spacing w:after="0" w:line="245" w:lineRule="auto"/>
              <w:jc w:val="center"/>
              <w:rPr>
                <w:rFonts w:hint="eastAsia"/>
              </w:rPr>
            </w:pPr>
            <w:r>
              <w:rPr>
                <w:color w:val="1F2933"/>
                <w:sz w:val="17"/>
              </w:rPr>
              <w:t>0.35</w:t>
            </w:r>
          </w:p>
        </w:tc>
        <w:tc>
          <w:tcPr>
            <w:tcW w:w="4104" w:type="dxa"/>
            <w:shd w:val="clear" w:color="auto" w:fill="F7F9FB"/>
            <w:tcMar>
              <w:top w:w="85" w:type="dxa"/>
              <w:left w:w="95" w:type="dxa"/>
              <w:bottom w:w="85" w:type="dxa"/>
              <w:right w:w="95" w:type="dxa"/>
            </w:tcMar>
            <w:vAlign w:val="center"/>
          </w:tcPr>
          <w:p w14:paraId="7C67B702" w14:textId="77777777" w:rsidR="00AC1B78" w:rsidRDefault="002C0F08">
            <w:pPr>
              <w:spacing w:after="0" w:line="245" w:lineRule="auto"/>
              <w:rPr>
                <w:rFonts w:hint="eastAsia"/>
              </w:rPr>
            </w:pPr>
            <w:r>
              <w:rPr>
                <w:color w:val="1F2933"/>
                <w:sz w:val="17"/>
              </w:rPr>
              <w:t>Prunes low-value routes.</w:t>
            </w:r>
          </w:p>
        </w:tc>
      </w:tr>
      <w:tr w:rsidR="00AC1B78" w14:paraId="5E0F0808" w14:textId="77777777">
        <w:trPr>
          <w:jc w:val="center"/>
        </w:trPr>
        <w:tc>
          <w:tcPr>
            <w:tcW w:w="2880" w:type="dxa"/>
            <w:tcMar>
              <w:top w:w="85" w:type="dxa"/>
              <w:left w:w="95" w:type="dxa"/>
              <w:bottom w:w="85" w:type="dxa"/>
              <w:right w:w="95" w:type="dxa"/>
            </w:tcMar>
            <w:vAlign w:val="center"/>
          </w:tcPr>
          <w:p w14:paraId="2DE2C926" w14:textId="77777777" w:rsidR="00AC1B78" w:rsidRDefault="002C0F08">
            <w:pPr>
              <w:spacing w:after="0" w:line="245" w:lineRule="auto"/>
              <w:rPr>
                <w:rFonts w:hint="eastAsia"/>
              </w:rPr>
            </w:pPr>
            <w:r>
              <w:rPr>
                <w:color w:val="1F2933"/>
                <w:sz w:val="17"/>
              </w:rPr>
              <w:t>Maximum semantic depth</w:t>
            </w:r>
          </w:p>
        </w:tc>
        <w:tc>
          <w:tcPr>
            <w:tcW w:w="1800" w:type="dxa"/>
            <w:tcMar>
              <w:top w:w="85" w:type="dxa"/>
              <w:left w:w="95" w:type="dxa"/>
              <w:bottom w:w="85" w:type="dxa"/>
              <w:right w:w="95" w:type="dxa"/>
            </w:tcMar>
            <w:vAlign w:val="center"/>
          </w:tcPr>
          <w:p w14:paraId="704B737E" w14:textId="77777777" w:rsidR="00AC1B78" w:rsidRDefault="002C0F08">
            <w:pPr>
              <w:spacing w:after="0" w:line="245" w:lineRule="auto"/>
              <w:jc w:val="center"/>
              <w:rPr>
                <w:rFonts w:hint="eastAsia"/>
              </w:rPr>
            </w:pPr>
            <w:r>
              <w:rPr>
                <w:color w:val="1F2933"/>
                <w:sz w:val="17"/>
              </w:rPr>
              <w:t>7</w:t>
            </w:r>
          </w:p>
        </w:tc>
        <w:tc>
          <w:tcPr>
            <w:tcW w:w="4104" w:type="dxa"/>
            <w:tcMar>
              <w:top w:w="85" w:type="dxa"/>
              <w:left w:w="95" w:type="dxa"/>
              <w:bottom w:w="85" w:type="dxa"/>
              <w:right w:w="95" w:type="dxa"/>
            </w:tcMar>
            <w:vAlign w:val="center"/>
          </w:tcPr>
          <w:p w14:paraId="199AADEC" w14:textId="77777777" w:rsidR="00AC1B78" w:rsidRDefault="002C0F08">
            <w:pPr>
              <w:spacing w:after="0" w:line="245" w:lineRule="auto"/>
              <w:rPr>
                <w:rFonts w:hint="eastAsia"/>
              </w:rPr>
            </w:pPr>
            <w:r>
              <w:rPr>
                <w:color w:val="1F2933"/>
                <w:sz w:val="17"/>
              </w:rPr>
              <w:t>Prevents pathological routing loops or over-resolution.</w:t>
            </w:r>
          </w:p>
        </w:tc>
      </w:tr>
      <w:tr w:rsidR="00AC1B78" w14:paraId="2A8C2A93" w14:textId="77777777">
        <w:trPr>
          <w:jc w:val="center"/>
        </w:trPr>
        <w:tc>
          <w:tcPr>
            <w:tcW w:w="2880" w:type="dxa"/>
            <w:shd w:val="clear" w:color="auto" w:fill="F7F9FB"/>
            <w:tcMar>
              <w:top w:w="85" w:type="dxa"/>
              <w:left w:w="95" w:type="dxa"/>
              <w:bottom w:w="85" w:type="dxa"/>
              <w:right w:w="95" w:type="dxa"/>
            </w:tcMar>
            <w:vAlign w:val="center"/>
          </w:tcPr>
          <w:p w14:paraId="01B3F7D2" w14:textId="77777777" w:rsidR="00AC1B78" w:rsidRDefault="002C0F08">
            <w:pPr>
              <w:spacing w:after="0" w:line="245" w:lineRule="auto"/>
              <w:rPr>
                <w:rFonts w:hint="eastAsia"/>
              </w:rPr>
            </w:pPr>
            <w:r>
              <w:rPr>
                <w:color w:val="1F2933"/>
                <w:sz w:val="17"/>
              </w:rPr>
              <w:t>Maximum Routing SK evaluations</w:t>
            </w:r>
          </w:p>
        </w:tc>
        <w:tc>
          <w:tcPr>
            <w:tcW w:w="1800" w:type="dxa"/>
            <w:shd w:val="clear" w:color="auto" w:fill="F7F9FB"/>
            <w:tcMar>
              <w:top w:w="85" w:type="dxa"/>
              <w:left w:w="95" w:type="dxa"/>
              <w:bottom w:w="85" w:type="dxa"/>
              <w:right w:w="95" w:type="dxa"/>
            </w:tcMar>
            <w:vAlign w:val="center"/>
          </w:tcPr>
          <w:p w14:paraId="7036EFC1" w14:textId="77777777" w:rsidR="00AC1B78" w:rsidRDefault="002C0F08">
            <w:pPr>
              <w:spacing w:after="0" w:line="245" w:lineRule="auto"/>
              <w:jc w:val="center"/>
              <w:rPr>
                <w:rFonts w:hint="eastAsia"/>
              </w:rPr>
            </w:pPr>
            <w:r>
              <w:rPr>
                <w:color w:val="1F2933"/>
                <w:sz w:val="17"/>
              </w:rPr>
              <w:t>120</w:t>
            </w:r>
          </w:p>
        </w:tc>
        <w:tc>
          <w:tcPr>
            <w:tcW w:w="4104" w:type="dxa"/>
            <w:shd w:val="clear" w:color="auto" w:fill="F7F9FB"/>
            <w:tcMar>
              <w:top w:w="85" w:type="dxa"/>
              <w:left w:w="95" w:type="dxa"/>
              <w:bottom w:w="85" w:type="dxa"/>
              <w:right w:w="95" w:type="dxa"/>
            </w:tcMar>
            <w:vAlign w:val="center"/>
          </w:tcPr>
          <w:p w14:paraId="0698AF5D" w14:textId="77777777" w:rsidR="00AC1B78" w:rsidRDefault="002C0F08">
            <w:pPr>
              <w:spacing w:after="0" w:line="245" w:lineRule="auto"/>
              <w:rPr>
                <w:rFonts w:hint="eastAsia"/>
              </w:rPr>
            </w:pPr>
            <w:r>
              <w:rPr>
                <w:color w:val="1F2933"/>
                <w:sz w:val="17"/>
              </w:rPr>
              <w:t>Bounds semantic compute.</w:t>
            </w:r>
          </w:p>
        </w:tc>
      </w:tr>
      <w:tr w:rsidR="00AC1B78" w14:paraId="6E7E52D5" w14:textId="77777777">
        <w:trPr>
          <w:jc w:val="center"/>
        </w:trPr>
        <w:tc>
          <w:tcPr>
            <w:tcW w:w="2880" w:type="dxa"/>
            <w:tcMar>
              <w:top w:w="85" w:type="dxa"/>
              <w:left w:w="95" w:type="dxa"/>
              <w:bottom w:w="85" w:type="dxa"/>
              <w:right w:w="95" w:type="dxa"/>
            </w:tcMar>
            <w:vAlign w:val="center"/>
          </w:tcPr>
          <w:p w14:paraId="5E4A0E2F" w14:textId="77777777" w:rsidR="00AC1B78" w:rsidRDefault="002C0F08">
            <w:pPr>
              <w:spacing w:after="0" w:line="245" w:lineRule="auto"/>
              <w:rPr>
                <w:rFonts w:hint="eastAsia"/>
              </w:rPr>
            </w:pPr>
            <w:r>
              <w:rPr>
                <w:color w:val="1F2933"/>
                <w:sz w:val="17"/>
              </w:rPr>
              <w:t>Source reopen limit</w:t>
            </w:r>
          </w:p>
        </w:tc>
        <w:tc>
          <w:tcPr>
            <w:tcW w:w="1800" w:type="dxa"/>
            <w:tcMar>
              <w:top w:w="85" w:type="dxa"/>
              <w:left w:w="95" w:type="dxa"/>
              <w:bottom w:w="85" w:type="dxa"/>
              <w:right w:w="95" w:type="dxa"/>
            </w:tcMar>
            <w:vAlign w:val="center"/>
          </w:tcPr>
          <w:p w14:paraId="5A0F1789" w14:textId="77777777" w:rsidR="00AC1B78" w:rsidRDefault="002C0F08">
            <w:pPr>
              <w:spacing w:after="0" w:line="245" w:lineRule="auto"/>
              <w:jc w:val="center"/>
              <w:rPr>
                <w:rFonts w:hint="eastAsia"/>
              </w:rPr>
            </w:pPr>
            <w:r>
              <w:rPr>
                <w:color w:val="1F2933"/>
                <w:sz w:val="17"/>
              </w:rPr>
              <w:t>20</w:t>
            </w:r>
          </w:p>
        </w:tc>
        <w:tc>
          <w:tcPr>
            <w:tcW w:w="4104" w:type="dxa"/>
            <w:tcMar>
              <w:top w:w="85" w:type="dxa"/>
              <w:left w:w="95" w:type="dxa"/>
              <w:bottom w:w="85" w:type="dxa"/>
              <w:right w:w="95" w:type="dxa"/>
            </w:tcMar>
            <w:vAlign w:val="center"/>
          </w:tcPr>
          <w:p w14:paraId="1006C348" w14:textId="77777777" w:rsidR="00AC1B78" w:rsidRDefault="002C0F08">
            <w:pPr>
              <w:spacing w:after="0" w:line="245" w:lineRule="auto"/>
              <w:rPr>
                <w:rFonts w:hint="eastAsia"/>
              </w:rPr>
            </w:pPr>
            <w:r>
              <w:rPr>
                <w:color w:val="1F2933"/>
                <w:sz w:val="17"/>
              </w:rPr>
              <w:t>Bounds expensive full-fidelity source reads.</w:t>
            </w:r>
          </w:p>
        </w:tc>
      </w:tr>
      <w:tr w:rsidR="00AC1B78" w14:paraId="1FB343F9" w14:textId="77777777">
        <w:trPr>
          <w:jc w:val="center"/>
        </w:trPr>
        <w:tc>
          <w:tcPr>
            <w:tcW w:w="2880" w:type="dxa"/>
            <w:shd w:val="clear" w:color="auto" w:fill="F7F9FB"/>
            <w:tcMar>
              <w:top w:w="85" w:type="dxa"/>
              <w:left w:w="95" w:type="dxa"/>
              <w:bottom w:w="85" w:type="dxa"/>
              <w:right w:w="95" w:type="dxa"/>
            </w:tcMar>
            <w:vAlign w:val="center"/>
          </w:tcPr>
          <w:p w14:paraId="7F3C9FA0" w14:textId="77777777" w:rsidR="00AC1B78" w:rsidRDefault="002C0F08">
            <w:pPr>
              <w:spacing w:after="0" w:line="245" w:lineRule="auto"/>
              <w:rPr>
                <w:rFonts w:hint="eastAsia"/>
              </w:rPr>
            </w:pPr>
            <w:r>
              <w:rPr>
                <w:color w:val="1F2933"/>
                <w:sz w:val="17"/>
              </w:rPr>
              <w:t>Token budget</w:t>
            </w:r>
          </w:p>
        </w:tc>
        <w:tc>
          <w:tcPr>
            <w:tcW w:w="1800" w:type="dxa"/>
            <w:shd w:val="clear" w:color="auto" w:fill="F7F9FB"/>
            <w:tcMar>
              <w:top w:w="85" w:type="dxa"/>
              <w:left w:w="95" w:type="dxa"/>
              <w:bottom w:w="85" w:type="dxa"/>
              <w:right w:w="95" w:type="dxa"/>
            </w:tcMar>
            <w:vAlign w:val="center"/>
          </w:tcPr>
          <w:p w14:paraId="53C4ACB1" w14:textId="77777777" w:rsidR="00AC1B78" w:rsidRDefault="002C0F08">
            <w:pPr>
              <w:spacing w:after="0" w:line="245" w:lineRule="auto"/>
              <w:jc w:val="center"/>
              <w:rPr>
                <w:rFonts w:hint="eastAsia"/>
              </w:rPr>
            </w:pPr>
            <w:r>
              <w:rPr>
                <w:color w:val="1F2933"/>
                <w:sz w:val="17"/>
              </w:rPr>
              <w:t>40,000</w:t>
            </w:r>
          </w:p>
        </w:tc>
        <w:tc>
          <w:tcPr>
            <w:tcW w:w="4104" w:type="dxa"/>
            <w:shd w:val="clear" w:color="auto" w:fill="F7F9FB"/>
            <w:tcMar>
              <w:top w:w="85" w:type="dxa"/>
              <w:left w:w="95" w:type="dxa"/>
              <w:bottom w:w="85" w:type="dxa"/>
              <w:right w:w="95" w:type="dxa"/>
            </w:tcMar>
            <w:vAlign w:val="center"/>
          </w:tcPr>
          <w:p w14:paraId="3B21EDF9" w14:textId="77777777" w:rsidR="00AC1B78" w:rsidRDefault="002C0F08">
            <w:pPr>
              <w:spacing w:after="0" w:line="245" w:lineRule="auto"/>
              <w:rPr>
                <w:rFonts w:hint="eastAsia"/>
              </w:rPr>
            </w:pPr>
            <w:r>
              <w:rPr>
                <w:color w:val="1F2933"/>
                <w:sz w:val="17"/>
              </w:rPr>
              <w:t>Bounds LLM context consumption.</w:t>
            </w:r>
          </w:p>
        </w:tc>
      </w:tr>
    </w:tbl>
    <w:p w14:paraId="3B436B1E" w14:textId="77777777" w:rsidR="00AC1B78" w:rsidRDefault="00AC1B78">
      <w:pPr>
        <w:spacing w:after="40"/>
        <w:rPr>
          <w:rFonts w:hint="eastAsia"/>
        </w:rPr>
      </w:pPr>
    </w:p>
    <w:p w14:paraId="24713890" w14:textId="77777777" w:rsidR="00AC1B78" w:rsidRDefault="002C0F08">
      <w:pPr>
        <w:pStyle w:val="Heading1"/>
        <w:spacing w:before="200" w:after="100" w:line="240" w:lineRule="auto"/>
      </w:pPr>
      <w:r>
        <w:rPr>
          <w:rFonts w:ascii="Carlito" w:hAnsi="Carlito"/>
        </w:rPr>
        <w:t>16. Stopping Conditions</w:t>
      </w:r>
    </w:p>
    <w:p w14:paraId="2693BDE9" w14:textId="77777777" w:rsidR="00AC1B78" w:rsidRDefault="002C0F08">
      <w:pPr>
        <w:spacing w:after="120" w:line="259" w:lineRule="auto"/>
        <w:rPr>
          <w:rFonts w:hint="eastAsia"/>
        </w:rPr>
      </w:pPr>
      <w:r>
        <w:rPr>
          <w:color w:val="1F2933"/>
        </w:rPr>
        <w:t>Routing should stop when further semantic resolution no longer improves the task. Typical stopping conditions include reaching a sufficiently precise 00 neighborhood, exhausting relevant child routers, dropping below relevance or applicability thresholds, hitting a budget, encountering unresolved ambiguity that requires user input, or reaching a registered Model/Operator/Rule that directly satisfies the intent. Exact SOLAR resolution can also short-circuit broad search entirely.</w:t>
      </w:r>
    </w:p>
    <w:p w14:paraId="0CE96612" w14:textId="77777777" w:rsidR="00AC1B78" w:rsidRDefault="002C0F08">
      <w:pPr>
        <w:pStyle w:val="Heading1"/>
        <w:spacing w:before="200" w:after="100" w:line="240" w:lineRule="auto"/>
      </w:pPr>
      <w:r>
        <w:rPr>
          <w:rFonts w:ascii="Carlito" w:hAnsi="Carlito"/>
        </w:rPr>
        <w:t>Part III - Authority, Applicability, and Epistemic Context</w:t>
      </w:r>
    </w:p>
    <w:p w14:paraId="70FD6C85" w14:textId="77777777" w:rsidR="00AC1B78" w:rsidRDefault="002C0F08">
      <w:pPr>
        <w:pStyle w:val="Heading1"/>
        <w:spacing w:before="200" w:after="100" w:line="240" w:lineRule="auto"/>
      </w:pPr>
      <w:r>
        <w:rPr>
          <w:rFonts w:ascii="Carlito" w:hAnsi="Carlito"/>
        </w:rPr>
        <w:t>17. Relevance vs Authority vs Applicability</w:t>
      </w:r>
    </w:p>
    <w:p w14:paraId="45391C0F" w14:textId="77777777" w:rsidR="00AC1B78" w:rsidRDefault="002C0F08">
      <w:pPr>
        <w:spacing w:after="120" w:line="259" w:lineRule="auto"/>
        <w:rPr>
          <w:rFonts w:hint="eastAsia"/>
        </w:rPr>
      </w:pPr>
      <w:r>
        <w:rPr>
          <w:color w:val="1F2933"/>
        </w:rPr>
        <w:t>A single relevance score cannot safely carry every search decision. Bits Before Tokens separates semantic relevance R, source authority or trust T, and contextual applicability A. Relevance asks whether the source or branch is about the current request. Authority asks how strongly the source may establish the kind of claim being made. Applicability asks whether the source governs or pertains to the current context.</w:t>
      </w:r>
    </w:p>
    <w:tbl>
      <w:tblPr>
        <w:tblW w:w="0" w:type="auto"/>
        <w:jc w:val="center"/>
        <w:tblLayout w:type="fixed"/>
        <w:tblLook w:val="04A0" w:firstRow="1" w:lastRow="0" w:firstColumn="1" w:lastColumn="0" w:noHBand="0" w:noVBand="1"/>
      </w:tblPr>
      <w:tblGrid>
        <w:gridCol w:w="10052"/>
      </w:tblGrid>
      <w:tr w:rsidR="00AC1B78" w14:paraId="13404B68" w14:textId="77777777">
        <w:trPr>
          <w:tblHeader/>
          <w:jc w:val="center"/>
        </w:trPr>
        <w:tc>
          <w:tcPr>
            <w:tcW w:w="10052" w:type="dxa"/>
            <w:shd w:val="clear" w:color="auto" w:fill="F4F6F8"/>
            <w:tcMar>
              <w:top w:w="100" w:type="dxa"/>
              <w:left w:w="120" w:type="dxa"/>
              <w:bottom w:w="100" w:type="dxa"/>
              <w:right w:w="120" w:type="dxa"/>
            </w:tcMar>
          </w:tcPr>
          <w:p w14:paraId="3AF63AF3" w14:textId="77777777" w:rsidR="00AC1B78" w:rsidRDefault="002C0F08">
            <w:pPr>
              <w:spacing w:after="0" w:line="240" w:lineRule="auto"/>
              <w:rPr>
                <w:rFonts w:hint="eastAsia"/>
              </w:rPr>
            </w:pPr>
            <w:r>
              <w:rPr>
                <w:rFonts w:ascii="DejaVu Sans Mono" w:hAnsi="DejaVu Sans Mono"/>
                <w:color w:val="34495E"/>
                <w:sz w:val="16"/>
              </w:rPr>
              <w:t>Route / Source State</w:t>
            </w:r>
            <w:r>
              <w:rPr>
                <w:rFonts w:ascii="DejaVu Sans Mono" w:hAnsi="DejaVu Sans Mono"/>
                <w:color w:val="34495E"/>
                <w:sz w:val="16"/>
              </w:rPr>
              <w:br/>
              <w:t xml:space="preserve">  R = Semantic Relevance</w:t>
            </w:r>
            <w:r>
              <w:rPr>
                <w:rFonts w:ascii="DejaVu Sans Mono" w:hAnsi="DejaVu Sans Mono"/>
                <w:color w:val="34495E"/>
                <w:sz w:val="16"/>
              </w:rPr>
              <w:br/>
              <w:t xml:space="preserve">  T = Authority / Trust</w:t>
            </w:r>
            <w:r>
              <w:rPr>
                <w:rFonts w:ascii="DejaVu Sans Mono" w:hAnsi="DejaVu Sans Mono"/>
                <w:color w:val="34495E"/>
                <w:sz w:val="16"/>
              </w:rPr>
              <w:br/>
            </w:r>
            <w:r>
              <w:rPr>
                <w:rFonts w:ascii="DejaVu Sans Mono" w:hAnsi="DejaVu Sans Mono"/>
                <w:color w:val="34495E"/>
                <w:sz w:val="16"/>
              </w:rPr>
              <w:t xml:space="preserve">  A = Context Applicability</w:t>
            </w:r>
            <w:r>
              <w:rPr>
                <w:rFonts w:ascii="DejaVu Sans Mono" w:hAnsi="DejaVu Sans Mono"/>
                <w:color w:val="34495E"/>
                <w:sz w:val="16"/>
              </w:rPr>
              <w:br/>
            </w:r>
            <w:r>
              <w:rPr>
                <w:rFonts w:ascii="DejaVu Sans Mono" w:hAnsi="DejaVu Sans Mono"/>
                <w:color w:val="34495E"/>
                <w:sz w:val="16"/>
              </w:rPr>
              <w:br/>
              <w:t>R, T, and A remain separately inspectable.</w:t>
            </w:r>
          </w:p>
        </w:tc>
      </w:tr>
    </w:tbl>
    <w:p w14:paraId="24998111" w14:textId="77777777" w:rsidR="00AC1B78" w:rsidRDefault="00AC1B78">
      <w:pPr>
        <w:spacing w:after="20"/>
        <w:rPr>
          <w:rFonts w:hint="eastAsia"/>
        </w:rPr>
      </w:pPr>
    </w:p>
    <w:p w14:paraId="2FF92A11" w14:textId="77777777" w:rsidR="00AC1B78" w:rsidRDefault="002C0F08">
      <w:pPr>
        <w:keepNext/>
        <w:spacing w:before="80" w:after="60" w:line="240" w:lineRule="auto"/>
        <w:jc w:val="center"/>
        <w:rPr>
          <w:rFonts w:hint="eastAsia"/>
        </w:rPr>
      </w:pPr>
      <w:r>
        <w:rPr>
          <w:noProof/>
        </w:rPr>
        <w:drawing>
          <wp:inline distT="0" distB="0" distL="0" distR="0" wp14:anchorId="7A385644" wp14:editId="5E5276D9">
            <wp:extent cx="5897880" cy="3460365"/>
            <wp:effectExtent l="0" t="0" r="0" b="0"/>
            <wp:docPr id="7" name="Picture 7" descr="The interface compares a DragonRealm game law and a company travel standard. Both can have authority 1.00 in their own environment while applicability becomes zero outside that environment." title="Figure 6: Authority and Applicability Insp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trust_applicability.png"/>
                    <pic:cNvPicPr/>
                  </pic:nvPicPr>
                  <pic:blipFill>
                    <a:blip r:embed="rId14"/>
                    <a:stretch>
                      <a:fillRect/>
                    </a:stretch>
                  </pic:blipFill>
                  <pic:spPr>
                    <a:xfrm>
                      <a:off x="0" y="0"/>
                      <a:ext cx="5897880" cy="3460365"/>
                    </a:xfrm>
                    <a:prstGeom prst="rect">
                      <a:avLst/>
                    </a:prstGeom>
                  </pic:spPr>
                </pic:pic>
              </a:graphicData>
            </a:graphic>
          </wp:inline>
        </w:drawing>
      </w:r>
    </w:p>
    <w:p w14:paraId="04CF8D32" w14:textId="77777777" w:rsidR="00AC1B78" w:rsidRDefault="002C0F08">
      <w:pPr>
        <w:keepLines/>
        <w:spacing w:after="160" w:line="245" w:lineRule="auto"/>
        <w:rPr>
          <w:rFonts w:hint="eastAsia"/>
        </w:rPr>
      </w:pPr>
      <w:r>
        <w:rPr>
          <w:b/>
          <w:color w:val="17324D"/>
          <w:sz w:val="17"/>
        </w:rPr>
        <w:t xml:space="preserve">Figure 6. Authority and Applicability Inspector. </w:t>
      </w:r>
      <w:r>
        <w:rPr>
          <w:color w:val="6B7785"/>
          <w:sz w:val="17"/>
        </w:rPr>
        <w:t>The interface compares a DragonRealm game law and a company travel standard. Both can have authority 1.00 in their own environment while applicability becomes zero outside that environment.</w:t>
      </w:r>
    </w:p>
    <w:p w14:paraId="2968616D" w14:textId="77777777" w:rsidR="00AC1B78" w:rsidRDefault="002C0F08">
      <w:pPr>
        <w:pStyle w:val="Heading1"/>
        <w:spacing w:before="200" w:after="100" w:line="240" w:lineRule="auto"/>
      </w:pPr>
      <w:r>
        <w:rPr>
          <w:rFonts w:ascii="Carlito" w:hAnsi="Carlito"/>
        </w:rPr>
        <w:t>18. Context-Bounded Authority</w:t>
      </w:r>
    </w:p>
    <w:p w14:paraId="246E5729" w14:textId="77777777" w:rsidR="00AC1B78" w:rsidRDefault="002C0F08">
      <w:pPr>
        <w:spacing w:after="120" w:line="259" w:lineRule="auto"/>
        <w:rPr>
          <w:rFonts w:hint="eastAsia"/>
        </w:rPr>
      </w:pPr>
      <w:r>
        <w:rPr>
          <w:color w:val="1F2933"/>
        </w:rPr>
        <w:t>Authority is contextual. A company standard may be authoritative for official company procedure. A game law may be authoritative for simulation behavior. A legal text may be authoritative only in its jurisdiction and time range. A scientific source may be high-quality evidence without being a governing rule. The search runtime should therefore apply authority within a declared claim and context rather than treating one trust number as universal truth.</w:t>
      </w:r>
    </w:p>
    <w:tbl>
      <w:tblPr>
        <w:tblW w:w="0" w:type="auto"/>
        <w:jc w:val="center"/>
        <w:tblLayout w:type="fixed"/>
        <w:tblLook w:val="04A0" w:firstRow="1" w:lastRow="0" w:firstColumn="1" w:lastColumn="0" w:noHBand="0" w:noVBand="1"/>
      </w:tblPr>
      <w:tblGrid>
        <w:gridCol w:w="5026"/>
        <w:gridCol w:w="5026"/>
      </w:tblGrid>
      <w:tr w:rsidR="00AC1B78" w14:paraId="37ACF957" w14:textId="77777777">
        <w:trPr>
          <w:tblHeader/>
          <w:jc w:val="center"/>
        </w:trPr>
        <w:tc>
          <w:tcPr>
            <w:tcW w:w="5026" w:type="dxa"/>
            <w:shd w:val="clear" w:color="auto" w:fill="B7791F"/>
            <w:tcMar>
              <w:top w:w="60" w:type="dxa"/>
              <w:left w:w="40" w:type="dxa"/>
              <w:bottom w:w="60" w:type="dxa"/>
              <w:right w:w="40" w:type="dxa"/>
            </w:tcMar>
          </w:tcPr>
          <w:p w14:paraId="38127B17" w14:textId="77777777" w:rsidR="00AC1B78" w:rsidRDefault="00AC1B78">
            <w:pPr>
              <w:rPr>
                <w:rFonts w:hint="eastAsia"/>
              </w:rPr>
            </w:pPr>
          </w:p>
        </w:tc>
        <w:tc>
          <w:tcPr>
            <w:tcW w:w="5026" w:type="dxa"/>
            <w:shd w:val="clear" w:color="auto" w:fill="F7F3E8"/>
            <w:tcMar>
              <w:top w:w="110" w:type="dxa"/>
              <w:left w:w="140" w:type="dxa"/>
              <w:bottom w:w="110" w:type="dxa"/>
              <w:right w:w="140" w:type="dxa"/>
            </w:tcMar>
          </w:tcPr>
          <w:p w14:paraId="3808E7DD" w14:textId="77777777" w:rsidR="00AC1B78" w:rsidRDefault="002C0F08">
            <w:pPr>
              <w:spacing w:after="40" w:line="252" w:lineRule="auto"/>
              <w:rPr>
                <w:rFonts w:hint="eastAsia"/>
              </w:rPr>
            </w:pPr>
            <w:r>
              <w:rPr>
                <w:b/>
                <w:color w:val="B7791F"/>
                <w:sz w:val="18"/>
              </w:rPr>
              <w:t>CONTEXT-BOUNDED AUTHORITY PRINCIPLE</w:t>
            </w:r>
          </w:p>
          <w:p w14:paraId="48B3E034" w14:textId="77777777" w:rsidR="00AC1B78" w:rsidRDefault="002C0F08">
            <w:pPr>
              <w:spacing w:after="0" w:line="259" w:lineRule="auto"/>
              <w:rPr>
                <w:rFonts w:hint="eastAsia"/>
              </w:rPr>
            </w:pPr>
            <w:r>
              <w:rPr>
                <w:color w:val="1F2933"/>
                <w:sz w:val="19"/>
              </w:rPr>
              <w:t>A source MAY be fully authoritative within one governed environment and completely inapplicable elsewhere.</w:t>
            </w:r>
          </w:p>
        </w:tc>
      </w:tr>
    </w:tbl>
    <w:p w14:paraId="01E65F44" w14:textId="77777777" w:rsidR="00AC1B78" w:rsidRDefault="00AC1B78">
      <w:pPr>
        <w:spacing w:after="40"/>
        <w:rPr>
          <w:rFonts w:hint="eastAsia"/>
        </w:rPr>
      </w:pPr>
    </w:p>
    <w:p w14:paraId="7DE17350" w14:textId="77777777" w:rsidR="00AC1B78" w:rsidRDefault="002C0F08">
      <w:pPr>
        <w:pStyle w:val="Heading1"/>
        <w:spacing w:before="200" w:after="100" w:line="240" w:lineRule="auto"/>
      </w:pPr>
      <w:r>
        <w:rPr>
          <w:rFonts w:ascii="Carlito" w:hAnsi="Carlito"/>
        </w:rPr>
        <w:t>19. Company Standards</w:t>
      </w:r>
    </w:p>
    <w:p w14:paraId="4D11CC6F" w14:textId="77777777" w:rsidR="00AC1B78" w:rsidRDefault="002C0F08">
      <w:pPr>
        <w:spacing w:after="120" w:line="259" w:lineRule="auto"/>
        <w:rPr>
          <w:rFonts w:hint="eastAsia"/>
        </w:rPr>
      </w:pPr>
      <w:r>
        <w:rPr>
          <w:color w:val="1F2933"/>
        </w:rPr>
        <w:t>Company standards demonstrate why authority must remain distinct from semantic relevance. For an official-policy query, an active company standard may be required to satisfy a high authority floor while drafts, notes, and forum discussion are suppressed. For a question about employee confusion, those same low-authority sources may become highly relevant evidence about perceptions while remaining non-authoritative about the policy itself.</w:t>
      </w:r>
    </w:p>
    <w:p w14:paraId="3EDC9F35" w14:textId="77777777" w:rsidR="00AC1B78" w:rsidRDefault="002C0F08">
      <w:pPr>
        <w:keepNext/>
        <w:spacing w:before="80" w:after="60" w:line="240" w:lineRule="auto"/>
        <w:jc w:val="center"/>
        <w:rPr>
          <w:rFonts w:hint="eastAsia"/>
        </w:rPr>
      </w:pPr>
      <w:r>
        <w:rPr>
          <w:noProof/>
        </w:rPr>
        <w:drawing>
          <wp:inline distT="0" distB="0" distL="0" distR="0" wp14:anchorId="1CA63E52" wp14:editId="30B1A150">
            <wp:extent cx="5897880" cy="2853703"/>
            <wp:effectExtent l="0" t="0" r="0" b="0"/>
            <wp:docPr id="8" name="Picture 8" descr="Two queries use the same policy neighborhood differently. Official-policy mode uses the company standard and drops commentary; employee-concern mode uses commentary as evidence of confusion while keeping the official policy as context." title="Figure 11: Same Domain, Different I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company_intent.png"/>
                    <pic:cNvPicPr/>
                  </pic:nvPicPr>
                  <pic:blipFill>
                    <a:blip r:embed="rId15"/>
                    <a:stretch>
                      <a:fillRect/>
                    </a:stretch>
                  </pic:blipFill>
                  <pic:spPr>
                    <a:xfrm>
                      <a:off x="0" y="0"/>
                      <a:ext cx="5897880" cy="2853703"/>
                    </a:xfrm>
                    <a:prstGeom prst="rect">
                      <a:avLst/>
                    </a:prstGeom>
                  </pic:spPr>
                </pic:pic>
              </a:graphicData>
            </a:graphic>
          </wp:inline>
        </w:drawing>
      </w:r>
    </w:p>
    <w:p w14:paraId="30D488C6" w14:textId="77777777" w:rsidR="00AC1B78" w:rsidRDefault="002C0F08">
      <w:pPr>
        <w:keepLines/>
        <w:spacing w:after="160" w:line="245" w:lineRule="auto"/>
        <w:rPr>
          <w:rFonts w:hint="eastAsia"/>
        </w:rPr>
      </w:pPr>
      <w:r>
        <w:rPr>
          <w:b/>
          <w:color w:val="17324D"/>
          <w:sz w:val="17"/>
        </w:rPr>
        <w:t xml:space="preserve">Figure 11. Same Domain, Different Intent. </w:t>
      </w:r>
      <w:r>
        <w:rPr>
          <w:color w:val="6B7785"/>
          <w:sz w:val="17"/>
        </w:rPr>
        <w:t>Two queries use the same policy neighborhood differently. Official-policy mode uses the company standard and drops commentary; employee-concern mode uses commentary as evidence of confusion while keeping the official policy as context.</w:t>
      </w:r>
    </w:p>
    <w:p w14:paraId="648FE992" w14:textId="77777777" w:rsidR="00AC1B78" w:rsidRDefault="002C0F08">
      <w:pPr>
        <w:pStyle w:val="Heading1"/>
        <w:spacing w:before="200" w:after="100" w:line="240" w:lineRule="auto"/>
      </w:pPr>
      <w:r>
        <w:rPr>
          <w:rFonts w:ascii="Carlito" w:hAnsi="Carlito"/>
        </w:rPr>
        <w:t>20. Game Law and World-Bounded Truth</w:t>
      </w:r>
    </w:p>
    <w:p w14:paraId="0000777C" w14:textId="77777777" w:rsidR="00AC1B78" w:rsidRDefault="002C0F08">
      <w:pPr>
        <w:spacing w:after="120" w:line="259" w:lineRule="auto"/>
        <w:rPr>
          <w:rFonts w:hint="eastAsia"/>
        </w:rPr>
      </w:pPr>
      <w:r>
        <w:rPr>
          <w:color w:val="1F2933"/>
        </w:rPr>
        <w:t>Game law provides a deliberately obvious boundary case. A rule such as Dragon fire cannot cross flowing water may have authority 1.00 inside DragonRealm. The same rule should have applicability 0.00 in a real-world combustion query. It is not untrustworthy outside the game; it is simply outside its governing scope. Treating this as applicability avoids corrupting the meaning of authority.</w:t>
      </w:r>
    </w:p>
    <w:p w14:paraId="2CF483AD" w14:textId="77777777" w:rsidR="00AC1B78" w:rsidRDefault="002C0F08">
      <w:pPr>
        <w:keepNext/>
        <w:spacing w:before="80" w:after="60" w:line="240" w:lineRule="auto"/>
        <w:jc w:val="center"/>
        <w:rPr>
          <w:rFonts w:hint="eastAsia"/>
        </w:rPr>
      </w:pPr>
      <w:r>
        <w:rPr>
          <w:noProof/>
        </w:rPr>
        <w:drawing>
          <wp:inline distT="0" distB="0" distL="0" distR="0" wp14:anchorId="29864584" wp14:editId="1F25AF6C">
            <wp:extent cx="5897880" cy="3460365"/>
            <wp:effectExtent l="0" t="0" r="0" b="0"/>
            <wp:docPr id="9" name="Picture 9" descr="The DragonRealm query uses Game Law 17 because both authority and applicability are 1.00. A real-world query drops the same law before retrieval because applicability is 0.00 even though authority within DragonRealm remains 1.00." title="Figure 12: Context-Bounded Authority: Game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game_law.png"/>
                    <pic:cNvPicPr/>
                  </pic:nvPicPr>
                  <pic:blipFill>
                    <a:blip r:embed="rId16"/>
                    <a:stretch>
                      <a:fillRect/>
                    </a:stretch>
                  </pic:blipFill>
                  <pic:spPr>
                    <a:xfrm>
                      <a:off x="0" y="0"/>
                      <a:ext cx="5897880" cy="3460365"/>
                    </a:xfrm>
                    <a:prstGeom prst="rect">
                      <a:avLst/>
                    </a:prstGeom>
                  </pic:spPr>
                </pic:pic>
              </a:graphicData>
            </a:graphic>
          </wp:inline>
        </w:drawing>
      </w:r>
    </w:p>
    <w:p w14:paraId="3B6C3D18" w14:textId="77777777" w:rsidR="00AC1B78" w:rsidRDefault="002C0F08">
      <w:pPr>
        <w:keepLines/>
        <w:spacing w:after="160" w:line="245" w:lineRule="auto"/>
        <w:rPr>
          <w:rFonts w:hint="eastAsia"/>
        </w:rPr>
      </w:pPr>
      <w:r>
        <w:rPr>
          <w:b/>
          <w:color w:val="17324D"/>
          <w:sz w:val="17"/>
        </w:rPr>
        <w:t xml:space="preserve">Figure 12. Context-Bounded Authority: Game Law. </w:t>
      </w:r>
      <w:r>
        <w:rPr>
          <w:color w:val="6B7785"/>
          <w:sz w:val="17"/>
        </w:rPr>
        <w:t>The DragonRealm query uses Game Law 17 because both authority and applicability are 1.00. A real-world query drops the same law before retrieval because applicability is 0.00 even though authority within DragonRealm remains 1.00.</w:t>
      </w:r>
    </w:p>
    <w:p w14:paraId="4270A0A7" w14:textId="77777777" w:rsidR="00AC1B78" w:rsidRDefault="002C0F08">
      <w:pPr>
        <w:pStyle w:val="Heading1"/>
        <w:spacing w:before="200" w:after="100" w:line="240" w:lineRule="auto"/>
      </w:pPr>
      <w:r>
        <w:rPr>
          <w:rFonts w:ascii="Carlito" w:hAnsi="Carlito"/>
        </w:rPr>
        <w:t>21. CIRCLE / FRINGE / FASK</w:t>
      </w:r>
    </w:p>
    <w:p w14:paraId="75D005D3" w14:textId="77777777" w:rsidR="00AC1B78" w:rsidRDefault="002C0F08">
      <w:pPr>
        <w:spacing w:after="120" w:line="259" w:lineRule="auto"/>
        <w:rPr>
          <w:rFonts w:hint="eastAsia"/>
        </w:rPr>
      </w:pPr>
      <w:r>
        <w:rPr>
          <w:color w:val="1F2933"/>
        </w:rPr>
        <w:t>The same separation supports epistemic routing. CIRCLE can represent established common knowledge, FRINGE developing or experimental structures, and FASK explicitly speculative or fantasy structures. A factual query may prioritize CIRCLE and require stronger evidence. A design or speculative query may intentionally keep FRINGE and FASK active. The epistemic status should influence the search plan without implying that speculative material is low-quality within its intended role.</w:t>
      </w:r>
    </w:p>
    <w:tbl>
      <w:tblPr>
        <w:tblW w:w="0" w:type="auto"/>
        <w:jc w:val="center"/>
        <w:tblLayout w:type="fixed"/>
        <w:tblLook w:val="04A0" w:firstRow="1" w:lastRow="0" w:firstColumn="1" w:lastColumn="0" w:noHBand="0" w:noVBand="1"/>
      </w:tblPr>
      <w:tblGrid>
        <w:gridCol w:w="3351"/>
        <w:gridCol w:w="3456"/>
        <w:gridCol w:w="3600"/>
      </w:tblGrid>
      <w:tr w:rsidR="00AC1B78" w14:paraId="457B2BEC" w14:textId="77777777">
        <w:trPr>
          <w:tblHeader/>
          <w:jc w:val="center"/>
        </w:trPr>
        <w:tc>
          <w:tcPr>
            <w:tcW w:w="3351" w:type="dxa"/>
            <w:shd w:val="clear" w:color="auto" w:fill="17324D"/>
            <w:tcMar>
              <w:top w:w="90" w:type="dxa"/>
              <w:left w:w="100" w:type="dxa"/>
              <w:bottom w:w="90" w:type="dxa"/>
              <w:right w:w="100" w:type="dxa"/>
            </w:tcMar>
            <w:vAlign w:val="center"/>
          </w:tcPr>
          <w:p w14:paraId="487C63B7" w14:textId="77777777" w:rsidR="00AC1B78" w:rsidRDefault="002C0F08">
            <w:pPr>
              <w:spacing w:after="0" w:line="240" w:lineRule="auto"/>
              <w:jc w:val="center"/>
              <w:rPr>
                <w:rFonts w:hint="eastAsia"/>
              </w:rPr>
            </w:pPr>
            <w:r>
              <w:rPr>
                <w:b/>
                <w:color w:val="FFFFFF"/>
                <w:sz w:val="17"/>
              </w:rPr>
              <w:t>Layer</w:t>
            </w:r>
          </w:p>
        </w:tc>
        <w:tc>
          <w:tcPr>
            <w:tcW w:w="3351" w:type="dxa"/>
            <w:shd w:val="clear" w:color="auto" w:fill="17324D"/>
            <w:tcMar>
              <w:top w:w="90" w:type="dxa"/>
              <w:left w:w="100" w:type="dxa"/>
              <w:bottom w:w="90" w:type="dxa"/>
              <w:right w:w="100" w:type="dxa"/>
            </w:tcMar>
            <w:vAlign w:val="center"/>
          </w:tcPr>
          <w:p w14:paraId="670A4B41" w14:textId="77777777" w:rsidR="00AC1B78" w:rsidRDefault="002C0F08">
            <w:pPr>
              <w:spacing w:after="0" w:line="240" w:lineRule="auto"/>
              <w:jc w:val="center"/>
              <w:rPr>
                <w:rFonts w:hint="eastAsia"/>
              </w:rPr>
            </w:pPr>
            <w:r>
              <w:rPr>
                <w:b/>
                <w:color w:val="FFFFFF"/>
                <w:sz w:val="17"/>
              </w:rPr>
              <w:t>Typical use in search</w:t>
            </w:r>
          </w:p>
        </w:tc>
        <w:tc>
          <w:tcPr>
            <w:tcW w:w="3351" w:type="dxa"/>
            <w:shd w:val="clear" w:color="auto" w:fill="17324D"/>
            <w:tcMar>
              <w:top w:w="90" w:type="dxa"/>
              <w:left w:w="100" w:type="dxa"/>
              <w:bottom w:w="90" w:type="dxa"/>
              <w:right w:w="100" w:type="dxa"/>
            </w:tcMar>
            <w:vAlign w:val="center"/>
          </w:tcPr>
          <w:p w14:paraId="10F5EC69" w14:textId="77777777" w:rsidR="00AC1B78" w:rsidRDefault="002C0F08">
            <w:pPr>
              <w:spacing w:after="0" w:line="240" w:lineRule="auto"/>
              <w:jc w:val="center"/>
              <w:rPr>
                <w:rFonts w:hint="eastAsia"/>
              </w:rPr>
            </w:pPr>
            <w:r>
              <w:rPr>
                <w:b/>
                <w:color w:val="FFFFFF"/>
                <w:sz w:val="17"/>
              </w:rPr>
              <w:t>Boundary</w:t>
            </w:r>
          </w:p>
        </w:tc>
      </w:tr>
      <w:tr w:rsidR="00AC1B78" w14:paraId="2E5341FC" w14:textId="77777777">
        <w:trPr>
          <w:jc w:val="center"/>
        </w:trPr>
        <w:tc>
          <w:tcPr>
            <w:tcW w:w="1728" w:type="dxa"/>
            <w:tcMar>
              <w:top w:w="85" w:type="dxa"/>
              <w:left w:w="95" w:type="dxa"/>
              <w:bottom w:w="85" w:type="dxa"/>
              <w:right w:w="95" w:type="dxa"/>
            </w:tcMar>
            <w:vAlign w:val="center"/>
          </w:tcPr>
          <w:p w14:paraId="2150C3EB" w14:textId="77777777" w:rsidR="00AC1B78" w:rsidRDefault="002C0F08">
            <w:pPr>
              <w:spacing w:after="0" w:line="245" w:lineRule="auto"/>
              <w:rPr>
                <w:rFonts w:hint="eastAsia"/>
              </w:rPr>
            </w:pPr>
            <w:r>
              <w:rPr>
                <w:color w:val="1F2933"/>
                <w:sz w:val="17"/>
              </w:rPr>
              <w:t>CIRCLE</w:t>
            </w:r>
          </w:p>
        </w:tc>
        <w:tc>
          <w:tcPr>
            <w:tcW w:w="3456" w:type="dxa"/>
            <w:tcMar>
              <w:top w:w="85" w:type="dxa"/>
              <w:left w:w="95" w:type="dxa"/>
              <w:bottom w:w="85" w:type="dxa"/>
              <w:right w:w="95" w:type="dxa"/>
            </w:tcMar>
            <w:vAlign w:val="center"/>
          </w:tcPr>
          <w:p w14:paraId="3278D747" w14:textId="77777777" w:rsidR="00AC1B78" w:rsidRDefault="002C0F08">
            <w:pPr>
              <w:spacing w:after="0" w:line="245" w:lineRule="auto"/>
              <w:rPr>
                <w:rFonts w:hint="eastAsia"/>
              </w:rPr>
            </w:pPr>
            <w:r>
              <w:rPr>
                <w:color w:val="1F2933"/>
                <w:sz w:val="17"/>
              </w:rPr>
              <w:t>Established explanation, standard reference, verified reusable knowledge</w:t>
            </w:r>
          </w:p>
        </w:tc>
        <w:tc>
          <w:tcPr>
            <w:tcW w:w="3600" w:type="dxa"/>
            <w:tcMar>
              <w:top w:w="85" w:type="dxa"/>
              <w:left w:w="95" w:type="dxa"/>
              <w:bottom w:w="85" w:type="dxa"/>
              <w:right w:w="95" w:type="dxa"/>
            </w:tcMar>
            <w:vAlign w:val="center"/>
          </w:tcPr>
          <w:p w14:paraId="60E78E84" w14:textId="77777777" w:rsidR="00AC1B78" w:rsidRDefault="002C0F08">
            <w:pPr>
              <w:spacing w:after="0" w:line="245" w:lineRule="auto"/>
              <w:rPr>
                <w:rFonts w:hint="eastAsia"/>
              </w:rPr>
            </w:pPr>
            <w:r>
              <w:rPr>
                <w:color w:val="1F2933"/>
                <w:sz w:val="17"/>
              </w:rPr>
              <w:t>Does not imply universal authority outside its declared domain.</w:t>
            </w:r>
          </w:p>
        </w:tc>
      </w:tr>
      <w:tr w:rsidR="00AC1B78" w14:paraId="5A09F29C" w14:textId="77777777">
        <w:trPr>
          <w:jc w:val="center"/>
        </w:trPr>
        <w:tc>
          <w:tcPr>
            <w:tcW w:w="1728" w:type="dxa"/>
            <w:shd w:val="clear" w:color="auto" w:fill="F7F9FB"/>
            <w:tcMar>
              <w:top w:w="85" w:type="dxa"/>
              <w:left w:w="95" w:type="dxa"/>
              <w:bottom w:w="85" w:type="dxa"/>
              <w:right w:w="95" w:type="dxa"/>
            </w:tcMar>
            <w:vAlign w:val="center"/>
          </w:tcPr>
          <w:p w14:paraId="4B1726D4" w14:textId="77777777" w:rsidR="00AC1B78" w:rsidRDefault="002C0F08">
            <w:pPr>
              <w:spacing w:after="0" w:line="245" w:lineRule="auto"/>
              <w:rPr>
                <w:rFonts w:hint="eastAsia"/>
              </w:rPr>
            </w:pPr>
            <w:r>
              <w:rPr>
                <w:color w:val="1F2933"/>
                <w:sz w:val="17"/>
              </w:rPr>
              <w:t>FRINGE</w:t>
            </w:r>
          </w:p>
        </w:tc>
        <w:tc>
          <w:tcPr>
            <w:tcW w:w="3456" w:type="dxa"/>
            <w:shd w:val="clear" w:color="auto" w:fill="F7F9FB"/>
            <w:tcMar>
              <w:top w:w="85" w:type="dxa"/>
              <w:left w:w="95" w:type="dxa"/>
              <w:bottom w:w="85" w:type="dxa"/>
              <w:right w:w="95" w:type="dxa"/>
            </w:tcMar>
            <w:vAlign w:val="center"/>
          </w:tcPr>
          <w:p w14:paraId="52397B64" w14:textId="77777777" w:rsidR="00AC1B78" w:rsidRDefault="002C0F08">
            <w:pPr>
              <w:spacing w:after="0" w:line="245" w:lineRule="auto"/>
              <w:rPr>
                <w:rFonts w:hint="eastAsia"/>
              </w:rPr>
            </w:pPr>
            <w:r>
              <w:rPr>
                <w:color w:val="1F2933"/>
                <w:sz w:val="17"/>
              </w:rPr>
              <w:t>Experimental, developing, unresolved, field-testing material</w:t>
            </w:r>
          </w:p>
        </w:tc>
        <w:tc>
          <w:tcPr>
            <w:tcW w:w="3600" w:type="dxa"/>
            <w:shd w:val="clear" w:color="auto" w:fill="F7F9FB"/>
            <w:tcMar>
              <w:top w:w="85" w:type="dxa"/>
              <w:left w:w="95" w:type="dxa"/>
              <w:bottom w:w="85" w:type="dxa"/>
              <w:right w:w="95" w:type="dxa"/>
            </w:tcMar>
            <w:vAlign w:val="center"/>
          </w:tcPr>
          <w:p w14:paraId="023F8625" w14:textId="77777777" w:rsidR="00AC1B78" w:rsidRDefault="002C0F08">
            <w:pPr>
              <w:spacing w:after="0" w:line="245" w:lineRule="auto"/>
              <w:rPr>
                <w:rFonts w:hint="eastAsia"/>
              </w:rPr>
            </w:pPr>
            <w:r>
              <w:rPr>
                <w:color w:val="1F2933"/>
                <w:sz w:val="17"/>
              </w:rPr>
              <w:t>Should remain distinguishable from established acceptance.</w:t>
            </w:r>
          </w:p>
        </w:tc>
      </w:tr>
      <w:tr w:rsidR="00AC1B78" w14:paraId="71D2341A" w14:textId="77777777">
        <w:trPr>
          <w:jc w:val="center"/>
        </w:trPr>
        <w:tc>
          <w:tcPr>
            <w:tcW w:w="1728" w:type="dxa"/>
            <w:tcMar>
              <w:top w:w="85" w:type="dxa"/>
              <w:left w:w="95" w:type="dxa"/>
              <w:bottom w:w="85" w:type="dxa"/>
              <w:right w:w="95" w:type="dxa"/>
            </w:tcMar>
            <w:vAlign w:val="center"/>
          </w:tcPr>
          <w:p w14:paraId="4AAD3B37" w14:textId="77777777" w:rsidR="00AC1B78" w:rsidRDefault="002C0F08">
            <w:pPr>
              <w:spacing w:after="0" w:line="245" w:lineRule="auto"/>
              <w:rPr>
                <w:rFonts w:hint="eastAsia"/>
              </w:rPr>
            </w:pPr>
            <w:r>
              <w:rPr>
                <w:color w:val="1F2933"/>
                <w:sz w:val="17"/>
              </w:rPr>
              <w:t>FASK</w:t>
            </w:r>
          </w:p>
        </w:tc>
        <w:tc>
          <w:tcPr>
            <w:tcW w:w="3456" w:type="dxa"/>
            <w:tcMar>
              <w:top w:w="85" w:type="dxa"/>
              <w:left w:w="95" w:type="dxa"/>
              <w:bottom w:w="85" w:type="dxa"/>
              <w:right w:w="95" w:type="dxa"/>
            </w:tcMar>
            <w:vAlign w:val="center"/>
          </w:tcPr>
          <w:p w14:paraId="72C59713" w14:textId="77777777" w:rsidR="00AC1B78" w:rsidRDefault="002C0F08">
            <w:pPr>
              <w:spacing w:after="0" w:line="245" w:lineRule="auto"/>
              <w:rPr>
                <w:rFonts w:hint="eastAsia"/>
              </w:rPr>
            </w:pPr>
            <w:r>
              <w:rPr>
                <w:color w:val="1F2933"/>
                <w:sz w:val="17"/>
              </w:rPr>
              <w:t>Speculative, fantasy, counterfactual, alternative-system exploration</w:t>
            </w:r>
          </w:p>
        </w:tc>
        <w:tc>
          <w:tcPr>
            <w:tcW w:w="3600" w:type="dxa"/>
            <w:tcMar>
              <w:top w:w="85" w:type="dxa"/>
              <w:left w:w="95" w:type="dxa"/>
              <w:bottom w:w="85" w:type="dxa"/>
              <w:right w:w="95" w:type="dxa"/>
            </w:tcMar>
            <w:vAlign w:val="center"/>
          </w:tcPr>
          <w:p w14:paraId="2141BBE6" w14:textId="77777777" w:rsidR="00AC1B78" w:rsidRDefault="002C0F08">
            <w:pPr>
              <w:spacing w:after="0" w:line="245" w:lineRule="auto"/>
              <w:rPr>
                <w:rFonts w:hint="eastAsia"/>
              </w:rPr>
            </w:pPr>
            <w:r>
              <w:rPr>
                <w:color w:val="1F2933"/>
                <w:sz w:val="17"/>
              </w:rPr>
              <w:t>May be highly useful for ideation while remaining noncanonical for factual claims.</w:t>
            </w:r>
          </w:p>
        </w:tc>
      </w:tr>
    </w:tbl>
    <w:p w14:paraId="2825C993" w14:textId="77777777" w:rsidR="00AC1B78" w:rsidRDefault="00AC1B78">
      <w:pPr>
        <w:spacing w:after="40"/>
        <w:rPr>
          <w:rFonts w:hint="eastAsia"/>
        </w:rPr>
      </w:pPr>
    </w:p>
    <w:p w14:paraId="4CB2D71B" w14:textId="77777777" w:rsidR="00AC1B78" w:rsidRDefault="002C0F08">
      <w:pPr>
        <w:pStyle w:val="Heading1"/>
        <w:spacing w:before="200" w:after="100" w:line="240" w:lineRule="auto"/>
      </w:pPr>
      <w:r>
        <w:rPr>
          <w:rFonts w:ascii="Carlito" w:hAnsi="Carlito"/>
        </w:rPr>
        <w:t>22. Permission-Bounded Retrieval</w:t>
      </w:r>
    </w:p>
    <w:p w14:paraId="03F30453" w14:textId="77777777" w:rsidR="00AC1B78" w:rsidRDefault="002C0F08">
      <w:pPr>
        <w:spacing w:after="120" w:line="259" w:lineRule="auto"/>
        <w:rPr>
          <w:rFonts w:hint="eastAsia"/>
        </w:rPr>
      </w:pPr>
      <w:r>
        <w:rPr>
          <w:color w:val="1F2933"/>
        </w:rPr>
        <w:t>Permissions constrain routing before disclosure. Unauthorized branches, bundle names, source counts, or hidden semantic targets must not leak through relevance scoring or autocomplete. A semantic search plan should be computed over the knowledge graph visible to the active user or agent. When a hidden candidate would otherwise change the ambiguity state, the user-facing result should reveal only the accessible resolution state.</w:t>
      </w:r>
    </w:p>
    <w:p w14:paraId="1CF98BA4" w14:textId="77777777" w:rsidR="00AC1B78" w:rsidRDefault="002C0F08">
      <w:pPr>
        <w:pStyle w:val="Heading1"/>
        <w:spacing w:before="200" w:after="100" w:line="240" w:lineRule="auto"/>
      </w:pPr>
      <w:r>
        <w:rPr>
          <w:rFonts w:ascii="Carlito" w:hAnsi="Carlito"/>
        </w:rPr>
        <w:t>Part IV - GROOVE Retrieval and Progressive Attention</w:t>
      </w:r>
    </w:p>
    <w:p w14:paraId="2C6EE1DB" w14:textId="77777777" w:rsidR="00AC1B78" w:rsidRDefault="002C0F08">
      <w:pPr>
        <w:pStyle w:val="Heading1"/>
        <w:spacing w:before="200" w:after="100" w:line="240" w:lineRule="auto"/>
      </w:pPr>
      <w:r>
        <w:rPr>
          <w:rFonts w:ascii="Carlito" w:hAnsi="Carlito"/>
        </w:rPr>
        <w:t>23. 00 Knowledge Bundles</w:t>
      </w:r>
    </w:p>
    <w:p w14:paraId="34DB48C7" w14:textId="77777777" w:rsidR="00AC1B78" w:rsidRDefault="002C0F08">
      <w:pPr>
        <w:spacing w:after="120" w:line="259" w:lineRule="auto"/>
        <w:rPr>
          <w:rFonts w:hint="eastAsia"/>
        </w:rPr>
      </w:pPr>
      <w:r>
        <w:rPr>
          <w:color w:val="1F2933"/>
        </w:rPr>
        <w:t>The 00 layer is where routing turns into bounded knowledge retrieval. A domain 000 may expose several local 00 manifests. Each 00 can contain a GROOVE map of source Entries, relation types, canonical ownership notes, branch-conditioned descriptions, Master artifacts, Models, Operators, Rules, FASKs, and external bridges. The search runtime should stop expanding semantic categories when the 00 neighborhood is already precise enough to answer the question.</w:t>
      </w:r>
    </w:p>
    <w:p w14:paraId="5B83D94D" w14:textId="77777777" w:rsidR="00AC1B78" w:rsidRDefault="002C0F08">
      <w:pPr>
        <w:spacing w:after="120" w:line="259" w:lineRule="auto"/>
        <w:rPr>
          <w:rFonts w:hint="eastAsia"/>
        </w:rPr>
      </w:pPr>
      <w:r>
        <w:rPr>
          <w:color w:val="1F2933"/>
        </w:rPr>
        <w:t>Because documents can participate in multiple GROOVE bundles, 00 membership is a semantic projection rather than physical file ownership. A single source can appear in Biology, Materials, and Food Science neighborhoods through different branch-conditioned descriptions while preserving one stable source identity.</w:t>
      </w:r>
    </w:p>
    <w:p w14:paraId="6C344519" w14:textId="77777777" w:rsidR="00AC1B78" w:rsidRDefault="002C0F08">
      <w:pPr>
        <w:pStyle w:val="Heading1"/>
        <w:spacing w:before="200" w:after="100" w:line="240" w:lineRule="auto"/>
      </w:pPr>
      <w:r>
        <w:rPr>
          <w:rFonts w:ascii="Carlito" w:hAnsi="Carlito"/>
        </w:rPr>
        <w:t>24. Saved GROOVE Coordinates</w:t>
      </w:r>
    </w:p>
    <w:p w14:paraId="2C4BC007" w14:textId="77777777" w:rsidR="00AC1B78" w:rsidRDefault="002C0F08">
      <w:pPr>
        <w:spacing w:after="120" w:line="259" w:lineRule="auto"/>
        <w:rPr>
          <w:rFonts w:hint="eastAsia"/>
        </w:rPr>
      </w:pPr>
      <w:r>
        <w:rPr>
          <w:color w:val="1F2933"/>
        </w:rPr>
        <w:t>Saved GROOVE projections let the search runtime compare a query path against semantic work performed earlier. Instead of visually or textually parsing every source during every query, the runtime can first inspect each Entry identity, Routing SK coordinates, branch descriptions, relations, source locator, version, and review status. This is the practical expression of Semantic Work Persistence: expensive interpretation can become reusable search infrastructure.</w:t>
      </w:r>
    </w:p>
    <w:p w14:paraId="71128E41" w14:textId="77777777" w:rsidR="00AC1B78" w:rsidRDefault="002C0F08">
      <w:pPr>
        <w:pStyle w:val="Heading1"/>
        <w:spacing w:before="200" w:after="100" w:line="240" w:lineRule="auto"/>
      </w:pPr>
      <w:r>
        <w:rPr>
          <w:rFonts w:ascii="Carlito" w:hAnsi="Carlito"/>
        </w:rPr>
        <w:t>25. Document-Level Semantic Matching</w:t>
      </w:r>
    </w:p>
    <w:p w14:paraId="6FE838EA" w14:textId="77777777" w:rsidR="00AC1B78" w:rsidRDefault="002C0F08">
      <w:pPr>
        <w:spacing w:after="120" w:line="259" w:lineRule="auto"/>
        <w:rPr>
          <w:rFonts w:hint="eastAsia"/>
        </w:rPr>
      </w:pPr>
      <w:r>
        <w:rPr>
          <w:color w:val="1F2933"/>
        </w:rPr>
        <w:t>After routing reaches a relevant 00 neighborhood, the query route can be compared with document-level GROOVE coordinates. Documents whose semantic branches strongly overlap the active query path receive higher relevance. Documents with no relevant route intersection can fall out before source text is read. The comparison may include exact route identity, ancestor/descendant relationships, cross-GROOVE intersections, semantic enrichment, and branch-conditioned relevance.</w:t>
      </w:r>
    </w:p>
    <w:p w14:paraId="3ADC5907" w14:textId="77777777" w:rsidR="00AC1B78" w:rsidRDefault="002C0F08">
      <w:pPr>
        <w:pStyle w:val="Heading1"/>
        <w:spacing w:before="200" w:after="100" w:line="240" w:lineRule="auto"/>
      </w:pPr>
      <w:r>
        <w:rPr>
          <w:rFonts w:ascii="Carlito" w:hAnsi="Carlito"/>
        </w:rPr>
        <w:t>26. Branch-Conditioned Descriptions</w:t>
      </w:r>
    </w:p>
    <w:p w14:paraId="32502A4D" w14:textId="77777777" w:rsidR="00AC1B78" w:rsidRDefault="002C0F08">
      <w:pPr>
        <w:spacing w:after="120" w:line="259" w:lineRule="auto"/>
        <w:rPr>
          <w:rFonts w:hint="eastAsia"/>
        </w:rPr>
      </w:pPr>
      <w:r>
        <w:rPr>
          <w:color w:val="1F2933"/>
        </w:rPr>
        <w:t>A branch-conditioned description explains why one source belongs in one semantic bundle. It is deliberately smaller than the source and more specific than a generic summary. The same document can therefore have separate descriptions for Materials, Biology, or History without duplicating the source itself. During retrieval, these compact descriptions provide a warm read: the LLM can decide which sources deserve a cold full-fidelity reopen.</w:t>
      </w:r>
    </w:p>
    <w:p w14:paraId="48738DC2" w14:textId="77777777" w:rsidR="00AC1B78" w:rsidRDefault="002C0F08">
      <w:pPr>
        <w:pStyle w:val="Heading1"/>
        <w:spacing w:before="200" w:after="100" w:line="240" w:lineRule="auto"/>
      </w:pPr>
      <w:r>
        <w:rPr>
          <w:rFonts w:ascii="Carlito" w:hAnsi="Carlito"/>
        </w:rPr>
        <w:t>27. Retrieval Funnel</w:t>
      </w:r>
    </w:p>
    <w:p w14:paraId="141237C0" w14:textId="77777777" w:rsidR="00AC1B78" w:rsidRDefault="002C0F08">
      <w:pPr>
        <w:spacing w:after="120" w:line="259" w:lineRule="auto"/>
        <w:rPr>
          <w:rFonts w:hint="eastAsia"/>
        </w:rPr>
      </w:pPr>
      <w:r>
        <w:rPr>
          <w:color w:val="1F2933"/>
        </w:rPr>
        <w:t>The retrieval funnel progressively increases processing cost while reducing candidate count. Routing SK evaluation is cheapest and broadest. GROOVE coordinate matching is slightly richer. Branch-conditioned descriptions add prose. Selective source reopening loads original documents, images, or other artifacts. Full LLM reasoning occurs last. The architecture intentionally spends the most expensive computation on the smallest candidate set.</w:t>
      </w:r>
    </w:p>
    <w:p w14:paraId="19F18649" w14:textId="77777777" w:rsidR="00AC1B78" w:rsidRDefault="002C0F08">
      <w:pPr>
        <w:keepNext/>
        <w:spacing w:before="80" w:after="60" w:line="240" w:lineRule="auto"/>
        <w:jc w:val="center"/>
        <w:rPr>
          <w:rFonts w:hint="eastAsia"/>
        </w:rPr>
      </w:pPr>
      <w:r>
        <w:rPr>
          <w:noProof/>
        </w:rPr>
        <w:drawing>
          <wp:inline distT="0" distB="0" distL="0" distR="0" wp14:anchorId="03C78D3E" wp14:editId="1982302F">
            <wp:extent cx="5897880" cy="3460365"/>
            <wp:effectExtent l="0" t="0" r="0" b="0"/>
            <wp:docPr id="10" name="Picture 10" descr="The interface narrows 427 Entries to 84 by semantic coordinates, to 21 by branch descriptions, to 11 by authority and applicability, and finally to five reopened sources. An illustrative token-cost panel contrasts the full corpus with the text actually opened." title="Figure 8: GROOVE Retrieval 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retrieval_funnel.png"/>
                    <pic:cNvPicPr/>
                  </pic:nvPicPr>
                  <pic:blipFill>
                    <a:blip r:embed="rId17"/>
                    <a:stretch>
                      <a:fillRect/>
                    </a:stretch>
                  </pic:blipFill>
                  <pic:spPr>
                    <a:xfrm>
                      <a:off x="0" y="0"/>
                      <a:ext cx="5897880" cy="3460365"/>
                    </a:xfrm>
                    <a:prstGeom prst="rect">
                      <a:avLst/>
                    </a:prstGeom>
                  </pic:spPr>
                </pic:pic>
              </a:graphicData>
            </a:graphic>
          </wp:inline>
        </w:drawing>
      </w:r>
    </w:p>
    <w:p w14:paraId="61B96793" w14:textId="77777777" w:rsidR="00AC1B78" w:rsidRDefault="002C0F08">
      <w:pPr>
        <w:keepLines/>
        <w:spacing w:after="160" w:line="245" w:lineRule="auto"/>
        <w:rPr>
          <w:rFonts w:hint="eastAsia"/>
        </w:rPr>
      </w:pPr>
      <w:r>
        <w:rPr>
          <w:b/>
          <w:color w:val="17324D"/>
          <w:sz w:val="17"/>
        </w:rPr>
        <w:t xml:space="preserve">Figure 8. GROOVE Retrieval Funnel. </w:t>
      </w:r>
      <w:r>
        <w:rPr>
          <w:color w:val="6B7785"/>
          <w:sz w:val="17"/>
        </w:rPr>
        <w:t>The interface narrows 427 Entries to 84 by semantic coordinates, to 21 by branch descriptions, to 11 by authority and applicability, and finally to five reopened sources. An illustrative token-cost panel contrasts the full corpus with the text actually opened.</w:t>
      </w:r>
    </w:p>
    <w:tbl>
      <w:tblPr>
        <w:tblW w:w="0" w:type="auto"/>
        <w:jc w:val="center"/>
        <w:tblLayout w:type="fixed"/>
        <w:tblLook w:val="04A0" w:firstRow="1" w:lastRow="0" w:firstColumn="1" w:lastColumn="0" w:noHBand="0" w:noVBand="1"/>
      </w:tblPr>
      <w:tblGrid>
        <w:gridCol w:w="5026"/>
        <w:gridCol w:w="5026"/>
      </w:tblGrid>
      <w:tr w:rsidR="00AC1B78" w14:paraId="14F02328" w14:textId="77777777">
        <w:trPr>
          <w:tblHeader/>
          <w:jc w:val="center"/>
        </w:trPr>
        <w:tc>
          <w:tcPr>
            <w:tcW w:w="5026" w:type="dxa"/>
            <w:shd w:val="clear" w:color="auto" w:fill="1F8A8A"/>
            <w:tcMar>
              <w:top w:w="60" w:type="dxa"/>
              <w:left w:w="40" w:type="dxa"/>
              <w:bottom w:w="60" w:type="dxa"/>
              <w:right w:w="40" w:type="dxa"/>
            </w:tcMar>
          </w:tcPr>
          <w:p w14:paraId="20C75011" w14:textId="77777777" w:rsidR="00AC1B78" w:rsidRDefault="00AC1B78">
            <w:pPr>
              <w:rPr>
                <w:rFonts w:hint="eastAsia"/>
              </w:rPr>
            </w:pPr>
          </w:p>
        </w:tc>
        <w:tc>
          <w:tcPr>
            <w:tcW w:w="5026" w:type="dxa"/>
            <w:shd w:val="clear" w:color="auto" w:fill="E6F4F4"/>
            <w:tcMar>
              <w:top w:w="110" w:type="dxa"/>
              <w:left w:w="140" w:type="dxa"/>
              <w:bottom w:w="110" w:type="dxa"/>
              <w:right w:w="140" w:type="dxa"/>
            </w:tcMar>
          </w:tcPr>
          <w:p w14:paraId="1957519A" w14:textId="77777777" w:rsidR="00AC1B78" w:rsidRDefault="002C0F08">
            <w:pPr>
              <w:spacing w:after="40" w:line="252" w:lineRule="auto"/>
              <w:rPr>
                <w:rFonts w:hint="eastAsia"/>
              </w:rPr>
            </w:pPr>
            <w:r>
              <w:rPr>
                <w:b/>
                <w:color w:val="1F8A8A"/>
                <w:sz w:val="18"/>
              </w:rPr>
              <w:t>PROGRESSIVE ATTENTION PRINCIPLE</w:t>
            </w:r>
          </w:p>
          <w:p w14:paraId="45E247FA" w14:textId="77777777" w:rsidR="00AC1B78" w:rsidRDefault="002C0F08">
            <w:pPr>
              <w:spacing w:after="0" w:line="259" w:lineRule="auto"/>
              <w:rPr>
                <w:rFonts w:hint="eastAsia"/>
              </w:rPr>
            </w:pPr>
            <w:r>
              <w:rPr>
                <w:color w:val="1F2933"/>
                <w:sz w:val="19"/>
              </w:rPr>
              <w:t>Increasingly expensive processing SHOULD be reserved for increasingly smaller, more relevant candidate sets.</w:t>
            </w:r>
          </w:p>
        </w:tc>
      </w:tr>
    </w:tbl>
    <w:p w14:paraId="5B816722" w14:textId="77777777" w:rsidR="00AC1B78" w:rsidRDefault="00AC1B78">
      <w:pPr>
        <w:spacing w:after="40"/>
        <w:rPr>
          <w:rFonts w:hint="eastAsia"/>
        </w:rPr>
      </w:pPr>
    </w:p>
    <w:p w14:paraId="0E5E66A3" w14:textId="77777777" w:rsidR="00AC1B78" w:rsidRDefault="002C0F08">
      <w:pPr>
        <w:pStyle w:val="Heading1"/>
        <w:spacing w:before="200" w:after="100" w:line="240" w:lineRule="auto"/>
      </w:pPr>
      <w:r>
        <w:rPr>
          <w:rFonts w:ascii="Carlito" w:hAnsi="Carlito"/>
        </w:rPr>
        <w:t>28. Selective Source Reopening</w:t>
      </w:r>
    </w:p>
    <w:p w14:paraId="5694222D" w14:textId="77777777" w:rsidR="00AC1B78" w:rsidRDefault="002C0F08">
      <w:pPr>
        <w:spacing w:after="120" w:line="259" w:lineRule="auto"/>
        <w:rPr>
          <w:rFonts w:hint="eastAsia"/>
        </w:rPr>
      </w:pPr>
      <w:r>
        <w:rPr>
          <w:color w:val="1F2933"/>
        </w:rPr>
        <w:t>GROOVE metadata is not the final factual authority. When the answer depends on specific evidence, the runtime should reopen the selected original Entries. A document link focuses the actual file; a GROOVE location description provides a semantic landing zone; the LLM reads the local source context. This preserves the principle that GROOVE points while the artifact grounds.</w:t>
      </w:r>
    </w:p>
    <w:p w14:paraId="0BF00393" w14:textId="77777777" w:rsidR="00AC1B78" w:rsidRDefault="002C0F08">
      <w:pPr>
        <w:pStyle w:val="Heading1"/>
        <w:spacing w:before="200" w:after="100" w:line="240" w:lineRule="auto"/>
      </w:pPr>
      <w:r>
        <w:rPr>
          <w:rFonts w:ascii="Carlito" w:hAnsi="Carlito"/>
        </w:rPr>
        <w:t>29. Token Attention</w:t>
      </w:r>
    </w:p>
    <w:p w14:paraId="11C5CF1C" w14:textId="77777777" w:rsidR="00AC1B78" w:rsidRDefault="002C0F08">
      <w:pPr>
        <w:spacing w:after="120" w:line="259" w:lineRule="auto"/>
        <w:rPr>
          <w:rFonts w:hint="eastAsia"/>
        </w:rPr>
      </w:pPr>
      <w:r>
        <w:rPr>
          <w:color w:val="1F2933"/>
        </w:rPr>
        <w:t>Token attention begins only after semantic routing has made the candidate space small enough to justify high-fidelity reading. The final LLM context may include the original request, semantic search plan, active route trace, selected GROOVE descriptions, source excerpts, applicable Models or Rules, and unresolved alternatives. The token budget can therefore be allocated to reasoning rather than to rediscovering the corpus map.</w:t>
      </w:r>
    </w:p>
    <w:p w14:paraId="6CA71B31" w14:textId="77777777" w:rsidR="00AC1B78" w:rsidRDefault="002C0F08">
      <w:pPr>
        <w:pStyle w:val="Heading1"/>
        <w:spacing w:before="200" w:after="100" w:line="240" w:lineRule="auto"/>
      </w:pPr>
      <w:r>
        <w:rPr>
          <w:rFonts w:ascii="Carlito" w:hAnsi="Carlito"/>
        </w:rPr>
        <w:t>Part V - Semantic Search Execution</w:t>
      </w:r>
    </w:p>
    <w:p w14:paraId="61CB2594" w14:textId="77777777" w:rsidR="00AC1B78" w:rsidRDefault="002C0F08">
      <w:pPr>
        <w:pStyle w:val="Heading1"/>
        <w:spacing w:before="200" w:after="100" w:line="240" w:lineRule="auto"/>
      </w:pPr>
      <w:r>
        <w:rPr>
          <w:rFonts w:ascii="Carlito" w:hAnsi="Carlito"/>
        </w:rPr>
        <w:t>30. Semantic Search Plan</w:t>
      </w:r>
    </w:p>
    <w:p w14:paraId="496D857E" w14:textId="77777777" w:rsidR="00AC1B78" w:rsidRDefault="002C0F08">
      <w:pPr>
        <w:spacing w:after="120" w:line="259" w:lineRule="auto"/>
        <w:rPr>
          <w:rFonts w:hint="eastAsia"/>
        </w:rPr>
      </w:pPr>
      <w:r>
        <w:rPr>
          <w:color w:val="1F2933"/>
        </w:rPr>
        <w:t>A Semantic Search Plan is the compact execution graph produced before source retrieval. It declares active semantic routes, intent, context, epistemic layers, relevance thresholds, authority constraints, applicable GROOVE stores, maximum frontier size, source-reopen policy, and token budget. It is not necessarily persisted forever, but it should be inspectable during execution and may be saved when useful for repeatable query families.</w:t>
      </w:r>
    </w:p>
    <w:p w14:paraId="09A70DBD" w14:textId="77777777" w:rsidR="00AC1B78" w:rsidRDefault="002C0F08">
      <w:pPr>
        <w:keepNext/>
        <w:spacing w:before="80" w:after="60" w:line="240" w:lineRule="auto"/>
        <w:jc w:val="center"/>
        <w:rPr>
          <w:rFonts w:hint="eastAsia"/>
        </w:rPr>
      </w:pPr>
      <w:r>
        <w:rPr>
          <w:noProof/>
        </w:rPr>
        <w:drawing>
          <wp:inline distT="0" distB="0" distL="0" distR="0" wp14:anchorId="327F3871" wp14:editId="55A517D3">
            <wp:extent cx="5897880" cy="3460365"/>
            <wp:effectExtent l="0" t="0" r="0" b="0"/>
            <wp:docPr id="11" name="Picture 11" descr="The builder shows active routes, allowed epistemic layers, a drop threshold, frontier limit, authority floor, and token budget before the search runs. The plan exposes configuration rather than hiding the retrieval strategy in model state." title="Figure 7: Semantic Search Plan 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search_plan.png"/>
                    <pic:cNvPicPr/>
                  </pic:nvPicPr>
                  <pic:blipFill>
                    <a:blip r:embed="rId18"/>
                    <a:stretch>
                      <a:fillRect/>
                    </a:stretch>
                  </pic:blipFill>
                  <pic:spPr>
                    <a:xfrm>
                      <a:off x="0" y="0"/>
                      <a:ext cx="5897880" cy="3460365"/>
                    </a:xfrm>
                    <a:prstGeom prst="rect">
                      <a:avLst/>
                    </a:prstGeom>
                  </pic:spPr>
                </pic:pic>
              </a:graphicData>
            </a:graphic>
          </wp:inline>
        </w:drawing>
      </w:r>
    </w:p>
    <w:p w14:paraId="68C6D2C4" w14:textId="77777777" w:rsidR="00AC1B78" w:rsidRDefault="002C0F08">
      <w:pPr>
        <w:keepLines/>
        <w:spacing w:after="160" w:line="245" w:lineRule="auto"/>
        <w:rPr>
          <w:rFonts w:hint="eastAsia"/>
        </w:rPr>
      </w:pPr>
      <w:r>
        <w:rPr>
          <w:b/>
          <w:color w:val="17324D"/>
          <w:sz w:val="17"/>
        </w:rPr>
        <w:t xml:space="preserve">Figure 7. Semantic Search Plan Builder. </w:t>
      </w:r>
      <w:r>
        <w:rPr>
          <w:color w:val="6B7785"/>
          <w:sz w:val="17"/>
        </w:rPr>
        <w:t>The builder shows active routes, allowed epistemic layers, a drop threshold, frontier limit, authority floor, and token budget before the search runs. The plan exposes configuration rather than hiding the retrieval strategy in model state.</w:t>
      </w:r>
    </w:p>
    <w:tbl>
      <w:tblPr>
        <w:tblW w:w="0" w:type="auto"/>
        <w:jc w:val="center"/>
        <w:tblLayout w:type="fixed"/>
        <w:tblLook w:val="04A0" w:firstRow="1" w:lastRow="0" w:firstColumn="1" w:lastColumn="0" w:noHBand="0" w:noVBand="1"/>
      </w:tblPr>
      <w:tblGrid>
        <w:gridCol w:w="5026"/>
        <w:gridCol w:w="6624"/>
      </w:tblGrid>
      <w:tr w:rsidR="00AC1B78" w14:paraId="35556469" w14:textId="77777777">
        <w:trPr>
          <w:tblHeader/>
          <w:jc w:val="center"/>
        </w:trPr>
        <w:tc>
          <w:tcPr>
            <w:tcW w:w="5026" w:type="dxa"/>
            <w:shd w:val="clear" w:color="auto" w:fill="17324D"/>
            <w:tcMar>
              <w:top w:w="90" w:type="dxa"/>
              <w:left w:w="100" w:type="dxa"/>
              <w:bottom w:w="90" w:type="dxa"/>
              <w:right w:w="100" w:type="dxa"/>
            </w:tcMar>
            <w:vAlign w:val="center"/>
          </w:tcPr>
          <w:p w14:paraId="2E909181" w14:textId="77777777" w:rsidR="00AC1B78" w:rsidRDefault="002C0F08">
            <w:pPr>
              <w:spacing w:after="0" w:line="240" w:lineRule="auto"/>
              <w:jc w:val="center"/>
              <w:rPr>
                <w:rFonts w:hint="eastAsia"/>
              </w:rPr>
            </w:pPr>
            <w:r>
              <w:rPr>
                <w:b/>
                <w:color w:val="FFFFFF"/>
                <w:sz w:val="17"/>
              </w:rPr>
              <w:t>Search Plan field</w:t>
            </w:r>
          </w:p>
        </w:tc>
        <w:tc>
          <w:tcPr>
            <w:tcW w:w="5026" w:type="dxa"/>
            <w:shd w:val="clear" w:color="auto" w:fill="17324D"/>
            <w:tcMar>
              <w:top w:w="90" w:type="dxa"/>
              <w:left w:w="100" w:type="dxa"/>
              <w:bottom w:w="90" w:type="dxa"/>
              <w:right w:w="100" w:type="dxa"/>
            </w:tcMar>
            <w:vAlign w:val="center"/>
          </w:tcPr>
          <w:p w14:paraId="7B2AD5B4" w14:textId="77777777" w:rsidR="00AC1B78" w:rsidRDefault="002C0F08">
            <w:pPr>
              <w:spacing w:after="0" w:line="240" w:lineRule="auto"/>
              <w:jc w:val="center"/>
              <w:rPr>
                <w:rFonts w:hint="eastAsia"/>
              </w:rPr>
            </w:pPr>
            <w:r>
              <w:rPr>
                <w:b/>
                <w:color w:val="FFFFFF"/>
                <w:sz w:val="17"/>
              </w:rPr>
              <w:t>Meaning</w:t>
            </w:r>
          </w:p>
        </w:tc>
      </w:tr>
      <w:tr w:rsidR="00AC1B78" w14:paraId="0AF3CB23" w14:textId="77777777">
        <w:trPr>
          <w:jc w:val="center"/>
        </w:trPr>
        <w:tc>
          <w:tcPr>
            <w:tcW w:w="2232" w:type="dxa"/>
            <w:tcMar>
              <w:top w:w="85" w:type="dxa"/>
              <w:left w:w="95" w:type="dxa"/>
              <w:bottom w:w="85" w:type="dxa"/>
              <w:right w:w="95" w:type="dxa"/>
            </w:tcMar>
            <w:vAlign w:val="center"/>
          </w:tcPr>
          <w:p w14:paraId="27F9D9F3" w14:textId="77777777" w:rsidR="00AC1B78" w:rsidRDefault="002C0F08">
            <w:pPr>
              <w:spacing w:after="0" w:line="245" w:lineRule="auto"/>
              <w:rPr>
                <w:rFonts w:hint="eastAsia"/>
              </w:rPr>
            </w:pPr>
            <w:r>
              <w:rPr>
                <w:color w:val="1F2933"/>
                <w:sz w:val="17"/>
              </w:rPr>
              <w:t>Query ID</w:t>
            </w:r>
          </w:p>
        </w:tc>
        <w:tc>
          <w:tcPr>
            <w:tcW w:w="6624" w:type="dxa"/>
            <w:tcMar>
              <w:top w:w="85" w:type="dxa"/>
              <w:left w:w="95" w:type="dxa"/>
              <w:bottom w:w="85" w:type="dxa"/>
              <w:right w:w="95" w:type="dxa"/>
            </w:tcMar>
            <w:vAlign w:val="center"/>
          </w:tcPr>
          <w:p w14:paraId="372B15E5" w14:textId="77777777" w:rsidR="00AC1B78" w:rsidRDefault="002C0F08">
            <w:pPr>
              <w:spacing w:after="0" w:line="245" w:lineRule="auto"/>
              <w:rPr>
                <w:rFonts w:hint="eastAsia"/>
              </w:rPr>
            </w:pPr>
            <w:r>
              <w:rPr>
                <w:color w:val="1F2933"/>
                <w:sz w:val="17"/>
              </w:rPr>
              <w:t>Stable operational identity for trace and comparison.</w:t>
            </w:r>
          </w:p>
        </w:tc>
      </w:tr>
      <w:tr w:rsidR="00AC1B78" w14:paraId="675AB552" w14:textId="77777777">
        <w:trPr>
          <w:jc w:val="center"/>
        </w:trPr>
        <w:tc>
          <w:tcPr>
            <w:tcW w:w="2232" w:type="dxa"/>
            <w:shd w:val="clear" w:color="auto" w:fill="F7F9FB"/>
            <w:tcMar>
              <w:top w:w="85" w:type="dxa"/>
              <w:left w:w="95" w:type="dxa"/>
              <w:bottom w:w="85" w:type="dxa"/>
              <w:right w:w="95" w:type="dxa"/>
            </w:tcMar>
            <w:vAlign w:val="center"/>
          </w:tcPr>
          <w:p w14:paraId="45C4A221" w14:textId="77777777" w:rsidR="00AC1B78" w:rsidRDefault="002C0F08">
            <w:pPr>
              <w:spacing w:after="0" w:line="245" w:lineRule="auto"/>
              <w:rPr>
                <w:rFonts w:hint="eastAsia"/>
              </w:rPr>
            </w:pPr>
            <w:r>
              <w:rPr>
                <w:color w:val="1F2933"/>
                <w:sz w:val="17"/>
              </w:rPr>
              <w:t>Originating request</w:t>
            </w:r>
          </w:p>
        </w:tc>
        <w:tc>
          <w:tcPr>
            <w:tcW w:w="6624" w:type="dxa"/>
            <w:shd w:val="clear" w:color="auto" w:fill="F7F9FB"/>
            <w:tcMar>
              <w:top w:w="85" w:type="dxa"/>
              <w:left w:w="95" w:type="dxa"/>
              <w:bottom w:w="85" w:type="dxa"/>
              <w:right w:w="95" w:type="dxa"/>
            </w:tcMar>
            <w:vAlign w:val="center"/>
          </w:tcPr>
          <w:p w14:paraId="238CB078" w14:textId="77777777" w:rsidR="00AC1B78" w:rsidRDefault="002C0F08">
            <w:pPr>
              <w:spacing w:after="0" w:line="245" w:lineRule="auto"/>
              <w:rPr>
                <w:rFonts w:hint="eastAsia"/>
              </w:rPr>
            </w:pPr>
            <w:r>
              <w:rPr>
                <w:color w:val="1F2933"/>
                <w:sz w:val="17"/>
              </w:rPr>
              <w:t>The exact user expression or structured request.</w:t>
            </w:r>
          </w:p>
        </w:tc>
      </w:tr>
      <w:tr w:rsidR="00AC1B78" w14:paraId="6E97732C" w14:textId="77777777">
        <w:trPr>
          <w:jc w:val="center"/>
        </w:trPr>
        <w:tc>
          <w:tcPr>
            <w:tcW w:w="2232" w:type="dxa"/>
            <w:tcMar>
              <w:top w:w="85" w:type="dxa"/>
              <w:left w:w="95" w:type="dxa"/>
              <w:bottom w:w="85" w:type="dxa"/>
              <w:right w:w="95" w:type="dxa"/>
            </w:tcMar>
            <w:vAlign w:val="center"/>
          </w:tcPr>
          <w:p w14:paraId="1DEB00CE" w14:textId="77777777" w:rsidR="00AC1B78" w:rsidRDefault="002C0F08">
            <w:pPr>
              <w:spacing w:after="0" w:line="245" w:lineRule="auto"/>
              <w:rPr>
                <w:rFonts w:hint="eastAsia"/>
              </w:rPr>
            </w:pPr>
            <w:r>
              <w:rPr>
                <w:color w:val="1F2933"/>
                <w:sz w:val="17"/>
              </w:rPr>
              <w:t>Active route graph</w:t>
            </w:r>
          </w:p>
        </w:tc>
        <w:tc>
          <w:tcPr>
            <w:tcW w:w="6624" w:type="dxa"/>
            <w:tcMar>
              <w:top w:w="85" w:type="dxa"/>
              <w:left w:w="95" w:type="dxa"/>
              <w:bottom w:w="85" w:type="dxa"/>
              <w:right w:w="95" w:type="dxa"/>
            </w:tcMar>
            <w:vAlign w:val="center"/>
          </w:tcPr>
          <w:p w14:paraId="5B8A9588" w14:textId="77777777" w:rsidR="00AC1B78" w:rsidRDefault="002C0F08">
            <w:pPr>
              <w:spacing w:after="0" w:line="245" w:lineRule="auto"/>
              <w:rPr>
                <w:rFonts w:hint="eastAsia"/>
              </w:rPr>
            </w:pPr>
            <w:r>
              <w:rPr>
                <w:color w:val="1F2933"/>
                <w:sz w:val="17"/>
              </w:rPr>
              <w:t>Current subject/domain branches and intersections.</w:t>
            </w:r>
          </w:p>
        </w:tc>
      </w:tr>
      <w:tr w:rsidR="00AC1B78" w14:paraId="2C581EE1" w14:textId="77777777">
        <w:trPr>
          <w:jc w:val="center"/>
        </w:trPr>
        <w:tc>
          <w:tcPr>
            <w:tcW w:w="2232" w:type="dxa"/>
            <w:shd w:val="clear" w:color="auto" w:fill="F7F9FB"/>
            <w:tcMar>
              <w:top w:w="85" w:type="dxa"/>
              <w:left w:w="95" w:type="dxa"/>
              <w:bottom w:w="85" w:type="dxa"/>
              <w:right w:w="95" w:type="dxa"/>
            </w:tcMar>
            <w:vAlign w:val="center"/>
          </w:tcPr>
          <w:p w14:paraId="432A46FC" w14:textId="77777777" w:rsidR="00AC1B78" w:rsidRDefault="002C0F08">
            <w:pPr>
              <w:spacing w:after="0" w:line="245" w:lineRule="auto"/>
              <w:rPr>
                <w:rFonts w:hint="eastAsia"/>
              </w:rPr>
            </w:pPr>
            <w:r>
              <w:rPr>
                <w:color w:val="1F2933"/>
                <w:sz w:val="17"/>
              </w:rPr>
              <w:t>Intent state</w:t>
            </w:r>
          </w:p>
        </w:tc>
        <w:tc>
          <w:tcPr>
            <w:tcW w:w="6624" w:type="dxa"/>
            <w:shd w:val="clear" w:color="auto" w:fill="F7F9FB"/>
            <w:tcMar>
              <w:top w:w="85" w:type="dxa"/>
              <w:left w:w="95" w:type="dxa"/>
              <w:bottom w:w="85" w:type="dxa"/>
              <w:right w:w="95" w:type="dxa"/>
            </w:tcMar>
            <w:vAlign w:val="center"/>
          </w:tcPr>
          <w:p w14:paraId="47F20FE2" w14:textId="77777777" w:rsidR="00AC1B78" w:rsidRDefault="002C0F08">
            <w:pPr>
              <w:spacing w:after="0" w:line="245" w:lineRule="auto"/>
              <w:rPr>
                <w:rFonts w:hint="eastAsia"/>
              </w:rPr>
            </w:pPr>
            <w:r>
              <w:rPr>
                <w:color w:val="1F2933"/>
                <w:sz w:val="17"/>
              </w:rPr>
              <w:t>Explain, compare, design, verify, simulate, etc.</w:t>
            </w:r>
          </w:p>
        </w:tc>
      </w:tr>
      <w:tr w:rsidR="00AC1B78" w14:paraId="3316E9AA" w14:textId="77777777">
        <w:trPr>
          <w:jc w:val="center"/>
        </w:trPr>
        <w:tc>
          <w:tcPr>
            <w:tcW w:w="2232" w:type="dxa"/>
            <w:tcMar>
              <w:top w:w="85" w:type="dxa"/>
              <w:left w:w="95" w:type="dxa"/>
              <w:bottom w:w="85" w:type="dxa"/>
              <w:right w:w="95" w:type="dxa"/>
            </w:tcMar>
            <w:vAlign w:val="center"/>
          </w:tcPr>
          <w:p w14:paraId="4BA5660B" w14:textId="77777777" w:rsidR="00AC1B78" w:rsidRDefault="002C0F08">
            <w:pPr>
              <w:spacing w:after="0" w:line="245" w:lineRule="auto"/>
              <w:rPr>
                <w:rFonts w:hint="eastAsia"/>
              </w:rPr>
            </w:pPr>
            <w:r>
              <w:rPr>
                <w:color w:val="1F2933"/>
                <w:sz w:val="17"/>
              </w:rPr>
              <w:t>Context / world</w:t>
            </w:r>
          </w:p>
        </w:tc>
        <w:tc>
          <w:tcPr>
            <w:tcW w:w="6624" w:type="dxa"/>
            <w:tcMar>
              <w:top w:w="85" w:type="dxa"/>
              <w:left w:w="95" w:type="dxa"/>
              <w:bottom w:w="85" w:type="dxa"/>
              <w:right w:w="95" w:type="dxa"/>
            </w:tcMar>
            <w:vAlign w:val="center"/>
          </w:tcPr>
          <w:p w14:paraId="234898B4" w14:textId="77777777" w:rsidR="00AC1B78" w:rsidRDefault="002C0F08">
            <w:pPr>
              <w:spacing w:after="0" w:line="245" w:lineRule="auto"/>
              <w:rPr>
                <w:rFonts w:hint="eastAsia"/>
              </w:rPr>
            </w:pPr>
            <w:r>
              <w:rPr>
                <w:color w:val="1F2933"/>
                <w:sz w:val="17"/>
              </w:rPr>
              <w:t>Organization, jurisdiction, game, project, location, or other applicability frame.</w:t>
            </w:r>
          </w:p>
        </w:tc>
      </w:tr>
      <w:tr w:rsidR="00AC1B78" w14:paraId="167B30EA" w14:textId="77777777">
        <w:trPr>
          <w:jc w:val="center"/>
        </w:trPr>
        <w:tc>
          <w:tcPr>
            <w:tcW w:w="2232" w:type="dxa"/>
            <w:shd w:val="clear" w:color="auto" w:fill="F7F9FB"/>
            <w:tcMar>
              <w:top w:w="85" w:type="dxa"/>
              <w:left w:w="95" w:type="dxa"/>
              <w:bottom w:w="85" w:type="dxa"/>
              <w:right w:w="95" w:type="dxa"/>
            </w:tcMar>
            <w:vAlign w:val="center"/>
          </w:tcPr>
          <w:p w14:paraId="110EE20C" w14:textId="77777777" w:rsidR="00AC1B78" w:rsidRDefault="002C0F08">
            <w:pPr>
              <w:spacing w:after="0" w:line="245" w:lineRule="auto"/>
              <w:rPr>
                <w:rFonts w:hint="eastAsia"/>
              </w:rPr>
            </w:pPr>
            <w:r>
              <w:rPr>
                <w:color w:val="1F2933"/>
                <w:sz w:val="17"/>
              </w:rPr>
              <w:t>Epistemic policy</w:t>
            </w:r>
          </w:p>
        </w:tc>
        <w:tc>
          <w:tcPr>
            <w:tcW w:w="6624" w:type="dxa"/>
            <w:shd w:val="clear" w:color="auto" w:fill="F7F9FB"/>
            <w:tcMar>
              <w:top w:w="85" w:type="dxa"/>
              <w:left w:w="95" w:type="dxa"/>
              <w:bottom w:w="85" w:type="dxa"/>
              <w:right w:w="95" w:type="dxa"/>
            </w:tcMar>
            <w:vAlign w:val="center"/>
          </w:tcPr>
          <w:p w14:paraId="03029E2F" w14:textId="77777777" w:rsidR="00AC1B78" w:rsidRDefault="002C0F08">
            <w:pPr>
              <w:spacing w:after="0" w:line="245" w:lineRule="auto"/>
              <w:rPr>
                <w:rFonts w:hint="eastAsia"/>
              </w:rPr>
            </w:pPr>
            <w:r>
              <w:rPr>
                <w:color w:val="1F2933"/>
                <w:sz w:val="17"/>
              </w:rPr>
              <w:t>Which CIRCLE, FRINGE, FASK, historical, personal, or external layers are eligible.</w:t>
            </w:r>
          </w:p>
        </w:tc>
      </w:tr>
      <w:tr w:rsidR="00AC1B78" w14:paraId="5AFC441B" w14:textId="77777777">
        <w:trPr>
          <w:jc w:val="center"/>
        </w:trPr>
        <w:tc>
          <w:tcPr>
            <w:tcW w:w="2232" w:type="dxa"/>
            <w:tcMar>
              <w:top w:w="85" w:type="dxa"/>
              <w:left w:w="95" w:type="dxa"/>
              <w:bottom w:w="85" w:type="dxa"/>
              <w:right w:w="95" w:type="dxa"/>
            </w:tcMar>
            <w:vAlign w:val="center"/>
          </w:tcPr>
          <w:p w14:paraId="0F105190" w14:textId="77777777" w:rsidR="00AC1B78" w:rsidRDefault="002C0F08">
            <w:pPr>
              <w:spacing w:after="0" w:line="245" w:lineRule="auto"/>
              <w:rPr>
                <w:rFonts w:hint="eastAsia"/>
              </w:rPr>
            </w:pPr>
            <w:r>
              <w:rPr>
                <w:color w:val="1F2933"/>
                <w:sz w:val="17"/>
              </w:rPr>
              <w:t>Continuation policy</w:t>
            </w:r>
          </w:p>
        </w:tc>
        <w:tc>
          <w:tcPr>
            <w:tcW w:w="6624" w:type="dxa"/>
            <w:tcMar>
              <w:top w:w="85" w:type="dxa"/>
              <w:left w:w="95" w:type="dxa"/>
              <w:bottom w:w="85" w:type="dxa"/>
              <w:right w:w="95" w:type="dxa"/>
            </w:tcMar>
            <w:vAlign w:val="center"/>
          </w:tcPr>
          <w:p w14:paraId="0015AF8C" w14:textId="77777777" w:rsidR="00AC1B78" w:rsidRDefault="002C0F08">
            <w:pPr>
              <w:spacing w:after="0" w:line="245" w:lineRule="auto"/>
              <w:rPr>
                <w:rFonts w:hint="eastAsia"/>
              </w:rPr>
            </w:pPr>
            <w:r>
              <w:rPr>
                <w:color w:val="1F2933"/>
                <w:sz w:val="17"/>
              </w:rPr>
              <w:t>Relevance thresholds, branch limits, depth, and budget.</w:t>
            </w:r>
          </w:p>
        </w:tc>
      </w:tr>
      <w:tr w:rsidR="00AC1B78" w14:paraId="0E1A7240" w14:textId="77777777">
        <w:trPr>
          <w:jc w:val="center"/>
        </w:trPr>
        <w:tc>
          <w:tcPr>
            <w:tcW w:w="2232" w:type="dxa"/>
            <w:shd w:val="clear" w:color="auto" w:fill="F7F9FB"/>
            <w:tcMar>
              <w:top w:w="85" w:type="dxa"/>
              <w:left w:w="95" w:type="dxa"/>
              <w:bottom w:w="85" w:type="dxa"/>
              <w:right w:w="95" w:type="dxa"/>
            </w:tcMar>
            <w:vAlign w:val="center"/>
          </w:tcPr>
          <w:p w14:paraId="1ACDAD22" w14:textId="77777777" w:rsidR="00AC1B78" w:rsidRDefault="002C0F08">
            <w:pPr>
              <w:spacing w:after="0" w:line="245" w:lineRule="auto"/>
              <w:rPr>
                <w:rFonts w:hint="eastAsia"/>
              </w:rPr>
            </w:pPr>
            <w:r>
              <w:rPr>
                <w:color w:val="1F2933"/>
                <w:sz w:val="17"/>
              </w:rPr>
              <w:t>Source policy</w:t>
            </w:r>
          </w:p>
        </w:tc>
        <w:tc>
          <w:tcPr>
            <w:tcW w:w="6624" w:type="dxa"/>
            <w:shd w:val="clear" w:color="auto" w:fill="F7F9FB"/>
            <w:tcMar>
              <w:top w:w="85" w:type="dxa"/>
              <w:left w:w="95" w:type="dxa"/>
              <w:bottom w:w="85" w:type="dxa"/>
              <w:right w:w="95" w:type="dxa"/>
            </w:tcMar>
            <w:vAlign w:val="center"/>
          </w:tcPr>
          <w:p w14:paraId="5F77B2FD" w14:textId="77777777" w:rsidR="00AC1B78" w:rsidRDefault="002C0F08">
            <w:pPr>
              <w:spacing w:after="0" w:line="245" w:lineRule="auto"/>
              <w:rPr>
                <w:rFonts w:hint="eastAsia"/>
              </w:rPr>
            </w:pPr>
            <w:r>
              <w:rPr>
                <w:color w:val="1F2933"/>
                <w:sz w:val="17"/>
              </w:rPr>
              <w:t>Authority floors, source-type constraints, permission rules, reopen limit.</w:t>
            </w:r>
          </w:p>
        </w:tc>
      </w:tr>
      <w:tr w:rsidR="00AC1B78" w14:paraId="7D922C83" w14:textId="77777777">
        <w:trPr>
          <w:jc w:val="center"/>
        </w:trPr>
        <w:tc>
          <w:tcPr>
            <w:tcW w:w="2232" w:type="dxa"/>
            <w:tcMar>
              <w:top w:w="85" w:type="dxa"/>
              <w:left w:w="95" w:type="dxa"/>
              <w:bottom w:w="85" w:type="dxa"/>
              <w:right w:w="95" w:type="dxa"/>
            </w:tcMar>
            <w:vAlign w:val="center"/>
          </w:tcPr>
          <w:p w14:paraId="279DA8AA" w14:textId="77777777" w:rsidR="00AC1B78" w:rsidRDefault="002C0F08">
            <w:pPr>
              <w:spacing w:after="0" w:line="245" w:lineRule="auto"/>
              <w:rPr>
                <w:rFonts w:hint="eastAsia"/>
              </w:rPr>
            </w:pPr>
            <w:r>
              <w:rPr>
                <w:color w:val="1F2933"/>
                <w:sz w:val="17"/>
              </w:rPr>
              <w:t>Token budget</w:t>
            </w:r>
          </w:p>
        </w:tc>
        <w:tc>
          <w:tcPr>
            <w:tcW w:w="6624" w:type="dxa"/>
            <w:tcMar>
              <w:top w:w="85" w:type="dxa"/>
              <w:left w:w="95" w:type="dxa"/>
              <w:bottom w:w="85" w:type="dxa"/>
              <w:right w:w="95" w:type="dxa"/>
            </w:tcMar>
            <w:vAlign w:val="center"/>
          </w:tcPr>
          <w:p w14:paraId="665C4A10" w14:textId="77777777" w:rsidR="00AC1B78" w:rsidRDefault="002C0F08">
            <w:pPr>
              <w:spacing w:after="0" w:line="245" w:lineRule="auto"/>
              <w:rPr>
                <w:rFonts w:hint="eastAsia"/>
              </w:rPr>
            </w:pPr>
            <w:r>
              <w:rPr>
                <w:color w:val="1F2933"/>
                <w:sz w:val="17"/>
              </w:rPr>
              <w:t>Maximum source-language context allocated to downstream reasoning.</w:t>
            </w:r>
          </w:p>
        </w:tc>
      </w:tr>
    </w:tbl>
    <w:p w14:paraId="6BC2A296" w14:textId="77777777" w:rsidR="00AC1B78" w:rsidRDefault="00AC1B78">
      <w:pPr>
        <w:spacing w:after="40"/>
        <w:rPr>
          <w:rFonts w:hint="eastAsia"/>
        </w:rPr>
      </w:pPr>
    </w:p>
    <w:p w14:paraId="24E43E38" w14:textId="77777777" w:rsidR="00AC1B78" w:rsidRDefault="002C0F08">
      <w:pPr>
        <w:pStyle w:val="Heading1"/>
        <w:spacing w:before="200" w:after="100" w:line="240" w:lineRule="auto"/>
      </w:pPr>
      <w:r>
        <w:rPr>
          <w:rFonts w:ascii="Carlito" w:hAnsi="Carlito"/>
        </w:rPr>
        <w:t>31. Models, Operators, Rules, and Literature</w:t>
      </w:r>
    </w:p>
    <w:p w14:paraId="6333A935" w14:textId="77777777" w:rsidR="00AC1B78" w:rsidRDefault="002C0F08">
      <w:pPr>
        <w:spacing w:after="120" w:line="259" w:lineRule="auto"/>
        <w:rPr>
          <w:rFonts w:hint="eastAsia"/>
        </w:rPr>
      </w:pPr>
      <w:r>
        <w:rPr>
          <w:color w:val="1F2933"/>
        </w:rPr>
        <w:t>Reaching a semantic coordinate should not only return documents. The same route may expose registered Models, Operators, Rules, Readers, CIRCLE knowledge, FRINGE structures, FASKs, and simulations. Query intent determines which of these are useful. An explanatory query may prioritize Models and literature. A build query may prioritize Models, Operators, Rules, and example Instances. A verification query may prioritize canonical sources, Rules, and evidence-bearing documents.</w:t>
      </w:r>
    </w:p>
    <w:p w14:paraId="4FEF3F4D" w14:textId="77777777" w:rsidR="00AC1B78" w:rsidRDefault="002C0F08">
      <w:pPr>
        <w:pStyle w:val="Heading1"/>
        <w:spacing w:before="200" w:after="100" w:line="240" w:lineRule="auto"/>
      </w:pPr>
      <w:r>
        <w:rPr>
          <w:rFonts w:ascii="Carlito" w:hAnsi="Carlito"/>
        </w:rPr>
        <w:t>32. Source Selection and Grounding</w:t>
      </w:r>
    </w:p>
    <w:p w14:paraId="285C6024" w14:textId="77777777" w:rsidR="00AC1B78" w:rsidRDefault="002C0F08">
      <w:pPr>
        <w:spacing w:after="120" w:line="259" w:lineRule="auto"/>
        <w:rPr>
          <w:rFonts w:hint="eastAsia"/>
        </w:rPr>
      </w:pPr>
      <w:r>
        <w:rPr>
          <w:color w:val="1F2933"/>
        </w:rPr>
        <w:t>Source selection combines semantic fit with authority, applicability, permissions, diversity, version state, and the claim type being constructed. A high-authority source should not automatically dominate an unrelated query; a highly relevant low-authority source should not be allowed to establish official policy. The runtime can therefore preserve several separately visible metrics rather than one hidden score.</w:t>
      </w:r>
    </w:p>
    <w:p w14:paraId="7AE0FF85" w14:textId="77777777" w:rsidR="00AC1B78" w:rsidRDefault="002C0F08">
      <w:pPr>
        <w:keepNext/>
        <w:spacing w:before="80" w:after="60" w:line="240" w:lineRule="auto"/>
        <w:jc w:val="center"/>
        <w:rPr>
          <w:rFonts w:hint="eastAsia"/>
        </w:rPr>
      </w:pPr>
      <w:r>
        <w:rPr>
          <w:noProof/>
        </w:rPr>
        <w:drawing>
          <wp:inline distT="0" distB="0" distL="0" distR="0" wp14:anchorId="398FCC26" wp14:editId="5C97A71E">
            <wp:extent cx="5897880" cy="3281380"/>
            <wp:effectExtent l="0" t="0" r="0" b="0"/>
            <wp:docPr id="12" name="Picture 12" descr="The source-inspector interface explains why DOC-184 was opened: the query route and GROOVE route overlap, relevance and authority are high, applicability is 1.00, and specific semantic factors matched." title="Figure 9: Why This Source Was 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why_source_read.png"/>
                    <pic:cNvPicPr/>
                  </pic:nvPicPr>
                  <pic:blipFill>
                    <a:blip r:embed="rId19"/>
                    <a:stretch>
                      <a:fillRect/>
                    </a:stretch>
                  </pic:blipFill>
                  <pic:spPr>
                    <a:xfrm>
                      <a:off x="0" y="0"/>
                      <a:ext cx="5897880" cy="3281380"/>
                    </a:xfrm>
                    <a:prstGeom prst="rect">
                      <a:avLst/>
                    </a:prstGeom>
                  </pic:spPr>
                </pic:pic>
              </a:graphicData>
            </a:graphic>
          </wp:inline>
        </w:drawing>
      </w:r>
    </w:p>
    <w:p w14:paraId="24B7853C" w14:textId="77777777" w:rsidR="00AC1B78" w:rsidRDefault="002C0F08">
      <w:pPr>
        <w:keepLines/>
        <w:spacing w:after="160" w:line="245" w:lineRule="auto"/>
        <w:rPr>
          <w:rFonts w:hint="eastAsia"/>
        </w:rPr>
      </w:pPr>
      <w:r>
        <w:rPr>
          <w:b/>
          <w:color w:val="17324D"/>
          <w:sz w:val="17"/>
        </w:rPr>
        <w:t xml:space="preserve">Figure 9. Why This Source Was Read. </w:t>
      </w:r>
      <w:r>
        <w:rPr>
          <w:color w:val="6B7785"/>
          <w:sz w:val="17"/>
        </w:rPr>
        <w:t>The source-inspector interface explains why DOC-184 was opened: the query route and GROOVE route overlap, relevance and authority are high, applicability is 1.00, and specific semantic factors matched.</w:t>
      </w:r>
    </w:p>
    <w:p w14:paraId="2F7F0246" w14:textId="77777777" w:rsidR="00AC1B78" w:rsidRDefault="002C0F08">
      <w:pPr>
        <w:pStyle w:val="Heading1"/>
        <w:spacing w:before="200" w:after="100" w:line="240" w:lineRule="auto"/>
      </w:pPr>
      <w:r>
        <w:rPr>
          <w:rFonts w:ascii="Carlito" w:hAnsi="Carlito"/>
        </w:rPr>
        <w:t>33. Search Trace and Explainability</w:t>
      </w:r>
    </w:p>
    <w:p w14:paraId="3687091A" w14:textId="77777777" w:rsidR="00AC1B78" w:rsidRDefault="002C0F08">
      <w:pPr>
        <w:spacing w:after="120" w:line="259" w:lineRule="auto"/>
        <w:rPr>
          <w:rFonts w:hint="eastAsia"/>
        </w:rPr>
      </w:pPr>
      <w:r>
        <w:rPr>
          <w:color w:val="1F2933"/>
        </w:rPr>
        <w:t>A semantic search trace should preserve enough operational provenance to answer: Which SOLAR spans resolved exactly? Which Routing SK versions were used? Which Bits activated? Which branches were factored? Which branches faded and why? Which 000 and 00 surfaces were opened? Which GROOVE projections were matched? Which sources were reopened? Which authority and applicability constraints affected selection?</w:t>
      </w:r>
    </w:p>
    <w:p w14:paraId="757503D5" w14:textId="77777777" w:rsidR="00AC1B78" w:rsidRDefault="002C0F08">
      <w:pPr>
        <w:spacing w:after="120" w:line="259" w:lineRule="auto"/>
        <w:rPr>
          <w:rFonts w:hint="eastAsia"/>
        </w:rPr>
      </w:pPr>
      <w:r>
        <w:rPr>
          <w:color w:val="1F2933"/>
        </w:rPr>
        <w:t>This trace turns retrieval from an opaque hidden operation into an inspectable semantic argument. It can also support debugging and later architecture improvement without making every runtime score canonical knowledge.</w:t>
      </w:r>
    </w:p>
    <w:p w14:paraId="2520F6F8" w14:textId="77777777" w:rsidR="00AC1B78" w:rsidRDefault="002C0F08">
      <w:pPr>
        <w:pStyle w:val="Heading1"/>
        <w:spacing w:before="200" w:after="100" w:line="240" w:lineRule="auto"/>
      </w:pPr>
      <w:r>
        <w:rPr>
          <w:rFonts w:ascii="Carlito" w:hAnsi="Carlito"/>
        </w:rPr>
        <w:t>34. Semantic Budgeting</w:t>
      </w:r>
    </w:p>
    <w:p w14:paraId="7CAF53D8" w14:textId="77777777" w:rsidR="00AC1B78" w:rsidRDefault="002C0F08">
      <w:pPr>
        <w:spacing w:after="120" w:line="259" w:lineRule="auto"/>
        <w:rPr>
          <w:rFonts w:hint="eastAsia"/>
        </w:rPr>
      </w:pPr>
      <w:r>
        <w:rPr>
          <w:color w:val="1F2933"/>
        </w:rPr>
        <w:t>Semantic budgeting makes the efficiency claim measurable. A runtime can expose how many Routing SK evaluations were performed, how many branches expanded or dropped, how many 00 bundles opened, how many GROOVE descriptions were read, how many original sources were reopened, and how many tokens were consumed. These metrics permit direct comparison with token-first retrieval baselines.</w:t>
      </w:r>
    </w:p>
    <w:p w14:paraId="6D3077CF" w14:textId="77777777" w:rsidR="00AC1B78" w:rsidRDefault="002C0F08">
      <w:pPr>
        <w:keepNext/>
        <w:spacing w:before="80" w:after="60" w:line="240" w:lineRule="auto"/>
        <w:jc w:val="center"/>
        <w:rPr>
          <w:rFonts w:hint="eastAsia"/>
        </w:rPr>
      </w:pPr>
      <w:r>
        <w:rPr>
          <w:noProof/>
        </w:rPr>
        <w:drawing>
          <wp:inline distT="0" distB="0" distL="0" distR="0" wp14:anchorId="40F31785" wp14:editId="48DA1931">
            <wp:extent cx="5897880" cy="3460365"/>
            <wp:effectExtent l="0" t="0" r="0" b="0"/>
            <wp:docPr id="13" name="Picture 13" descr="The budget monitor shows routing evaluations, branch expansions, bundle opens, description reads, source opens, and tokens consumed. The bottom banner reports the fraction of the corpus excluded before source reading." title="Figure 10: Semantic Budget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budget_monitor.png"/>
                    <pic:cNvPicPr/>
                  </pic:nvPicPr>
                  <pic:blipFill>
                    <a:blip r:embed="rId20"/>
                    <a:stretch>
                      <a:fillRect/>
                    </a:stretch>
                  </pic:blipFill>
                  <pic:spPr>
                    <a:xfrm>
                      <a:off x="0" y="0"/>
                      <a:ext cx="5897880" cy="3460365"/>
                    </a:xfrm>
                    <a:prstGeom prst="rect">
                      <a:avLst/>
                    </a:prstGeom>
                  </pic:spPr>
                </pic:pic>
              </a:graphicData>
            </a:graphic>
          </wp:inline>
        </w:drawing>
      </w:r>
    </w:p>
    <w:p w14:paraId="77712114" w14:textId="77777777" w:rsidR="00AC1B78" w:rsidRDefault="002C0F08">
      <w:pPr>
        <w:keepLines/>
        <w:spacing w:after="160" w:line="245" w:lineRule="auto"/>
        <w:rPr>
          <w:rFonts w:hint="eastAsia"/>
        </w:rPr>
      </w:pPr>
      <w:r>
        <w:rPr>
          <w:b/>
          <w:color w:val="17324D"/>
          <w:sz w:val="17"/>
        </w:rPr>
        <w:t xml:space="preserve">Figure 10. Semantic Budget Monitor. </w:t>
      </w:r>
      <w:r>
        <w:rPr>
          <w:color w:val="6B7785"/>
          <w:sz w:val="17"/>
        </w:rPr>
        <w:t>The budget monitor shows routing evaluations, branch expansions, bundle opens, description reads, source opens, and tokens consumed. The bottom banner reports the fraction of the corpus excluded before source reading.</w:t>
      </w:r>
    </w:p>
    <w:p w14:paraId="4A0EF739" w14:textId="77777777" w:rsidR="00AC1B78" w:rsidRDefault="002C0F08">
      <w:pPr>
        <w:pStyle w:val="Heading1"/>
        <w:spacing w:before="200" w:after="100" w:line="240" w:lineRule="auto"/>
      </w:pPr>
      <w:r>
        <w:rPr>
          <w:rFonts w:ascii="Carlito" w:hAnsi="Carlito"/>
        </w:rPr>
        <w:t>Part VI - Accretive Search</w:t>
      </w:r>
    </w:p>
    <w:p w14:paraId="3B2F2265" w14:textId="77777777" w:rsidR="00AC1B78" w:rsidRDefault="002C0F08">
      <w:pPr>
        <w:pStyle w:val="Heading1"/>
        <w:spacing w:before="200" w:after="100" w:line="240" w:lineRule="auto"/>
      </w:pPr>
      <w:r>
        <w:rPr>
          <w:rFonts w:ascii="Carlito" w:hAnsi="Carlito"/>
        </w:rPr>
        <w:t>35. Saved Query Routes</w:t>
      </w:r>
    </w:p>
    <w:p w14:paraId="1A474A9F" w14:textId="77777777" w:rsidR="00AC1B78" w:rsidRDefault="002C0F08">
      <w:pPr>
        <w:spacing w:after="120" w:line="259" w:lineRule="auto"/>
        <w:rPr>
          <w:rFonts w:hint="eastAsia"/>
        </w:rPr>
      </w:pPr>
      <w:r>
        <w:rPr>
          <w:color w:val="1F2933"/>
        </w:rPr>
        <w:t>A successful search may leave behind a compact route trace containing the originating intent, semantic path, intersections, faded branches, selected 00 bundles, source set, and final semantic construction. Saving every query is unnecessary, but repeated or high-value routes can become reusable search profiles. This is another form of Semantic Accretion: search itself creates inspectable infrastructure for future search.</w:t>
      </w:r>
    </w:p>
    <w:p w14:paraId="3C0665A4" w14:textId="77777777" w:rsidR="00AC1B78" w:rsidRDefault="002C0F08">
      <w:pPr>
        <w:pStyle w:val="Heading1"/>
        <w:spacing w:before="200" w:after="100" w:line="240" w:lineRule="auto"/>
      </w:pPr>
      <w:r>
        <w:rPr>
          <w:rFonts w:ascii="Carlito" w:hAnsi="Carlito"/>
        </w:rPr>
        <w:t>36. Reusable Query Families</w:t>
      </w:r>
    </w:p>
    <w:p w14:paraId="5C76210A" w14:textId="77777777" w:rsidR="00AC1B78" w:rsidRDefault="002C0F08">
      <w:pPr>
        <w:spacing w:after="120" w:line="259" w:lineRule="auto"/>
        <w:rPr>
          <w:rFonts w:hint="eastAsia"/>
        </w:rPr>
      </w:pPr>
      <w:r>
        <w:rPr>
          <w:color w:val="1F2933"/>
        </w:rPr>
        <w:t>When many requests repeatedly traverse the same combination of branches, the pattern can be packaged as an Intersection Profile or a specialized Routing SK candidate. For example, repeated queries combining Biology to Regeneration with Materials to Structural Repair may justify a reusable Bio-Adaptive Materials semantic instrument. The new instrument should be explicitly reviewed rather than automatically rewriting the existing Routing SKs.</w:t>
      </w:r>
    </w:p>
    <w:p w14:paraId="3ADE5C04" w14:textId="77777777" w:rsidR="00AC1B78" w:rsidRDefault="002C0F08">
      <w:pPr>
        <w:pStyle w:val="Heading1"/>
        <w:spacing w:before="200" w:after="100" w:line="240" w:lineRule="auto"/>
      </w:pPr>
      <w:r>
        <w:rPr>
          <w:rFonts w:ascii="Carlito" w:hAnsi="Carlito"/>
        </w:rPr>
        <w:t>37. Routing and Intersection Improvement Candidates</w:t>
      </w:r>
    </w:p>
    <w:p w14:paraId="7F7CE80E" w14:textId="77777777" w:rsidR="00AC1B78" w:rsidRDefault="002C0F08">
      <w:pPr>
        <w:spacing w:after="120" w:line="259" w:lineRule="auto"/>
        <w:rPr>
          <w:rFonts w:hint="eastAsia"/>
        </w:rPr>
      </w:pPr>
      <w:r>
        <w:rPr>
          <w:color w:val="1F2933"/>
        </w:rPr>
        <w:t>Search traces can reveal where the architecture is thin. If a large fraction of queries repeatedly require the same expensive cross-branch intersection, a new 000 bridge, 00 bundle, GROOVE projection, Routing SK, or SOLAR Alias may reduce future cost. The system can surface these as improvement candidates while preserving governance boundaries: runtime popularity does not automatically create canonical structure.</w:t>
      </w:r>
    </w:p>
    <w:p w14:paraId="75DF62C9" w14:textId="77777777" w:rsidR="00AC1B78" w:rsidRDefault="002C0F08">
      <w:pPr>
        <w:pStyle w:val="Heading1"/>
        <w:spacing w:before="200" w:after="100" w:line="240" w:lineRule="auto"/>
      </w:pPr>
      <w:r>
        <w:rPr>
          <w:rFonts w:ascii="Carlito" w:hAnsi="Carlito"/>
        </w:rPr>
        <w:t>38. Semantic Work Persistence</w:t>
      </w:r>
    </w:p>
    <w:p w14:paraId="15DDA30C" w14:textId="77777777" w:rsidR="00AC1B78" w:rsidRDefault="002C0F08">
      <w:pPr>
        <w:spacing w:after="120" w:line="259" w:lineRule="auto"/>
        <w:rPr>
          <w:rFonts w:hint="eastAsia"/>
        </w:rPr>
      </w:pPr>
      <w:r>
        <w:rPr>
          <w:color w:val="1F2933"/>
        </w:rPr>
        <w:t>Semantic Work Persistence is the principle that sufficiently grounded semantic work should be reusable rather than recomputed from source material for every subsequent query. GROOVE classifications, branch descriptions, relation maps, canonical ownership notes, route traces, and published Sweep Profiles are all ways of externalizing prior interpretation. Bits Before Tokens uses these structures as search infrastructure.</w:t>
      </w:r>
    </w:p>
    <w:tbl>
      <w:tblPr>
        <w:tblW w:w="0" w:type="auto"/>
        <w:jc w:val="center"/>
        <w:tblLayout w:type="fixed"/>
        <w:tblLook w:val="04A0" w:firstRow="1" w:lastRow="0" w:firstColumn="1" w:lastColumn="0" w:noHBand="0" w:noVBand="1"/>
      </w:tblPr>
      <w:tblGrid>
        <w:gridCol w:w="5026"/>
        <w:gridCol w:w="5026"/>
      </w:tblGrid>
      <w:tr w:rsidR="00AC1B78" w14:paraId="24D1C04A" w14:textId="77777777">
        <w:trPr>
          <w:tblHeader/>
          <w:jc w:val="center"/>
        </w:trPr>
        <w:tc>
          <w:tcPr>
            <w:tcW w:w="5026" w:type="dxa"/>
            <w:shd w:val="clear" w:color="auto" w:fill="6B46C1"/>
            <w:tcMar>
              <w:top w:w="60" w:type="dxa"/>
              <w:left w:w="40" w:type="dxa"/>
              <w:bottom w:w="60" w:type="dxa"/>
              <w:right w:w="40" w:type="dxa"/>
            </w:tcMar>
          </w:tcPr>
          <w:p w14:paraId="72C4B7BB" w14:textId="77777777" w:rsidR="00AC1B78" w:rsidRDefault="00AC1B78">
            <w:pPr>
              <w:rPr>
                <w:rFonts w:hint="eastAsia"/>
              </w:rPr>
            </w:pPr>
          </w:p>
        </w:tc>
        <w:tc>
          <w:tcPr>
            <w:tcW w:w="5026" w:type="dxa"/>
            <w:shd w:val="clear" w:color="auto" w:fill="F4EEFB"/>
            <w:tcMar>
              <w:top w:w="110" w:type="dxa"/>
              <w:left w:w="140" w:type="dxa"/>
              <w:bottom w:w="110" w:type="dxa"/>
              <w:right w:w="140" w:type="dxa"/>
            </w:tcMar>
          </w:tcPr>
          <w:p w14:paraId="7FC97FDC" w14:textId="77777777" w:rsidR="00AC1B78" w:rsidRDefault="002C0F08">
            <w:pPr>
              <w:spacing w:after="40" w:line="252" w:lineRule="auto"/>
              <w:rPr>
                <w:rFonts w:hint="eastAsia"/>
              </w:rPr>
            </w:pPr>
            <w:r>
              <w:rPr>
                <w:b/>
                <w:color w:val="6B46C1"/>
                <w:sz w:val="18"/>
              </w:rPr>
              <w:t>SEMANTIC WORK PERSISTENCE</w:t>
            </w:r>
          </w:p>
          <w:p w14:paraId="703B0F95" w14:textId="77777777" w:rsidR="00AC1B78" w:rsidRDefault="002C0F08">
            <w:pPr>
              <w:spacing w:after="0" w:line="259" w:lineRule="auto"/>
              <w:rPr>
                <w:rFonts w:hint="eastAsia"/>
              </w:rPr>
            </w:pPr>
            <w:r>
              <w:rPr>
                <w:color w:val="1F2933"/>
                <w:sz w:val="19"/>
              </w:rPr>
              <w:t>Do not repeatedly spend inference on semantic work that has already been performed, preserved, and made inspectable.</w:t>
            </w:r>
          </w:p>
        </w:tc>
      </w:tr>
    </w:tbl>
    <w:p w14:paraId="1DCAA5C9" w14:textId="77777777" w:rsidR="00AC1B78" w:rsidRDefault="00AC1B78">
      <w:pPr>
        <w:spacing w:after="40"/>
        <w:rPr>
          <w:rFonts w:hint="eastAsia"/>
        </w:rPr>
      </w:pPr>
    </w:p>
    <w:p w14:paraId="0246CDC4" w14:textId="77777777" w:rsidR="00AC1B78" w:rsidRDefault="002C0F08">
      <w:pPr>
        <w:pStyle w:val="Heading1"/>
        <w:spacing w:before="200" w:after="100" w:line="240" w:lineRule="auto"/>
      </w:pPr>
      <w:r>
        <w:rPr>
          <w:rFonts w:ascii="Carlito" w:hAnsi="Carlito"/>
        </w:rPr>
        <w:t>Part VII - Formal Objects and Scoring</w:t>
      </w:r>
    </w:p>
    <w:p w14:paraId="71507F17" w14:textId="77777777" w:rsidR="00AC1B78" w:rsidRDefault="002C0F08">
      <w:pPr>
        <w:pStyle w:val="Heading1"/>
        <w:spacing w:before="200" w:after="100" w:line="240" w:lineRule="auto"/>
      </w:pPr>
      <w:r>
        <w:rPr>
          <w:rFonts w:ascii="Carlito" w:hAnsi="Carlito"/>
        </w:rPr>
        <w:t>39. RouteState</w:t>
      </w:r>
    </w:p>
    <w:p w14:paraId="3828799D" w14:textId="77777777" w:rsidR="00AC1B78" w:rsidRDefault="002C0F08">
      <w:pPr>
        <w:spacing w:after="120" w:line="259" w:lineRule="auto"/>
        <w:rPr>
          <w:rFonts w:hint="eastAsia"/>
        </w:rPr>
      </w:pPr>
      <w:r>
        <w:rPr>
          <w:color w:val="1F2933"/>
        </w:rPr>
        <w:t>RouteState is an operational object representing one active semantic branch for one query. It is not the canonical state of the Routing SK. A minimal RouteState can contain the current coordinate, parent route, router version, relevance, authority policy, applicability, depth, permission state, and provenance for the scoring decision.</w:t>
      </w:r>
    </w:p>
    <w:tbl>
      <w:tblPr>
        <w:tblW w:w="0" w:type="auto"/>
        <w:jc w:val="center"/>
        <w:tblLayout w:type="fixed"/>
        <w:tblLook w:val="04A0" w:firstRow="1" w:lastRow="0" w:firstColumn="1" w:lastColumn="0" w:noHBand="0" w:noVBand="1"/>
      </w:tblPr>
      <w:tblGrid>
        <w:gridCol w:w="10052"/>
      </w:tblGrid>
      <w:tr w:rsidR="00AC1B78" w14:paraId="1BA4DC5D" w14:textId="77777777">
        <w:trPr>
          <w:tblHeader/>
          <w:jc w:val="center"/>
        </w:trPr>
        <w:tc>
          <w:tcPr>
            <w:tcW w:w="10052" w:type="dxa"/>
            <w:shd w:val="clear" w:color="auto" w:fill="F4F6F8"/>
            <w:tcMar>
              <w:top w:w="100" w:type="dxa"/>
              <w:left w:w="120" w:type="dxa"/>
              <w:bottom w:w="100" w:type="dxa"/>
              <w:right w:w="120" w:type="dxa"/>
            </w:tcMar>
          </w:tcPr>
          <w:p w14:paraId="03CE47CB" w14:textId="77777777" w:rsidR="00AC1B78" w:rsidRDefault="002C0F08">
            <w:pPr>
              <w:spacing w:after="0" w:line="240" w:lineRule="auto"/>
              <w:rPr>
                <w:rFonts w:hint="eastAsia"/>
              </w:rPr>
            </w:pPr>
            <w:r>
              <w:rPr>
                <w:rFonts w:ascii="DejaVu Sans Mono" w:hAnsi="DejaVu Sans Mono"/>
                <w:color w:val="34495E"/>
                <w:sz w:val="16"/>
              </w:rPr>
              <w:t>RouteState {</w:t>
            </w:r>
            <w:r>
              <w:rPr>
                <w:rFonts w:ascii="DejaVu Sans Mono" w:hAnsi="DejaVu Sans Mono"/>
                <w:color w:val="34495E"/>
                <w:sz w:val="16"/>
              </w:rPr>
              <w:br/>
              <w:t xml:space="preserve">  QueryID</w:t>
            </w:r>
            <w:r>
              <w:rPr>
                <w:rFonts w:ascii="DejaVu Sans Mono" w:hAnsi="DejaVu Sans Mono"/>
                <w:color w:val="34495E"/>
                <w:sz w:val="16"/>
              </w:rPr>
              <w:br/>
              <w:t xml:space="preserve">  RouterID + Version</w:t>
            </w:r>
            <w:r>
              <w:rPr>
                <w:rFonts w:ascii="DejaVu Sans Mono" w:hAnsi="DejaVu Sans Mono"/>
                <w:color w:val="34495E"/>
                <w:sz w:val="16"/>
              </w:rPr>
              <w:br/>
              <w:t xml:space="preserve">  Coordinate / Active Bit</w:t>
            </w:r>
            <w:r>
              <w:rPr>
                <w:rFonts w:ascii="DejaVu Sans Mono" w:hAnsi="DejaVu Sans Mono"/>
                <w:color w:val="34495E"/>
                <w:sz w:val="16"/>
              </w:rPr>
              <w:br/>
              <w:t xml:space="preserve">  ParentRoute</w:t>
            </w:r>
            <w:r>
              <w:rPr>
                <w:rFonts w:ascii="DejaVu Sans Mono" w:hAnsi="DejaVu Sans Mono"/>
                <w:color w:val="34495E"/>
                <w:sz w:val="16"/>
              </w:rPr>
              <w:br/>
              <w:t xml:space="preserve">  Relevance R</w:t>
            </w:r>
            <w:r>
              <w:rPr>
                <w:rFonts w:ascii="DejaVu Sans Mono" w:hAnsi="DejaVu Sans Mono"/>
                <w:color w:val="34495E"/>
                <w:sz w:val="16"/>
              </w:rPr>
              <w:br/>
              <w:t xml:space="preserve">  AuthorityPolicy / SourceFloor</w:t>
            </w:r>
            <w:r>
              <w:rPr>
                <w:rFonts w:ascii="DejaVu Sans Mono" w:hAnsi="DejaVu Sans Mono"/>
                <w:color w:val="34495E"/>
                <w:sz w:val="16"/>
              </w:rPr>
              <w:br/>
              <w:t xml:space="preserve">  Applicability A</w:t>
            </w:r>
            <w:r>
              <w:rPr>
                <w:rFonts w:ascii="DejaVu Sans Mono" w:hAnsi="DejaVu Sans Mono"/>
                <w:color w:val="34495E"/>
                <w:sz w:val="16"/>
              </w:rPr>
              <w:br/>
              <w:t xml:space="preserve">  Depth</w:t>
            </w:r>
            <w:r>
              <w:rPr>
                <w:rFonts w:ascii="DejaVu Sans Mono" w:hAnsi="DejaVu Sans Mono"/>
                <w:color w:val="34495E"/>
                <w:sz w:val="16"/>
              </w:rPr>
              <w:br/>
              <w:t xml:space="preserve">  Status = Active | Faded | Dropped | Resolved</w:t>
            </w:r>
            <w:r>
              <w:rPr>
                <w:rFonts w:ascii="DejaVu Sans Mono" w:hAnsi="DejaVu Sans Mono"/>
                <w:color w:val="34495E"/>
                <w:sz w:val="16"/>
              </w:rPr>
              <w:br/>
              <w:t xml:space="preserve">  Provenance</w:t>
            </w:r>
            <w:r>
              <w:rPr>
                <w:rFonts w:ascii="DejaVu Sans Mono" w:hAnsi="DejaVu Sans Mono"/>
                <w:color w:val="34495E"/>
                <w:sz w:val="16"/>
              </w:rPr>
              <w:br/>
              <w:t>}</w:t>
            </w:r>
          </w:p>
        </w:tc>
      </w:tr>
    </w:tbl>
    <w:p w14:paraId="1EA6964E" w14:textId="77777777" w:rsidR="00AC1B78" w:rsidRDefault="00AC1B78">
      <w:pPr>
        <w:spacing w:after="20"/>
        <w:rPr>
          <w:rFonts w:hint="eastAsia"/>
        </w:rPr>
      </w:pPr>
    </w:p>
    <w:p w14:paraId="77E102DA" w14:textId="77777777" w:rsidR="00AC1B78" w:rsidRDefault="002C0F08">
      <w:pPr>
        <w:pStyle w:val="Heading1"/>
        <w:spacing w:before="200" w:after="100" w:line="240" w:lineRule="auto"/>
      </w:pPr>
      <w:r>
        <w:rPr>
          <w:rFonts w:ascii="Carlito" w:hAnsi="Carlito"/>
        </w:rPr>
        <w:t>40. Semantic Search Plan Object</w:t>
      </w:r>
    </w:p>
    <w:p w14:paraId="0E376134" w14:textId="77777777" w:rsidR="00AC1B78" w:rsidRDefault="002C0F08">
      <w:pPr>
        <w:spacing w:after="120" w:line="259" w:lineRule="auto"/>
        <w:rPr>
          <w:rFonts w:hint="eastAsia"/>
        </w:rPr>
      </w:pPr>
      <w:r>
        <w:rPr>
          <w:color w:val="1F2933"/>
        </w:rPr>
        <w:t>The Search Plan aggregates RouteStates and execution policy. It can be constructed by an LLM from the request, by deterministic rules, or by a hybrid planner. Conformance depends on behavior rather than platform. The plan must preserve route identity and configuration sufficiently for the user or debugger to understand what semantic regions were searched and why.</w:t>
      </w:r>
    </w:p>
    <w:p w14:paraId="7D98D30A" w14:textId="77777777" w:rsidR="00AC1B78" w:rsidRDefault="002C0F08">
      <w:pPr>
        <w:pStyle w:val="Heading1"/>
        <w:spacing w:before="200" w:after="100" w:line="240" w:lineRule="auto"/>
      </w:pPr>
      <w:r>
        <w:rPr>
          <w:rFonts w:ascii="Carlito" w:hAnsi="Carlito"/>
        </w:rPr>
        <w:t>41. Illustrative Scoring</w:t>
      </w:r>
    </w:p>
    <w:p w14:paraId="6AE52DF3" w14:textId="77777777" w:rsidR="00AC1B78" w:rsidRDefault="002C0F08">
      <w:pPr>
        <w:spacing w:after="120" w:line="259" w:lineRule="auto"/>
        <w:rPr>
          <w:rFonts w:hint="eastAsia"/>
        </w:rPr>
      </w:pPr>
      <w:r>
        <w:rPr>
          <w:color w:val="1F2933"/>
        </w:rPr>
        <w:t>This specification intentionally does not mandate one mathematical score. An implementation may use a continuation function over relevance, applicability, parent context, query intent, and budget. A simple implementation might require applicability above a threshold before continuation and then rank active branches by relevance. Evidence weighting at the source layer may combine relevance, applicability, and authority. These are implementation examples, not normative formulas.</w:t>
      </w:r>
    </w:p>
    <w:tbl>
      <w:tblPr>
        <w:tblW w:w="0" w:type="auto"/>
        <w:jc w:val="center"/>
        <w:tblLayout w:type="fixed"/>
        <w:tblLook w:val="04A0" w:firstRow="1" w:lastRow="0" w:firstColumn="1" w:lastColumn="0" w:noHBand="0" w:noVBand="1"/>
      </w:tblPr>
      <w:tblGrid>
        <w:gridCol w:w="10052"/>
      </w:tblGrid>
      <w:tr w:rsidR="00AC1B78" w14:paraId="05375497" w14:textId="77777777">
        <w:trPr>
          <w:tblHeader/>
          <w:jc w:val="center"/>
        </w:trPr>
        <w:tc>
          <w:tcPr>
            <w:tcW w:w="10052" w:type="dxa"/>
            <w:shd w:val="clear" w:color="auto" w:fill="F4F6F8"/>
            <w:tcMar>
              <w:top w:w="100" w:type="dxa"/>
              <w:left w:w="120" w:type="dxa"/>
              <w:bottom w:w="100" w:type="dxa"/>
              <w:right w:w="120" w:type="dxa"/>
            </w:tcMar>
          </w:tcPr>
          <w:p w14:paraId="7520C520" w14:textId="77777777" w:rsidR="00AC1B78" w:rsidRDefault="002C0F08">
            <w:pPr>
              <w:spacing w:after="0" w:line="240" w:lineRule="auto"/>
              <w:rPr>
                <w:rFonts w:hint="eastAsia"/>
              </w:rPr>
            </w:pPr>
            <w:r>
              <w:rPr>
                <w:rFonts w:ascii="DejaVu Sans Mono" w:hAnsi="DejaVu Sans Mono"/>
                <w:color w:val="34495E"/>
                <w:sz w:val="16"/>
              </w:rPr>
              <w:t>ContinuationScore(branch) = f(R, A, ParentContext, QueryIntent, Budget)</w:t>
            </w:r>
            <w:r>
              <w:rPr>
                <w:rFonts w:ascii="DejaVu Sans Mono" w:hAnsi="DejaVu Sans Mono"/>
                <w:color w:val="34495E"/>
                <w:sz w:val="16"/>
              </w:rPr>
              <w:br/>
            </w:r>
            <w:r>
              <w:rPr>
                <w:rFonts w:ascii="DejaVu Sans Mono" w:hAnsi="DejaVu Sans Mono"/>
                <w:color w:val="34495E"/>
                <w:sz w:val="16"/>
              </w:rPr>
              <w:br/>
              <w:t>Illustrative only:</w:t>
            </w:r>
            <w:r>
              <w:rPr>
                <w:rFonts w:ascii="DejaVu Sans Mono" w:hAnsi="DejaVu Sans Mono"/>
                <w:color w:val="34495E"/>
                <w:sz w:val="16"/>
              </w:rPr>
              <w:br/>
              <w:t xml:space="preserve">  Continue when A &gt; 0 and R &gt;= threshold</w:t>
            </w:r>
            <w:r>
              <w:rPr>
                <w:rFonts w:ascii="DejaVu Sans Mono" w:hAnsi="DejaVu Sans Mono"/>
                <w:color w:val="34495E"/>
                <w:sz w:val="16"/>
              </w:rPr>
              <w:br/>
              <w:t xml:space="preserve">  EvidenceWeight = g(R, A, T)</w:t>
            </w:r>
            <w:r>
              <w:rPr>
                <w:rFonts w:ascii="DejaVu Sans Mono" w:hAnsi="DejaVu Sans Mono"/>
                <w:color w:val="34495E"/>
                <w:sz w:val="16"/>
              </w:rPr>
              <w:br/>
            </w:r>
            <w:r>
              <w:rPr>
                <w:rFonts w:ascii="DejaVu Sans Mono" w:hAnsi="DejaVu Sans Mono"/>
                <w:color w:val="34495E"/>
                <w:sz w:val="16"/>
              </w:rPr>
              <w:br/>
              <w:t>The factors remain separately inspectable.</w:t>
            </w:r>
          </w:p>
        </w:tc>
      </w:tr>
    </w:tbl>
    <w:p w14:paraId="36B4D0FD" w14:textId="77777777" w:rsidR="00AC1B78" w:rsidRDefault="00AC1B78">
      <w:pPr>
        <w:spacing w:after="20"/>
        <w:rPr>
          <w:rFonts w:hint="eastAsia"/>
        </w:rPr>
      </w:pPr>
    </w:p>
    <w:p w14:paraId="51C25339" w14:textId="77777777" w:rsidR="00AC1B78" w:rsidRDefault="002C0F08">
      <w:pPr>
        <w:pStyle w:val="Heading1"/>
        <w:spacing w:before="200" w:after="100" w:line="240" w:lineRule="auto"/>
      </w:pPr>
      <w:r>
        <w:rPr>
          <w:rFonts w:ascii="Carlito" w:hAnsi="Carlito"/>
        </w:rPr>
        <w:t>42. No Magic Score</w:t>
      </w:r>
    </w:p>
    <w:p w14:paraId="26FF9F54" w14:textId="77777777" w:rsidR="00AC1B78" w:rsidRDefault="002C0F08">
      <w:pPr>
        <w:spacing w:after="120" w:line="259" w:lineRule="auto"/>
        <w:rPr>
          <w:rFonts w:hint="eastAsia"/>
        </w:rPr>
      </w:pPr>
      <w:r>
        <w:rPr>
          <w:color w:val="1F2933"/>
        </w:rPr>
        <w:t>The architecture should resist collapsing every decision into one opaque scalar. A displayed score of 0.84 cannot explain whether a branch was topical, authoritative, applicable, permitted, or merely similar. Interfaces should therefore expose the major dimensions separately even when an implementation uses a composite score internally for ranking or scheduling.</w:t>
      </w:r>
    </w:p>
    <w:tbl>
      <w:tblPr>
        <w:tblW w:w="0" w:type="auto"/>
        <w:jc w:val="center"/>
        <w:tblLayout w:type="fixed"/>
        <w:tblLook w:val="04A0" w:firstRow="1" w:lastRow="0" w:firstColumn="1" w:lastColumn="0" w:noHBand="0" w:noVBand="1"/>
      </w:tblPr>
      <w:tblGrid>
        <w:gridCol w:w="3351"/>
        <w:gridCol w:w="4320"/>
        <w:gridCol w:w="3351"/>
      </w:tblGrid>
      <w:tr w:rsidR="00AC1B78" w14:paraId="7578A968" w14:textId="77777777">
        <w:trPr>
          <w:tblHeader/>
          <w:jc w:val="center"/>
        </w:trPr>
        <w:tc>
          <w:tcPr>
            <w:tcW w:w="3351" w:type="dxa"/>
            <w:shd w:val="clear" w:color="auto" w:fill="17324D"/>
            <w:tcMar>
              <w:top w:w="90" w:type="dxa"/>
              <w:left w:w="100" w:type="dxa"/>
              <w:bottom w:w="90" w:type="dxa"/>
              <w:right w:w="100" w:type="dxa"/>
            </w:tcMar>
            <w:vAlign w:val="center"/>
          </w:tcPr>
          <w:p w14:paraId="37902964" w14:textId="77777777" w:rsidR="00AC1B78" w:rsidRDefault="002C0F08">
            <w:pPr>
              <w:spacing w:after="0" w:line="240" w:lineRule="auto"/>
              <w:jc w:val="center"/>
              <w:rPr>
                <w:rFonts w:hint="eastAsia"/>
              </w:rPr>
            </w:pPr>
            <w:r>
              <w:rPr>
                <w:b/>
                <w:color w:val="FFFFFF"/>
                <w:sz w:val="17"/>
              </w:rPr>
              <w:t>Dimension</w:t>
            </w:r>
          </w:p>
        </w:tc>
        <w:tc>
          <w:tcPr>
            <w:tcW w:w="3351" w:type="dxa"/>
            <w:shd w:val="clear" w:color="auto" w:fill="17324D"/>
            <w:tcMar>
              <w:top w:w="90" w:type="dxa"/>
              <w:left w:w="100" w:type="dxa"/>
              <w:bottom w:w="90" w:type="dxa"/>
              <w:right w:w="100" w:type="dxa"/>
            </w:tcMar>
            <w:vAlign w:val="center"/>
          </w:tcPr>
          <w:p w14:paraId="3090ACEF" w14:textId="77777777" w:rsidR="00AC1B78" w:rsidRDefault="002C0F08">
            <w:pPr>
              <w:spacing w:after="0" w:line="240" w:lineRule="auto"/>
              <w:jc w:val="center"/>
              <w:rPr>
                <w:rFonts w:hint="eastAsia"/>
              </w:rPr>
            </w:pPr>
            <w:r>
              <w:rPr>
                <w:b/>
                <w:color w:val="FFFFFF"/>
                <w:sz w:val="17"/>
              </w:rPr>
              <w:t>Question answered</w:t>
            </w:r>
          </w:p>
        </w:tc>
        <w:tc>
          <w:tcPr>
            <w:tcW w:w="3351" w:type="dxa"/>
            <w:shd w:val="clear" w:color="auto" w:fill="17324D"/>
            <w:tcMar>
              <w:top w:w="90" w:type="dxa"/>
              <w:left w:w="100" w:type="dxa"/>
              <w:bottom w:w="90" w:type="dxa"/>
              <w:right w:w="100" w:type="dxa"/>
            </w:tcMar>
            <w:vAlign w:val="center"/>
          </w:tcPr>
          <w:p w14:paraId="39470ADE" w14:textId="77777777" w:rsidR="00AC1B78" w:rsidRDefault="002C0F08">
            <w:pPr>
              <w:spacing w:after="0" w:line="240" w:lineRule="auto"/>
              <w:jc w:val="center"/>
              <w:rPr>
                <w:rFonts w:hint="eastAsia"/>
              </w:rPr>
            </w:pPr>
            <w:r>
              <w:rPr>
                <w:b/>
                <w:color w:val="FFFFFF"/>
                <w:sz w:val="17"/>
              </w:rPr>
              <w:t>Example</w:t>
            </w:r>
          </w:p>
        </w:tc>
      </w:tr>
      <w:tr w:rsidR="00AC1B78" w14:paraId="29F8A219" w14:textId="77777777">
        <w:trPr>
          <w:jc w:val="center"/>
        </w:trPr>
        <w:tc>
          <w:tcPr>
            <w:tcW w:w="1728" w:type="dxa"/>
            <w:tcMar>
              <w:top w:w="85" w:type="dxa"/>
              <w:left w:w="95" w:type="dxa"/>
              <w:bottom w:w="85" w:type="dxa"/>
              <w:right w:w="95" w:type="dxa"/>
            </w:tcMar>
            <w:vAlign w:val="center"/>
          </w:tcPr>
          <w:p w14:paraId="3107F4EA" w14:textId="77777777" w:rsidR="00AC1B78" w:rsidRDefault="002C0F08">
            <w:pPr>
              <w:spacing w:after="0" w:line="245" w:lineRule="auto"/>
              <w:rPr>
                <w:rFonts w:hint="eastAsia"/>
              </w:rPr>
            </w:pPr>
            <w:r>
              <w:rPr>
                <w:color w:val="1F2933"/>
                <w:sz w:val="17"/>
              </w:rPr>
              <w:t>Relevance R</w:t>
            </w:r>
          </w:p>
        </w:tc>
        <w:tc>
          <w:tcPr>
            <w:tcW w:w="4320" w:type="dxa"/>
            <w:tcMar>
              <w:top w:w="85" w:type="dxa"/>
              <w:left w:w="95" w:type="dxa"/>
              <w:bottom w:w="85" w:type="dxa"/>
              <w:right w:w="95" w:type="dxa"/>
            </w:tcMar>
            <w:vAlign w:val="center"/>
          </w:tcPr>
          <w:p w14:paraId="194B91B2" w14:textId="77777777" w:rsidR="00AC1B78" w:rsidRDefault="002C0F08">
            <w:pPr>
              <w:spacing w:after="0" w:line="245" w:lineRule="auto"/>
              <w:rPr>
                <w:rFonts w:hint="eastAsia"/>
              </w:rPr>
            </w:pPr>
            <w:r>
              <w:rPr>
                <w:color w:val="1F2933"/>
                <w:sz w:val="17"/>
              </w:rPr>
              <w:t>Is this semantic branch or source about the request?</w:t>
            </w:r>
          </w:p>
        </w:tc>
        <w:tc>
          <w:tcPr>
            <w:tcW w:w="2736" w:type="dxa"/>
            <w:tcMar>
              <w:top w:w="85" w:type="dxa"/>
              <w:left w:w="95" w:type="dxa"/>
              <w:bottom w:w="85" w:type="dxa"/>
              <w:right w:w="95" w:type="dxa"/>
            </w:tcMar>
            <w:vAlign w:val="center"/>
          </w:tcPr>
          <w:p w14:paraId="03212798" w14:textId="77777777" w:rsidR="00AC1B78" w:rsidRDefault="002C0F08">
            <w:pPr>
              <w:spacing w:after="0" w:line="245" w:lineRule="auto"/>
              <w:rPr>
                <w:rFonts w:hint="eastAsia"/>
              </w:rPr>
            </w:pPr>
            <w:r>
              <w:rPr>
                <w:color w:val="1F2933"/>
                <w:sz w:val="17"/>
              </w:rPr>
              <w:t>Self-Healing Materials = 0.96</w:t>
            </w:r>
          </w:p>
        </w:tc>
      </w:tr>
      <w:tr w:rsidR="00AC1B78" w14:paraId="2E86CDBE" w14:textId="77777777">
        <w:trPr>
          <w:jc w:val="center"/>
        </w:trPr>
        <w:tc>
          <w:tcPr>
            <w:tcW w:w="1728" w:type="dxa"/>
            <w:shd w:val="clear" w:color="auto" w:fill="F7F9FB"/>
            <w:tcMar>
              <w:top w:w="85" w:type="dxa"/>
              <w:left w:w="95" w:type="dxa"/>
              <w:bottom w:w="85" w:type="dxa"/>
              <w:right w:w="95" w:type="dxa"/>
            </w:tcMar>
            <w:vAlign w:val="center"/>
          </w:tcPr>
          <w:p w14:paraId="426F758C" w14:textId="77777777" w:rsidR="00AC1B78" w:rsidRDefault="002C0F08">
            <w:pPr>
              <w:spacing w:after="0" w:line="245" w:lineRule="auto"/>
              <w:rPr>
                <w:rFonts w:hint="eastAsia"/>
              </w:rPr>
            </w:pPr>
            <w:r>
              <w:rPr>
                <w:color w:val="1F2933"/>
                <w:sz w:val="17"/>
              </w:rPr>
              <w:t>Authority T</w:t>
            </w:r>
          </w:p>
        </w:tc>
        <w:tc>
          <w:tcPr>
            <w:tcW w:w="4320" w:type="dxa"/>
            <w:shd w:val="clear" w:color="auto" w:fill="F7F9FB"/>
            <w:tcMar>
              <w:top w:w="85" w:type="dxa"/>
              <w:left w:w="95" w:type="dxa"/>
              <w:bottom w:w="85" w:type="dxa"/>
              <w:right w:w="95" w:type="dxa"/>
            </w:tcMar>
            <w:vAlign w:val="center"/>
          </w:tcPr>
          <w:p w14:paraId="48FD4BE2" w14:textId="77777777" w:rsidR="00AC1B78" w:rsidRDefault="002C0F08">
            <w:pPr>
              <w:spacing w:after="0" w:line="245" w:lineRule="auto"/>
              <w:rPr>
                <w:rFonts w:hint="eastAsia"/>
              </w:rPr>
            </w:pPr>
            <w:r>
              <w:rPr>
                <w:color w:val="1F2933"/>
                <w:sz w:val="17"/>
              </w:rPr>
              <w:t>How strongly may this source establish this kind of claim?</w:t>
            </w:r>
          </w:p>
        </w:tc>
        <w:tc>
          <w:tcPr>
            <w:tcW w:w="2736" w:type="dxa"/>
            <w:shd w:val="clear" w:color="auto" w:fill="F7F9FB"/>
            <w:tcMar>
              <w:top w:w="85" w:type="dxa"/>
              <w:left w:w="95" w:type="dxa"/>
              <w:bottom w:w="85" w:type="dxa"/>
              <w:right w:w="95" w:type="dxa"/>
            </w:tcMar>
            <w:vAlign w:val="center"/>
          </w:tcPr>
          <w:p w14:paraId="3854F6A4" w14:textId="77777777" w:rsidR="00AC1B78" w:rsidRDefault="002C0F08">
            <w:pPr>
              <w:spacing w:after="0" w:line="245" w:lineRule="auto"/>
              <w:rPr>
                <w:rFonts w:hint="eastAsia"/>
              </w:rPr>
            </w:pPr>
            <w:r>
              <w:rPr>
                <w:color w:val="1F2933"/>
                <w:sz w:val="17"/>
              </w:rPr>
              <w:t>Company Standard = 1.00 for official policy</w:t>
            </w:r>
          </w:p>
        </w:tc>
      </w:tr>
      <w:tr w:rsidR="00AC1B78" w14:paraId="5092827E" w14:textId="77777777">
        <w:trPr>
          <w:jc w:val="center"/>
        </w:trPr>
        <w:tc>
          <w:tcPr>
            <w:tcW w:w="1728" w:type="dxa"/>
            <w:tcMar>
              <w:top w:w="85" w:type="dxa"/>
              <w:left w:w="95" w:type="dxa"/>
              <w:bottom w:w="85" w:type="dxa"/>
              <w:right w:w="95" w:type="dxa"/>
            </w:tcMar>
            <w:vAlign w:val="center"/>
          </w:tcPr>
          <w:p w14:paraId="048FB58A" w14:textId="77777777" w:rsidR="00AC1B78" w:rsidRDefault="002C0F08">
            <w:pPr>
              <w:spacing w:after="0" w:line="245" w:lineRule="auto"/>
              <w:rPr>
                <w:rFonts w:hint="eastAsia"/>
              </w:rPr>
            </w:pPr>
            <w:r>
              <w:rPr>
                <w:color w:val="1F2933"/>
                <w:sz w:val="17"/>
              </w:rPr>
              <w:t>Applicability A</w:t>
            </w:r>
          </w:p>
        </w:tc>
        <w:tc>
          <w:tcPr>
            <w:tcW w:w="4320" w:type="dxa"/>
            <w:tcMar>
              <w:top w:w="85" w:type="dxa"/>
              <w:left w:w="95" w:type="dxa"/>
              <w:bottom w:w="85" w:type="dxa"/>
              <w:right w:w="95" w:type="dxa"/>
            </w:tcMar>
            <w:vAlign w:val="center"/>
          </w:tcPr>
          <w:p w14:paraId="18341580" w14:textId="77777777" w:rsidR="00AC1B78" w:rsidRDefault="002C0F08">
            <w:pPr>
              <w:spacing w:after="0" w:line="245" w:lineRule="auto"/>
              <w:rPr>
                <w:rFonts w:hint="eastAsia"/>
              </w:rPr>
            </w:pPr>
            <w:r>
              <w:rPr>
                <w:color w:val="1F2933"/>
                <w:sz w:val="17"/>
              </w:rPr>
              <w:t>Does this information govern or pertain to the current context?</w:t>
            </w:r>
          </w:p>
        </w:tc>
        <w:tc>
          <w:tcPr>
            <w:tcW w:w="2736" w:type="dxa"/>
            <w:tcMar>
              <w:top w:w="85" w:type="dxa"/>
              <w:left w:w="95" w:type="dxa"/>
              <w:bottom w:w="85" w:type="dxa"/>
              <w:right w:w="95" w:type="dxa"/>
            </w:tcMar>
            <w:vAlign w:val="center"/>
          </w:tcPr>
          <w:p w14:paraId="212982FA" w14:textId="77777777" w:rsidR="00AC1B78" w:rsidRDefault="002C0F08">
            <w:pPr>
              <w:spacing w:after="0" w:line="245" w:lineRule="auto"/>
              <w:rPr>
                <w:rFonts w:hint="eastAsia"/>
              </w:rPr>
            </w:pPr>
            <w:r>
              <w:rPr>
                <w:color w:val="1F2933"/>
                <w:sz w:val="17"/>
              </w:rPr>
              <w:t>DragonRealm law = 0.00 in real-world query</w:t>
            </w:r>
          </w:p>
        </w:tc>
      </w:tr>
      <w:tr w:rsidR="00AC1B78" w14:paraId="0CE5CE74" w14:textId="77777777">
        <w:trPr>
          <w:jc w:val="center"/>
        </w:trPr>
        <w:tc>
          <w:tcPr>
            <w:tcW w:w="1728" w:type="dxa"/>
            <w:shd w:val="clear" w:color="auto" w:fill="F7F9FB"/>
            <w:tcMar>
              <w:top w:w="85" w:type="dxa"/>
              <w:left w:w="95" w:type="dxa"/>
              <w:bottom w:w="85" w:type="dxa"/>
              <w:right w:w="95" w:type="dxa"/>
            </w:tcMar>
            <w:vAlign w:val="center"/>
          </w:tcPr>
          <w:p w14:paraId="1FA4F52A" w14:textId="77777777" w:rsidR="00AC1B78" w:rsidRDefault="002C0F08">
            <w:pPr>
              <w:spacing w:after="0" w:line="245" w:lineRule="auto"/>
              <w:rPr>
                <w:rFonts w:hint="eastAsia"/>
              </w:rPr>
            </w:pPr>
            <w:r>
              <w:rPr>
                <w:color w:val="1F2933"/>
                <w:sz w:val="17"/>
              </w:rPr>
              <w:t>Permission</w:t>
            </w:r>
          </w:p>
        </w:tc>
        <w:tc>
          <w:tcPr>
            <w:tcW w:w="4320" w:type="dxa"/>
            <w:shd w:val="clear" w:color="auto" w:fill="F7F9FB"/>
            <w:tcMar>
              <w:top w:w="85" w:type="dxa"/>
              <w:left w:w="95" w:type="dxa"/>
              <w:bottom w:w="85" w:type="dxa"/>
              <w:right w:w="95" w:type="dxa"/>
            </w:tcMar>
            <w:vAlign w:val="center"/>
          </w:tcPr>
          <w:p w14:paraId="165E1A7C" w14:textId="77777777" w:rsidR="00AC1B78" w:rsidRDefault="002C0F08">
            <w:pPr>
              <w:spacing w:after="0" w:line="245" w:lineRule="auto"/>
              <w:rPr>
                <w:rFonts w:hint="eastAsia"/>
              </w:rPr>
            </w:pPr>
            <w:r>
              <w:rPr>
                <w:color w:val="1F2933"/>
                <w:sz w:val="17"/>
              </w:rPr>
              <w:t>May this user/agent know or use this route/source?</w:t>
            </w:r>
          </w:p>
        </w:tc>
        <w:tc>
          <w:tcPr>
            <w:tcW w:w="2736" w:type="dxa"/>
            <w:shd w:val="clear" w:color="auto" w:fill="F7F9FB"/>
            <w:tcMar>
              <w:top w:w="85" w:type="dxa"/>
              <w:left w:w="95" w:type="dxa"/>
              <w:bottom w:w="85" w:type="dxa"/>
              <w:right w:w="95" w:type="dxa"/>
            </w:tcMar>
            <w:vAlign w:val="center"/>
          </w:tcPr>
          <w:p w14:paraId="332AD2CD" w14:textId="77777777" w:rsidR="00AC1B78" w:rsidRDefault="002C0F08">
            <w:pPr>
              <w:spacing w:after="0" w:line="245" w:lineRule="auto"/>
              <w:rPr>
                <w:rFonts w:hint="eastAsia"/>
              </w:rPr>
            </w:pPr>
            <w:r>
              <w:rPr>
                <w:color w:val="1F2933"/>
                <w:sz w:val="17"/>
              </w:rPr>
              <w:t>Authorized / hidden</w:t>
            </w:r>
          </w:p>
        </w:tc>
      </w:tr>
      <w:tr w:rsidR="00AC1B78" w14:paraId="0B65B8C0" w14:textId="77777777">
        <w:trPr>
          <w:jc w:val="center"/>
        </w:trPr>
        <w:tc>
          <w:tcPr>
            <w:tcW w:w="1728" w:type="dxa"/>
            <w:tcMar>
              <w:top w:w="85" w:type="dxa"/>
              <w:left w:w="95" w:type="dxa"/>
              <w:bottom w:w="85" w:type="dxa"/>
              <w:right w:w="95" w:type="dxa"/>
            </w:tcMar>
            <w:vAlign w:val="center"/>
          </w:tcPr>
          <w:p w14:paraId="672DF2A8" w14:textId="77777777" w:rsidR="00AC1B78" w:rsidRDefault="002C0F08">
            <w:pPr>
              <w:spacing w:after="0" w:line="245" w:lineRule="auto"/>
              <w:rPr>
                <w:rFonts w:hint="eastAsia"/>
              </w:rPr>
            </w:pPr>
            <w:r>
              <w:rPr>
                <w:color w:val="1F2933"/>
                <w:sz w:val="17"/>
              </w:rPr>
              <w:t>Epistemic status</w:t>
            </w:r>
          </w:p>
        </w:tc>
        <w:tc>
          <w:tcPr>
            <w:tcW w:w="4320" w:type="dxa"/>
            <w:tcMar>
              <w:top w:w="85" w:type="dxa"/>
              <w:left w:w="95" w:type="dxa"/>
              <w:bottom w:w="85" w:type="dxa"/>
              <w:right w:w="95" w:type="dxa"/>
            </w:tcMar>
            <w:vAlign w:val="center"/>
          </w:tcPr>
          <w:p w14:paraId="68C311E9" w14:textId="77777777" w:rsidR="00AC1B78" w:rsidRDefault="002C0F08">
            <w:pPr>
              <w:spacing w:after="0" w:line="245" w:lineRule="auto"/>
              <w:rPr>
                <w:rFonts w:hint="eastAsia"/>
              </w:rPr>
            </w:pPr>
            <w:r>
              <w:rPr>
                <w:color w:val="1F2933"/>
                <w:sz w:val="17"/>
              </w:rPr>
              <w:t>What kind of knowledge is this?</w:t>
            </w:r>
          </w:p>
        </w:tc>
        <w:tc>
          <w:tcPr>
            <w:tcW w:w="2736" w:type="dxa"/>
            <w:tcMar>
              <w:top w:w="85" w:type="dxa"/>
              <w:left w:w="95" w:type="dxa"/>
              <w:bottom w:w="85" w:type="dxa"/>
              <w:right w:w="95" w:type="dxa"/>
            </w:tcMar>
            <w:vAlign w:val="center"/>
          </w:tcPr>
          <w:p w14:paraId="1E9313A7" w14:textId="77777777" w:rsidR="00AC1B78" w:rsidRDefault="002C0F08">
            <w:pPr>
              <w:spacing w:after="0" w:line="245" w:lineRule="auto"/>
              <w:rPr>
                <w:rFonts w:hint="eastAsia"/>
              </w:rPr>
            </w:pPr>
            <w:r>
              <w:rPr>
                <w:color w:val="1F2933"/>
                <w:sz w:val="17"/>
              </w:rPr>
              <w:t>CIRCLE / FRINGE / FASK</w:t>
            </w:r>
          </w:p>
        </w:tc>
      </w:tr>
    </w:tbl>
    <w:p w14:paraId="586D5160" w14:textId="77777777" w:rsidR="00AC1B78" w:rsidRDefault="00AC1B78">
      <w:pPr>
        <w:spacing w:after="40"/>
        <w:rPr>
          <w:rFonts w:hint="eastAsia"/>
        </w:rPr>
      </w:pPr>
    </w:p>
    <w:p w14:paraId="74D7AF7B" w14:textId="77777777" w:rsidR="00AC1B78" w:rsidRDefault="002C0F08">
      <w:pPr>
        <w:pStyle w:val="Heading1"/>
        <w:spacing w:before="200" w:after="100" w:line="240" w:lineRule="auto"/>
      </w:pPr>
      <w:r>
        <w:rPr>
          <w:rFonts w:ascii="Carlito" w:hAnsi="Carlito"/>
        </w:rPr>
        <w:t>Part VIII - Worked Examples</w:t>
      </w:r>
    </w:p>
    <w:p w14:paraId="1173F933" w14:textId="77777777" w:rsidR="00AC1B78" w:rsidRDefault="002C0F08">
      <w:pPr>
        <w:pStyle w:val="Heading1"/>
        <w:spacing w:before="200" w:after="100" w:line="240" w:lineRule="auto"/>
      </w:pPr>
      <w:r>
        <w:rPr>
          <w:rFonts w:ascii="Carlito" w:hAnsi="Carlito"/>
        </w:rPr>
        <w:t>43. Worked Example A - Potato Cooking Query</w:t>
      </w:r>
    </w:p>
    <w:p w14:paraId="292BC237" w14:textId="77777777" w:rsidR="00AC1B78" w:rsidRDefault="002C0F08">
      <w:pPr>
        <w:spacing w:after="120" w:line="259" w:lineRule="auto"/>
        <w:rPr>
          <w:rFonts w:hint="eastAsia"/>
        </w:rPr>
      </w:pPr>
      <w:r>
        <w:rPr>
          <w:color w:val="1F2933"/>
        </w:rPr>
        <w:t>Request: What temperature should I bake potatoes? This query demonstrates aggressive collapse. SOLAR may resolve bake and potato directly to registered semantic targets. The Subject router activates Food and Cooking; unrelated domains fade immediately. A Food 000 route opens a potato/cooking 00 bundle. GROOVE identifies a small set of cooking-time and thermal-processing sources or a registered Cooking Times Model. The runtime can therefore reach the relevant Model or source material after only a few semanti</w:t>
      </w:r>
      <w:r>
        <w:rPr>
          <w:color w:val="1F2933"/>
        </w:rPr>
        <w:t>c passes.</w:t>
      </w:r>
    </w:p>
    <w:tbl>
      <w:tblPr>
        <w:tblW w:w="0" w:type="auto"/>
        <w:jc w:val="center"/>
        <w:tblLayout w:type="fixed"/>
        <w:tblLook w:val="04A0" w:firstRow="1" w:lastRow="0" w:firstColumn="1" w:lastColumn="0" w:noHBand="0" w:noVBand="1"/>
      </w:tblPr>
      <w:tblGrid>
        <w:gridCol w:w="10052"/>
      </w:tblGrid>
      <w:tr w:rsidR="00AC1B78" w14:paraId="70B5AF67" w14:textId="77777777">
        <w:trPr>
          <w:tblHeader/>
          <w:jc w:val="center"/>
        </w:trPr>
        <w:tc>
          <w:tcPr>
            <w:tcW w:w="10052" w:type="dxa"/>
            <w:shd w:val="clear" w:color="auto" w:fill="F4F6F8"/>
            <w:tcMar>
              <w:top w:w="100" w:type="dxa"/>
              <w:left w:w="120" w:type="dxa"/>
              <w:bottom w:w="100" w:type="dxa"/>
              <w:right w:w="120" w:type="dxa"/>
            </w:tcMar>
          </w:tcPr>
          <w:p w14:paraId="0EC683A9" w14:textId="77777777" w:rsidR="00AC1B78" w:rsidRDefault="002C0F08">
            <w:pPr>
              <w:spacing w:after="0" w:line="240" w:lineRule="auto"/>
              <w:rPr>
                <w:rFonts w:hint="eastAsia"/>
              </w:rPr>
            </w:pPr>
            <w:r>
              <w:rPr>
                <w:rFonts w:ascii="DejaVu Sans Mono" w:hAnsi="DejaVu Sans Mono"/>
                <w:color w:val="34495E"/>
                <w:sz w:val="16"/>
              </w:rPr>
              <w:t>SUBJECT: Food + Cooking</w:t>
            </w:r>
            <w:r>
              <w:rPr>
                <w:rFonts w:ascii="DejaVu Sans Mono" w:hAnsi="DejaVu Sans Mono"/>
                <w:color w:val="34495E"/>
                <w:sz w:val="16"/>
              </w:rPr>
              <w:br/>
              <w:t>INTENT: Explain / Lookup</w:t>
            </w:r>
            <w:r>
              <w:rPr>
                <w:rFonts w:ascii="DejaVu Sans Mono" w:hAnsi="DejaVu Sans Mono"/>
                <w:color w:val="34495E"/>
                <w:sz w:val="16"/>
              </w:rPr>
              <w:br/>
              <w:t>CONTEXT: Real World</w:t>
            </w:r>
            <w:r>
              <w:rPr>
                <w:rFonts w:ascii="DejaVu Sans Mono" w:hAnsi="DejaVu Sans Mono"/>
                <w:color w:val="34495E"/>
                <w:sz w:val="16"/>
              </w:rPr>
              <w:br/>
              <w:t>ROUTE: FOOD::000 -&gt; Potato -&gt; Baking / Thermal Processing</w:t>
            </w:r>
            <w:r>
              <w:rPr>
                <w:rFonts w:ascii="DejaVu Sans Mono" w:hAnsi="DejaVu Sans Mono"/>
                <w:color w:val="34495E"/>
                <w:sz w:val="16"/>
              </w:rPr>
              <w:br/>
              <w:t>00: Potato Cooking Bundle</w:t>
            </w:r>
            <w:r>
              <w:rPr>
                <w:rFonts w:ascii="DejaVu Sans Mono" w:hAnsi="DejaVu Sans Mono"/>
                <w:color w:val="34495E"/>
                <w:sz w:val="16"/>
              </w:rPr>
              <w:br/>
              <w:t>TOKEN STAGE: selected Model + small source set</w:t>
            </w:r>
          </w:p>
        </w:tc>
      </w:tr>
    </w:tbl>
    <w:p w14:paraId="0516E76D" w14:textId="77777777" w:rsidR="00AC1B78" w:rsidRDefault="00AC1B78">
      <w:pPr>
        <w:spacing w:after="20"/>
        <w:rPr>
          <w:rFonts w:hint="eastAsia"/>
        </w:rPr>
      </w:pPr>
    </w:p>
    <w:p w14:paraId="5AB8EE61" w14:textId="77777777" w:rsidR="00AC1B78" w:rsidRDefault="002C0F08">
      <w:pPr>
        <w:pStyle w:val="Heading1"/>
        <w:spacing w:before="200" w:after="100" w:line="240" w:lineRule="auto"/>
      </w:pPr>
      <w:r>
        <w:rPr>
          <w:rFonts w:ascii="Carlito" w:hAnsi="Carlito"/>
        </w:rPr>
        <w:t>44. Worked Example B - Bio-Materials Research Query</w:t>
      </w:r>
    </w:p>
    <w:p w14:paraId="039DD868" w14:textId="77777777" w:rsidR="00AC1B78" w:rsidRDefault="002C0F08">
      <w:pPr>
        <w:spacing w:after="120" w:line="259" w:lineRule="auto"/>
        <w:rPr>
          <w:rFonts w:hint="eastAsia"/>
        </w:rPr>
      </w:pPr>
      <w:r>
        <w:rPr>
          <w:color w:val="1F2933"/>
        </w:rPr>
        <w:t>Request: Could biological self-healing mechanisms improve underwater structural materials? This query remains multifactor. Science activates Biology, Materials, and Physics; Engineering activates Marine and Structural. Biology to Regeneration intersects Materials to Self Repair. Marine to Structural Repair joins the downstream semantic surface. Established sources receive priority for descriptive claims while experimental and FASK layers may remain available for design ideation.</w:t>
      </w:r>
    </w:p>
    <w:p w14:paraId="5983C71A" w14:textId="77777777" w:rsidR="00AC1B78" w:rsidRDefault="002C0F08">
      <w:pPr>
        <w:spacing w:after="120" w:line="259" w:lineRule="auto"/>
        <w:rPr>
          <w:rFonts w:hint="eastAsia"/>
        </w:rPr>
      </w:pPr>
      <w:r>
        <w:rPr>
          <w:color w:val="1F2933"/>
        </w:rPr>
        <w:t>The key property is that the system can keep several branches active long enough to discover the intersection while allowing unrelated branches to fade. The search therefore spends tokens on biologically inspired material repair, submerged structural constraints, and relevant Models instead of on the full Science and Engineering corpus.</w:t>
      </w:r>
    </w:p>
    <w:p w14:paraId="2F7A0890" w14:textId="77777777" w:rsidR="00AC1B78" w:rsidRDefault="002C0F08">
      <w:pPr>
        <w:pStyle w:val="Heading1"/>
        <w:spacing w:before="200" w:after="100" w:line="240" w:lineRule="auto"/>
      </w:pPr>
      <w:r>
        <w:rPr>
          <w:rFonts w:ascii="Carlito" w:hAnsi="Carlito"/>
        </w:rPr>
        <w:t>45. Worked Example C - Company Policy</w:t>
      </w:r>
    </w:p>
    <w:p w14:paraId="77A7472A" w14:textId="77777777" w:rsidR="00AC1B78" w:rsidRDefault="002C0F08">
      <w:pPr>
        <w:spacing w:after="120" w:line="259" w:lineRule="auto"/>
        <w:rPr>
          <w:rFonts w:hint="eastAsia"/>
        </w:rPr>
      </w:pPr>
      <w:r>
        <w:rPr>
          <w:color w:val="1F2933"/>
        </w:rPr>
        <w:t>Request A: What is our official travel reimbursement policy? Context resolves to the company environment. Intent is official lookup. The authority floor is high. The current company standard remains active while drafts, notes, and forum posts fall out for purposes of establishing policy. Request B: What are employees confused about in the travel reimbursement policy? The semantic route is almost identical, but the intent changes. Employee notes and discussion now become relevant evidence about confusion whi</w:t>
      </w:r>
      <w:r>
        <w:rPr>
          <w:color w:val="1F2933"/>
        </w:rPr>
        <w:t>le remaining non-authoritative about the official rule.</w:t>
      </w:r>
    </w:p>
    <w:p w14:paraId="676201B4" w14:textId="77777777" w:rsidR="00AC1B78" w:rsidRDefault="002C0F08">
      <w:pPr>
        <w:pStyle w:val="Heading1"/>
        <w:spacing w:before="200" w:after="100" w:line="240" w:lineRule="auto"/>
      </w:pPr>
      <w:r>
        <w:rPr>
          <w:rFonts w:ascii="Carlito" w:hAnsi="Carlito"/>
        </w:rPr>
        <w:t>46. Worked Example D - Game Law</w:t>
      </w:r>
    </w:p>
    <w:p w14:paraId="35E8425D" w14:textId="77777777" w:rsidR="00AC1B78" w:rsidRDefault="002C0F08">
      <w:pPr>
        <w:spacing w:after="120" w:line="259" w:lineRule="auto"/>
        <w:rPr>
          <w:rFonts w:hint="eastAsia"/>
        </w:rPr>
      </w:pPr>
      <w:r>
        <w:rPr>
          <w:color w:val="1F2933"/>
        </w:rPr>
        <w:t>Request A: Can dragon fire cross the river? Context is DragonRealm. The Game Law route has authority 1.00 and applicability 1.00, so it survives and directly answers the query. Request B: Can real fire cross water? Context is Real World. The same game law retains authority inside DragonRealm but has applicability 0.00 and is dropped before source retrieval. The example demonstrates why scope should not be represented as a reduction in trust.</w:t>
      </w:r>
    </w:p>
    <w:p w14:paraId="2A46B9CF" w14:textId="77777777" w:rsidR="00AC1B78" w:rsidRDefault="002C0F08">
      <w:pPr>
        <w:pStyle w:val="Heading1"/>
        <w:spacing w:before="200" w:after="100" w:line="240" w:lineRule="auto"/>
      </w:pPr>
      <w:r>
        <w:rPr>
          <w:rFonts w:ascii="Carlito" w:hAnsi="Carlito"/>
        </w:rPr>
        <w:t>47. Worked Example E - Cross-Domain Historical Research</w:t>
      </w:r>
    </w:p>
    <w:p w14:paraId="765313BC" w14:textId="77777777" w:rsidR="00AC1B78" w:rsidRDefault="002C0F08">
      <w:pPr>
        <w:spacing w:after="120" w:line="259" w:lineRule="auto"/>
        <w:rPr>
          <w:rFonts w:hint="eastAsia"/>
        </w:rPr>
      </w:pPr>
      <w:r>
        <w:rPr>
          <w:color w:val="1F2933"/>
        </w:rPr>
        <w:t>Request: How did music recording technology affect political movements in a specified historical period? Subject routing activates Music, Technology, History, Politics, and Culture. Intent activates Explain and Compare. Historical context constrains the time period. The active frontier can remain broad for several passes because the value lies in cross-domain relations. GROOVE projections over historical documents, recordings, biographies, and technology histories can intersect through stable Entry identiti</w:t>
      </w:r>
      <w:r>
        <w:rPr>
          <w:color w:val="1F2933"/>
        </w:rPr>
        <w:t>es. Only the sources surviving both semantic and temporal constraints are reopened.</w:t>
      </w:r>
    </w:p>
    <w:p w14:paraId="6C2915D2" w14:textId="77777777" w:rsidR="00AC1B78" w:rsidRDefault="002C0F08">
      <w:pPr>
        <w:keepNext/>
        <w:spacing w:before="80" w:after="60" w:line="240" w:lineRule="auto"/>
        <w:jc w:val="center"/>
        <w:rPr>
          <w:rFonts w:hint="eastAsia"/>
        </w:rPr>
      </w:pPr>
      <w:r>
        <w:rPr>
          <w:noProof/>
        </w:rPr>
        <w:drawing>
          <wp:inline distT="0" distB="0" distL="0" distR="0" wp14:anchorId="72053867" wp14:editId="4D51ABD2">
            <wp:extent cx="5897880" cy="3336697"/>
            <wp:effectExtent l="0" t="0" r="0" b="0"/>
            <wp:docPr id="14" name="Picture 14" descr="The left path shows an exact SOLAR Alias for transpose resolving directly to an Operator. The right path shows long-tail language using partial SOLAR resolution, Routing SKs, GROOVE, and a candidate BitGroup before the system commits to a semantic operand." title="Figure 14: Direct SOLAR vs Semantic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solar_vs_search.png"/>
                    <pic:cNvPicPr/>
                  </pic:nvPicPr>
                  <pic:blipFill>
                    <a:blip r:embed="rId21"/>
                    <a:stretch>
                      <a:fillRect/>
                    </a:stretch>
                  </pic:blipFill>
                  <pic:spPr>
                    <a:xfrm>
                      <a:off x="0" y="0"/>
                      <a:ext cx="5897880" cy="3336697"/>
                    </a:xfrm>
                    <a:prstGeom prst="rect">
                      <a:avLst/>
                    </a:prstGeom>
                  </pic:spPr>
                </pic:pic>
              </a:graphicData>
            </a:graphic>
          </wp:inline>
        </w:drawing>
      </w:r>
    </w:p>
    <w:p w14:paraId="7F370329" w14:textId="77777777" w:rsidR="00AC1B78" w:rsidRDefault="002C0F08">
      <w:pPr>
        <w:keepLines/>
        <w:spacing w:after="160" w:line="245" w:lineRule="auto"/>
        <w:rPr>
          <w:rFonts w:hint="eastAsia"/>
        </w:rPr>
      </w:pPr>
      <w:r>
        <w:rPr>
          <w:b/>
          <w:color w:val="17324D"/>
          <w:sz w:val="17"/>
        </w:rPr>
        <w:t xml:space="preserve">Figure 14. Direct SOLAR vs Semantic Search. </w:t>
      </w:r>
      <w:r>
        <w:rPr>
          <w:color w:val="6B7785"/>
          <w:sz w:val="17"/>
        </w:rPr>
        <w:t>The left path shows an exact SOLAR Alias for transpose resolving directly to an Operator. The right path shows long-tail language using partial SOLAR resolution, Routing SKs, GROOVE, and a candidate BitGroup before the system commits to a semantic operand.</w:t>
      </w:r>
    </w:p>
    <w:p w14:paraId="7C812F0E" w14:textId="77777777" w:rsidR="00AC1B78" w:rsidRDefault="002C0F08">
      <w:pPr>
        <w:pStyle w:val="Heading1"/>
        <w:spacing w:before="200" w:after="100" w:line="240" w:lineRule="auto"/>
      </w:pPr>
      <w:r>
        <w:rPr>
          <w:rFonts w:ascii="Carlito" w:hAnsi="Carlito"/>
        </w:rPr>
        <w:t>Part IX - Formal Principles, Failure Modes, and Conformance</w:t>
      </w:r>
    </w:p>
    <w:p w14:paraId="02F73356" w14:textId="77777777" w:rsidR="00AC1B78" w:rsidRDefault="002C0F08">
      <w:pPr>
        <w:pStyle w:val="Heading1"/>
        <w:spacing w:before="200" w:after="100" w:line="240" w:lineRule="auto"/>
      </w:pPr>
      <w:r>
        <w:rPr>
          <w:rFonts w:ascii="Carlito" w:hAnsi="Carlito"/>
        </w:rPr>
        <w:t>48. Normative Principles</w:t>
      </w:r>
    </w:p>
    <w:tbl>
      <w:tblPr>
        <w:tblW w:w="0" w:type="auto"/>
        <w:jc w:val="center"/>
        <w:tblLayout w:type="fixed"/>
        <w:tblLook w:val="04A0" w:firstRow="1" w:lastRow="0" w:firstColumn="1" w:lastColumn="0" w:noHBand="0" w:noVBand="1"/>
      </w:tblPr>
      <w:tblGrid>
        <w:gridCol w:w="3351"/>
        <w:gridCol w:w="3351"/>
        <w:gridCol w:w="5544"/>
      </w:tblGrid>
      <w:tr w:rsidR="00AC1B78" w14:paraId="12FF1A4D" w14:textId="77777777">
        <w:trPr>
          <w:tblHeader/>
          <w:jc w:val="center"/>
        </w:trPr>
        <w:tc>
          <w:tcPr>
            <w:tcW w:w="3351" w:type="dxa"/>
            <w:shd w:val="clear" w:color="auto" w:fill="17324D"/>
            <w:tcMar>
              <w:top w:w="90" w:type="dxa"/>
              <w:left w:w="100" w:type="dxa"/>
              <w:bottom w:w="90" w:type="dxa"/>
              <w:right w:w="100" w:type="dxa"/>
            </w:tcMar>
            <w:vAlign w:val="center"/>
          </w:tcPr>
          <w:p w14:paraId="60791879" w14:textId="77777777" w:rsidR="00AC1B78" w:rsidRDefault="002C0F08">
            <w:pPr>
              <w:spacing w:after="0" w:line="240" w:lineRule="auto"/>
              <w:jc w:val="center"/>
              <w:rPr>
                <w:rFonts w:hint="eastAsia"/>
              </w:rPr>
            </w:pPr>
            <w:r>
              <w:rPr>
                <w:b/>
                <w:color w:val="FFFFFF"/>
                <w:sz w:val="17"/>
              </w:rPr>
              <w:t>ID</w:t>
            </w:r>
          </w:p>
        </w:tc>
        <w:tc>
          <w:tcPr>
            <w:tcW w:w="3351" w:type="dxa"/>
            <w:shd w:val="clear" w:color="auto" w:fill="17324D"/>
            <w:tcMar>
              <w:top w:w="90" w:type="dxa"/>
              <w:left w:w="100" w:type="dxa"/>
              <w:bottom w:w="90" w:type="dxa"/>
              <w:right w:w="100" w:type="dxa"/>
            </w:tcMar>
            <w:vAlign w:val="center"/>
          </w:tcPr>
          <w:p w14:paraId="20ACB693" w14:textId="77777777" w:rsidR="00AC1B78" w:rsidRDefault="002C0F08">
            <w:pPr>
              <w:spacing w:after="0" w:line="240" w:lineRule="auto"/>
              <w:jc w:val="center"/>
              <w:rPr>
                <w:rFonts w:hint="eastAsia"/>
              </w:rPr>
            </w:pPr>
            <w:r>
              <w:rPr>
                <w:b/>
                <w:color w:val="FFFFFF"/>
                <w:sz w:val="17"/>
              </w:rPr>
              <w:t>Principle</w:t>
            </w:r>
          </w:p>
        </w:tc>
        <w:tc>
          <w:tcPr>
            <w:tcW w:w="3351" w:type="dxa"/>
            <w:shd w:val="clear" w:color="auto" w:fill="17324D"/>
            <w:tcMar>
              <w:top w:w="90" w:type="dxa"/>
              <w:left w:w="100" w:type="dxa"/>
              <w:bottom w:w="90" w:type="dxa"/>
              <w:right w:w="100" w:type="dxa"/>
            </w:tcMar>
            <w:vAlign w:val="center"/>
          </w:tcPr>
          <w:p w14:paraId="1CE4DD00" w14:textId="77777777" w:rsidR="00AC1B78" w:rsidRDefault="002C0F08">
            <w:pPr>
              <w:spacing w:after="0" w:line="240" w:lineRule="auto"/>
              <w:jc w:val="center"/>
              <w:rPr>
                <w:rFonts w:hint="eastAsia"/>
              </w:rPr>
            </w:pPr>
            <w:r>
              <w:rPr>
                <w:b/>
                <w:color w:val="FFFFFF"/>
                <w:sz w:val="17"/>
              </w:rPr>
              <w:t>Requirement</w:t>
            </w:r>
          </w:p>
        </w:tc>
      </w:tr>
      <w:tr w:rsidR="00AC1B78" w14:paraId="44645929" w14:textId="77777777">
        <w:trPr>
          <w:jc w:val="center"/>
        </w:trPr>
        <w:tc>
          <w:tcPr>
            <w:tcW w:w="1152" w:type="dxa"/>
            <w:tcMar>
              <w:top w:w="85" w:type="dxa"/>
              <w:left w:w="95" w:type="dxa"/>
              <w:bottom w:w="85" w:type="dxa"/>
              <w:right w:w="95" w:type="dxa"/>
            </w:tcMar>
            <w:vAlign w:val="center"/>
          </w:tcPr>
          <w:p w14:paraId="5FA0B285" w14:textId="77777777" w:rsidR="00AC1B78" w:rsidRDefault="002C0F08">
            <w:pPr>
              <w:spacing w:after="0" w:line="245" w:lineRule="auto"/>
              <w:rPr>
                <w:rFonts w:hint="eastAsia"/>
              </w:rPr>
            </w:pPr>
            <w:r>
              <w:rPr>
                <w:color w:val="1F2933"/>
                <w:sz w:val="16"/>
              </w:rPr>
              <w:t>BBT-L01</w:t>
            </w:r>
          </w:p>
        </w:tc>
        <w:tc>
          <w:tcPr>
            <w:tcW w:w="2088" w:type="dxa"/>
            <w:tcMar>
              <w:top w:w="85" w:type="dxa"/>
              <w:left w:w="95" w:type="dxa"/>
              <w:bottom w:w="85" w:type="dxa"/>
              <w:right w:w="95" w:type="dxa"/>
            </w:tcMar>
            <w:vAlign w:val="center"/>
          </w:tcPr>
          <w:p w14:paraId="32ED7B26" w14:textId="77777777" w:rsidR="00AC1B78" w:rsidRDefault="002C0F08">
            <w:pPr>
              <w:spacing w:after="0" w:line="245" w:lineRule="auto"/>
              <w:rPr>
                <w:rFonts w:hint="eastAsia"/>
              </w:rPr>
            </w:pPr>
            <w:r>
              <w:rPr>
                <w:color w:val="1F2933"/>
                <w:sz w:val="16"/>
              </w:rPr>
              <w:t>Bits Before Tokens</w:t>
            </w:r>
          </w:p>
        </w:tc>
        <w:tc>
          <w:tcPr>
            <w:tcW w:w="5544" w:type="dxa"/>
            <w:tcMar>
              <w:top w:w="85" w:type="dxa"/>
              <w:left w:w="95" w:type="dxa"/>
              <w:bottom w:w="85" w:type="dxa"/>
              <w:right w:w="95" w:type="dxa"/>
            </w:tcMar>
            <w:vAlign w:val="center"/>
          </w:tcPr>
          <w:p w14:paraId="5B9A2AAF" w14:textId="77777777" w:rsidR="00AC1B78" w:rsidRDefault="002C0F08">
            <w:pPr>
              <w:spacing w:after="0" w:line="245" w:lineRule="auto"/>
              <w:rPr>
                <w:rFonts w:hint="eastAsia"/>
              </w:rPr>
            </w:pPr>
            <w:r>
              <w:rPr>
                <w:color w:val="1F2933"/>
                <w:sz w:val="16"/>
              </w:rPr>
              <w:t>Use available bounded semantic structure to reduce retrieval scope before consuming large source-language contexts.</w:t>
            </w:r>
          </w:p>
        </w:tc>
      </w:tr>
      <w:tr w:rsidR="00AC1B78" w14:paraId="7245C0AF" w14:textId="77777777">
        <w:trPr>
          <w:jc w:val="center"/>
        </w:trPr>
        <w:tc>
          <w:tcPr>
            <w:tcW w:w="1152" w:type="dxa"/>
            <w:shd w:val="clear" w:color="auto" w:fill="F7F9FB"/>
            <w:tcMar>
              <w:top w:w="85" w:type="dxa"/>
              <w:left w:w="95" w:type="dxa"/>
              <w:bottom w:w="85" w:type="dxa"/>
              <w:right w:w="95" w:type="dxa"/>
            </w:tcMar>
            <w:vAlign w:val="center"/>
          </w:tcPr>
          <w:p w14:paraId="58BD4EB6" w14:textId="77777777" w:rsidR="00AC1B78" w:rsidRDefault="002C0F08">
            <w:pPr>
              <w:spacing w:after="0" w:line="245" w:lineRule="auto"/>
              <w:rPr>
                <w:rFonts w:hint="eastAsia"/>
              </w:rPr>
            </w:pPr>
            <w:r>
              <w:rPr>
                <w:color w:val="1F2933"/>
                <w:sz w:val="16"/>
              </w:rPr>
              <w:t>BBT-L02</w:t>
            </w:r>
          </w:p>
        </w:tc>
        <w:tc>
          <w:tcPr>
            <w:tcW w:w="2088" w:type="dxa"/>
            <w:shd w:val="clear" w:color="auto" w:fill="F7F9FB"/>
            <w:tcMar>
              <w:top w:w="85" w:type="dxa"/>
              <w:left w:w="95" w:type="dxa"/>
              <w:bottom w:w="85" w:type="dxa"/>
              <w:right w:w="95" w:type="dxa"/>
            </w:tcMar>
            <w:vAlign w:val="center"/>
          </w:tcPr>
          <w:p w14:paraId="71818DA1" w14:textId="77777777" w:rsidR="00AC1B78" w:rsidRDefault="002C0F08">
            <w:pPr>
              <w:spacing w:after="0" w:line="245" w:lineRule="auto"/>
              <w:rPr>
                <w:rFonts w:hint="eastAsia"/>
              </w:rPr>
            </w:pPr>
            <w:r>
              <w:rPr>
                <w:color w:val="1F2933"/>
                <w:sz w:val="16"/>
              </w:rPr>
              <w:t>Multifactor Query</w:t>
            </w:r>
          </w:p>
        </w:tc>
        <w:tc>
          <w:tcPr>
            <w:tcW w:w="5544" w:type="dxa"/>
            <w:shd w:val="clear" w:color="auto" w:fill="F7F9FB"/>
            <w:tcMar>
              <w:top w:w="85" w:type="dxa"/>
              <w:left w:w="95" w:type="dxa"/>
              <w:bottom w:w="85" w:type="dxa"/>
              <w:right w:w="95" w:type="dxa"/>
            </w:tcMar>
            <w:vAlign w:val="center"/>
          </w:tcPr>
          <w:p w14:paraId="122360D0" w14:textId="77777777" w:rsidR="00AC1B78" w:rsidRDefault="002C0F08">
            <w:pPr>
              <w:spacing w:after="0" w:line="245" w:lineRule="auto"/>
              <w:rPr>
                <w:rFonts w:hint="eastAsia"/>
              </w:rPr>
            </w:pPr>
            <w:r>
              <w:rPr>
                <w:color w:val="1F2933"/>
                <w:sz w:val="16"/>
              </w:rPr>
              <w:t>Preserve multiple compatible active routes when they materially contribute to the request.</w:t>
            </w:r>
          </w:p>
        </w:tc>
      </w:tr>
      <w:tr w:rsidR="00AC1B78" w14:paraId="6337ADD9" w14:textId="77777777">
        <w:trPr>
          <w:jc w:val="center"/>
        </w:trPr>
        <w:tc>
          <w:tcPr>
            <w:tcW w:w="1152" w:type="dxa"/>
            <w:tcMar>
              <w:top w:w="85" w:type="dxa"/>
              <w:left w:w="95" w:type="dxa"/>
              <w:bottom w:w="85" w:type="dxa"/>
              <w:right w:w="95" w:type="dxa"/>
            </w:tcMar>
            <w:vAlign w:val="center"/>
          </w:tcPr>
          <w:p w14:paraId="78FDF175" w14:textId="77777777" w:rsidR="00AC1B78" w:rsidRDefault="002C0F08">
            <w:pPr>
              <w:spacing w:after="0" w:line="245" w:lineRule="auto"/>
              <w:rPr>
                <w:rFonts w:hint="eastAsia"/>
              </w:rPr>
            </w:pPr>
            <w:r>
              <w:rPr>
                <w:color w:val="1F2933"/>
                <w:sz w:val="16"/>
              </w:rPr>
              <w:t>BBT-L03</w:t>
            </w:r>
          </w:p>
        </w:tc>
        <w:tc>
          <w:tcPr>
            <w:tcW w:w="2088" w:type="dxa"/>
            <w:tcMar>
              <w:top w:w="85" w:type="dxa"/>
              <w:left w:w="95" w:type="dxa"/>
              <w:bottom w:w="85" w:type="dxa"/>
              <w:right w:w="95" w:type="dxa"/>
            </w:tcMar>
            <w:vAlign w:val="center"/>
          </w:tcPr>
          <w:p w14:paraId="41250752" w14:textId="77777777" w:rsidR="00AC1B78" w:rsidRDefault="002C0F08">
            <w:pPr>
              <w:spacing w:after="0" w:line="245" w:lineRule="auto"/>
              <w:rPr>
                <w:rFonts w:hint="eastAsia"/>
              </w:rPr>
            </w:pPr>
            <w:r>
              <w:rPr>
                <w:color w:val="1F2933"/>
                <w:sz w:val="16"/>
              </w:rPr>
              <w:t>Recursive Resolution</w:t>
            </w:r>
          </w:p>
        </w:tc>
        <w:tc>
          <w:tcPr>
            <w:tcW w:w="5544" w:type="dxa"/>
            <w:tcMar>
              <w:top w:w="85" w:type="dxa"/>
              <w:left w:w="95" w:type="dxa"/>
              <w:bottom w:w="85" w:type="dxa"/>
              <w:right w:w="95" w:type="dxa"/>
            </w:tcMar>
            <w:vAlign w:val="center"/>
          </w:tcPr>
          <w:p w14:paraId="4496AB55" w14:textId="77777777" w:rsidR="00AC1B78" w:rsidRDefault="002C0F08">
            <w:pPr>
              <w:spacing w:after="0" w:line="245" w:lineRule="auto"/>
              <w:rPr>
                <w:rFonts w:hint="eastAsia"/>
              </w:rPr>
            </w:pPr>
            <w:r>
              <w:rPr>
                <w:color w:val="1F2933"/>
                <w:sz w:val="16"/>
              </w:rPr>
              <w:t>Active branches may use finer Routing SKs until a stopping condition or sufficient semantic precision is reached.</w:t>
            </w:r>
          </w:p>
        </w:tc>
      </w:tr>
      <w:tr w:rsidR="00AC1B78" w14:paraId="25F45C2D" w14:textId="77777777">
        <w:trPr>
          <w:jc w:val="center"/>
        </w:trPr>
        <w:tc>
          <w:tcPr>
            <w:tcW w:w="1152" w:type="dxa"/>
            <w:shd w:val="clear" w:color="auto" w:fill="F7F9FB"/>
            <w:tcMar>
              <w:top w:w="85" w:type="dxa"/>
              <w:left w:w="95" w:type="dxa"/>
              <w:bottom w:w="85" w:type="dxa"/>
              <w:right w:w="95" w:type="dxa"/>
            </w:tcMar>
            <w:vAlign w:val="center"/>
          </w:tcPr>
          <w:p w14:paraId="6A155318" w14:textId="77777777" w:rsidR="00AC1B78" w:rsidRDefault="002C0F08">
            <w:pPr>
              <w:spacing w:after="0" w:line="245" w:lineRule="auto"/>
              <w:rPr>
                <w:rFonts w:hint="eastAsia"/>
              </w:rPr>
            </w:pPr>
            <w:r>
              <w:rPr>
                <w:color w:val="1F2933"/>
                <w:sz w:val="16"/>
              </w:rPr>
              <w:t>BBT-L04</w:t>
            </w:r>
          </w:p>
        </w:tc>
        <w:tc>
          <w:tcPr>
            <w:tcW w:w="2088" w:type="dxa"/>
            <w:shd w:val="clear" w:color="auto" w:fill="F7F9FB"/>
            <w:tcMar>
              <w:top w:w="85" w:type="dxa"/>
              <w:left w:w="95" w:type="dxa"/>
              <w:bottom w:w="85" w:type="dxa"/>
              <w:right w:w="95" w:type="dxa"/>
            </w:tcMar>
            <w:vAlign w:val="center"/>
          </w:tcPr>
          <w:p w14:paraId="4F21A3D3" w14:textId="77777777" w:rsidR="00AC1B78" w:rsidRDefault="002C0F08">
            <w:pPr>
              <w:spacing w:after="0" w:line="245" w:lineRule="auto"/>
              <w:jc w:val="center"/>
              <w:rPr>
                <w:rFonts w:hint="eastAsia"/>
              </w:rPr>
            </w:pPr>
            <w:r>
              <w:rPr>
                <w:color w:val="1F2933"/>
                <w:sz w:val="16"/>
              </w:rPr>
              <w:t>Semantic Fade</w:t>
            </w:r>
          </w:p>
        </w:tc>
        <w:tc>
          <w:tcPr>
            <w:tcW w:w="5544" w:type="dxa"/>
            <w:shd w:val="clear" w:color="auto" w:fill="F7F9FB"/>
            <w:tcMar>
              <w:top w:w="85" w:type="dxa"/>
              <w:left w:w="95" w:type="dxa"/>
              <w:bottom w:w="85" w:type="dxa"/>
              <w:right w:w="95" w:type="dxa"/>
            </w:tcMar>
            <w:vAlign w:val="center"/>
          </w:tcPr>
          <w:p w14:paraId="5896A2E7" w14:textId="77777777" w:rsidR="00AC1B78" w:rsidRDefault="002C0F08">
            <w:pPr>
              <w:spacing w:after="0" w:line="245" w:lineRule="auto"/>
              <w:rPr>
                <w:rFonts w:hint="eastAsia"/>
              </w:rPr>
            </w:pPr>
            <w:r>
              <w:rPr>
                <w:color w:val="1F2933"/>
                <w:sz w:val="16"/>
              </w:rPr>
              <w:t>Branches should stop expanding when contextual relevance falls below the configured continuation criterion.</w:t>
            </w:r>
          </w:p>
        </w:tc>
      </w:tr>
      <w:tr w:rsidR="00AC1B78" w14:paraId="4C450C5F" w14:textId="77777777">
        <w:trPr>
          <w:jc w:val="center"/>
        </w:trPr>
        <w:tc>
          <w:tcPr>
            <w:tcW w:w="1152" w:type="dxa"/>
            <w:tcMar>
              <w:top w:w="85" w:type="dxa"/>
              <w:left w:w="95" w:type="dxa"/>
              <w:bottom w:w="85" w:type="dxa"/>
              <w:right w:w="95" w:type="dxa"/>
            </w:tcMar>
            <w:vAlign w:val="center"/>
          </w:tcPr>
          <w:p w14:paraId="2A80DF2C" w14:textId="77777777" w:rsidR="00AC1B78" w:rsidRDefault="002C0F08">
            <w:pPr>
              <w:spacing w:after="0" w:line="245" w:lineRule="auto"/>
              <w:rPr>
                <w:rFonts w:hint="eastAsia"/>
              </w:rPr>
            </w:pPr>
            <w:r>
              <w:rPr>
                <w:color w:val="1F2933"/>
                <w:sz w:val="16"/>
              </w:rPr>
              <w:t>BBT-L05</w:t>
            </w:r>
          </w:p>
        </w:tc>
        <w:tc>
          <w:tcPr>
            <w:tcW w:w="2088" w:type="dxa"/>
            <w:tcMar>
              <w:top w:w="85" w:type="dxa"/>
              <w:left w:w="95" w:type="dxa"/>
              <w:bottom w:w="85" w:type="dxa"/>
              <w:right w:w="95" w:type="dxa"/>
            </w:tcMar>
            <w:vAlign w:val="center"/>
          </w:tcPr>
          <w:p w14:paraId="2CFE76FF" w14:textId="77777777" w:rsidR="00AC1B78" w:rsidRDefault="002C0F08">
            <w:pPr>
              <w:spacing w:after="0" w:line="245" w:lineRule="auto"/>
              <w:rPr>
                <w:rFonts w:hint="eastAsia"/>
              </w:rPr>
            </w:pPr>
            <w:r>
              <w:rPr>
                <w:color w:val="1F2933"/>
                <w:sz w:val="16"/>
              </w:rPr>
              <w:t>Relevance Re-Evaluation</w:t>
            </w:r>
          </w:p>
        </w:tc>
        <w:tc>
          <w:tcPr>
            <w:tcW w:w="5544" w:type="dxa"/>
            <w:tcMar>
              <w:top w:w="85" w:type="dxa"/>
              <w:left w:w="95" w:type="dxa"/>
              <w:bottom w:w="85" w:type="dxa"/>
              <w:right w:w="95" w:type="dxa"/>
            </w:tcMar>
            <w:vAlign w:val="center"/>
          </w:tcPr>
          <w:p w14:paraId="3927F093" w14:textId="77777777" w:rsidR="00AC1B78" w:rsidRDefault="002C0F08">
            <w:pPr>
              <w:spacing w:after="0" w:line="245" w:lineRule="auto"/>
              <w:rPr>
                <w:rFonts w:hint="eastAsia"/>
              </w:rPr>
            </w:pPr>
            <w:r>
              <w:rPr>
                <w:color w:val="1F2933"/>
                <w:sz w:val="16"/>
              </w:rPr>
              <w:t>Deeper branches may become more or less relevant and should be re-evaluated against the originating request.</w:t>
            </w:r>
          </w:p>
        </w:tc>
      </w:tr>
      <w:tr w:rsidR="00AC1B78" w14:paraId="1690A555" w14:textId="77777777">
        <w:trPr>
          <w:jc w:val="center"/>
        </w:trPr>
        <w:tc>
          <w:tcPr>
            <w:tcW w:w="1152" w:type="dxa"/>
            <w:shd w:val="clear" w:color="auto" w:fill="F7F9FB"/>
            <w:tcMar>
              <w:top w:w="85" w:type="dxa"/>
              <w:left w:w="95" w:type="dxa"/>
              <w:bottom w:w="85" w:type="dxa"/>
              <w:right w:w="95" w:type="dxa"/>
            </w:tcMar>
            <w:vAlign w:val="center"/>
          </w:tcPr>
          <w:p w14:paraId="0FF8719B" w14:textId="77777777" w:rsidR="00AC1B78" w:rsidRDefault="002C0F08">
            <w:pPr>
              <w:spacing w:after="0" w:line="245" w:lineRule="auto"/>
              <w:rPr>
                <w:rFonts w:hint="eastAsia"/>
              </w:rPr>
            </w:pPr>
            <w:r>
              <w:rPr>
                <w:color w:val="1F2933"/>
                <w:sz w:val="16"/>
              </w:rPr>
              <w:t>BBT-L06</w:t>
            </w:r>
          </w:p>
        </w:tc>
        <w:tc>
          <w:tcPr>
            <w:tcW w:w="2088" w:type="dxa"/>
            <w:shd w:val="clear" w:color="auto" w:fill="F7F9FB"/>
            <w:tcMar>
              <w:top w:w="85" w:type="dxa"/>
              <w:left w:w="95" w:type="dxa"/>
              <w:bottom w:w="85" w:type="dxa"/>
              <w:right w:w="95" w:type="dxa"/>
            </w:tcMar>
            <w:vAlign w:val="center"/>
          </w:tcPr>
          <w:p w14:paraId="492AF9A9" w14:textId="77777777" w:rsidR="00AC1B78" w:rsidRDefault="002C0F08">
            <w:pPr>
              <w:spacing w:after="0" w:line="245" w:lineRule="auto"/>
              <w:rPr>
                <w:rFonts w:hint="eastAsia"/>
              </w:rPr>
            </w:pPr>
            <w:r>
              <w:rPr>
                <w:color w:val="1F2933"/>
                <w:sz w:val="16"/>
              </w:rPr>
              <w:t>Authority Separation</w:t>
            </w:r>
          </w:p>
        </w:tc>
        <w:tc>
          <w:tcPr>
            <w:tcW w:w="5544" w:type="dxa"/>
            <w:shd w:val="clear" w:color="auto" w:fill="F7F9FB"/>
            <w:tcMar>
              <w:top w:w="85" w:type="dxa"/>
              <w:left w:w="95" w:type="dxa"/>
              <w:bottom w:w="85" w:type="dxa"/>
              <w:right w:w="95" w:type="dxa"/>
            </w:tcMar>
            <w:vAlign w:val="center"/>
          </w:tcPr>
          <w:p w14:paraId="10B8A4A2" w14:textId="77777777" w:rsidR="00AC1B78" w:rsidRDefault="002C0F08">
            <w:pPr>
              <w:spacing w:after="0" w:line="245" w:lineRule="auto"/>
              <w:rPr>
                <w:rFonts w:hint="eastAsia"/>
              </w:rPr>
            </w:pPr>
            <w:r>
              <w:rPr>
                <w:color w:val="1F2933"/>
                <w:sz w:val="16"/>
              </w:rPr>
              <w:t>Semantic relevance, source authority, and contextual applicability remain distinguishable.</w:t>
            </w:r>
          </w:p>
        </w:tc>
      </w:tr>
      <w:tr w:rsidR="00AC1B78" w14:paraId="7CFE938E" w14:textId="77777777">
        <w:trPr>
          <w:jc w:val="center"/>
        </w:trPr>
        <w:tc>
          <w:tcPr>
            <w:tcW w:w="1152" w:type="dxa"/>
            <w:tcMar>
              <w:top w:w="85" w:type="dxa"/>
              <w:left w:w="95" w:type="dxa"/>
              <w:bottom w:w="85" w:type="dxa"/>
              <w:right w:w="95" w:type="dxa"/>
            </w:tcMar>
            <w:vAlign w:val="center"/>
          </w:tcPr>
          <w:p w14:paraId="4623767C" w14:textId="77777777" w:rsidR="00AC1B78" w:rsidRDefault="002C0F08">
            <w:pPr>
              <w:spacing w:after="0" w:line="245" w:lineRule="auto"/>
              <w:rPr>
                <w:rFonts w:hint="eastAsia"/>
              </w:rPr>
            </w:pPr>
            <w:r>
              <w:rPr>
                <w:color w:val="1F2933"/>
                <w:sz w:val="16"/>
              </w:rPr>
              <w:t>BBT-L07</w:t>
            </w:r>
          </w:p>
        </w:tc>
        <w:tc>
          <w:tcPr>
            <w:tcW w:w="2088" w:type="dxa"/>
            <w:tcMar>
              <w:top w:w="85" w:type="dxa"/>
              <w:left w:w="95" w:type="dxa"/>
              <w:bottom w:w="85" w:type="dxa"/>
              <w:right w:w="95" w:type="dxa"/>
            </w:tcMar>
            <w:vAlign w:val="center"/>
          </w:tcPr>
          <w:p w14:paraId="59854D42" w14:textId="77777777" w:rsidR="00AC1B78" w:rsidRDefault="002C0F08">
            <w:pPr>
              <w:spacing w:after="0" w:line="245" w:lineRule="auto"/>
              <w:rPr>
                <w:rFonts w:hint="eastAsia"/>
              </w:rPr>
            </w:pPr>
            <w:r>
              <w:rPr>
                <w:color w:val="1F2933"/>
                <w:sz w:val="16"/>
              </w:rPr>
              <w:t>Context-Bounded Authority</w:t>
            </w:r>
          </w:p>
        </w:tc>
        <w:tc>
          <w:tcPr>
            <w:tcW w:w="5544" w:type="dxa"/>
            <w:tcMar>
              <w:top w:w="85" w:type="dxa"/>
              <w:left w:w="95" w:type="dxa"/>
              <w:bottom w:w="85" w:type="dxa"/>
              <w:right w:w="95" w:type="dxa"/>
            </w:tcMar>
            <w:vAlign w:val="center"/>
          </w:tcPr>
          <w:p w14:paraId="69F1D17D" w14:textId="77777777" w:rsidR="00AC1B78" w:rsidRDefault="002C0F08">
            <w:pPr>
              <w:spacing w:after="0" w:line="245" w:lineRule="auto"/>
              <w:rPr>
                <w:rFonts w:hint="eastAsia"/>
              </w:rPr>
            </w:pPr>
            <w:r>
              <w:rPr>
                <w:color w:val="1F2933"/>
                <w:sz w:val="16"/>
              </w:rPr>
              <w:t>A source may be authoritative in one environment and inapplicable elsewhere.</w:t>
            </w:r>
          </w:p>
        </w:tc>
      </w:tr>
      <w:tr w:rsidR="00AC1B78" w14:paraId="63ED2513" w14:textId="77777777">
        <w:trPr>
          <w:jc w:val="center"/>
        </w:trPr>
        <w:tc>
          <w:tcPr>
            <w:tcW w:w="1152" w:type="dxa"/>
            <w:shd w:val="clear" w:color="auto" w:fill="F7F9FB"/>
            <w:tcMar>
              <w:top w:w="85" w:type="dxa"/>
              <w:left w:w="95" w:type="dxa"/>
              <w:bottom w:w="85" w:type="dxa"/>
              <w:right w:w="95" w:type="dxa"/>
            </w:tcMar>
            <w:vAlign w:val="center"/>
          </w:tcPr>
          <w:p w14:paraId="4D6FA50C" w14:textId="77777777" w:rsidR="00AC1B78" w:rsidRDefault="002C0F08">
            <w:pPr>
              <w:spacing w:after="0" w:line="245" w:lineRule="auto"/>
              <w:rPr>
                <w:rFonts w:hint="eastAsia"/>
              </w:rPr>
            </w:pPr>
            <w:r>
              <w:rPr>
                <w:color w:val="1F2933"/>
                <w:sz w:val="16"/>
              </w:rPr>
              <w:t>BBT-L08</w:t>
            </w:r>
          </w:p>
        </w:tc>
        <w:tc>
          <w:tcPr>
            <w:tcW w:w="2088" w:type="dxa"/>
            <w:shd w:val="clear" w:color="auto" w:fill="F7F9FB"/>
            <w:tcMar>
              <w:top w:w="85" w:type="dxa"/>
              <w:left w:w="95" w:type="dxa"/>
              <w:bottom w:w="85" w:type="dxa"/>
              <w:right w:w="95" w:type="dxa"/>
            </w:tcMar>
            <w:vAlign w:val="center"/>
          </w:tcPr>
          <w:p w14:paraId="4F1B9DF1" w14:textId="77777777" w:rsidR="00AC1B78" w:rsidRDefault="002C0F08">
            <w:pPr>
              <w:spacing w:after="0" w:line="245" w:lineRule="auto"/>
              <w:rPr>
                <w:rFonts w:hint="eastAsia"/>
              </w:rPr>
            </w:pPr>
            <w:r>
              <w:rPr>
                <w:color w:val="1F2933"/>
                <w:sz w:val="16"/>
              </w:rPr>
              <w:t>Progressive Attention</w:t>
            </w:r>
          </w:p>
        </w:tc>
        <w:tc>
          <w:tcPr>
            <w:tcW w:w="5544" w:type="dxa"/>
            <w:shd w:val="clear" w:color="auto" w:fill="F7F9FB"/>
            <w:tcMar>
              <w:top w:w="85" w:type="dxa"/>
              <w:left w:w="95" w:type="dxa"/>
              <w:bottom w:w="85" w:type="dxa"/>
              <w:right w:w="95" w:type="dxa"/>
            </w:tcMar>
            <w:vAlign w:val="center"/>
          </w:tcPr>
          <w:p w14:paraId="7187058F" w14:textId="77777777" w:rsidR="00AC1B78" w:rsidRDefault="002C0F08">
            <w:pPr>
              <w:spacing w:after="0" w:line="245" w:lineRule="auto"/>
              <w:rPr>
                <w:rFonts w:hint="eastAsia"/>
              </w:rPr>
            </w:pPr>
            <w:r>
              <w:rPr>
                <w:color w:val="1F2933"/>
                <w:sz w:val="16"/>
              </w:rPr>
              <w:t>More expensive processing is reserved for smaller, more relevant candidate sets.</w:t>
            </w:r>
          </w:p>
        </w:tc>
      </w:tr>
      <w:tr w:rsidR="00AC1B78" w14:paraId="4A751A68" w14:textId="77777777">
        <w:trPr>
          <w:jc w:val="center"/>
        </w:trPr>
        <w:tc>
          <w:tcPr>
            <w:tcW w:w="1152" w:type="dxa"/>
            <w:tcMar>
              <w:top w:w="85" w:type="dxa"/>
              <w:left w:w="95" w:type="dxa"/>
              <w:bottom w:w="85" w:type="dxa"/>
              <w:right w:w="95" w:type="dxa"/>
            </w:tcMar>
            <w:vAlign w:val="center"/>
          </w:tcPr>
          <w:p w14:paraId="1BB439EC" w14:textId="77777777" w:rsidR="00AC1B78" w:rsidRDefault="002C0F08">
            <w:pPr>
              <w:spacing w:after="0" w:line="245" w:lineRule="auto"/>
              <w:rPr>
                <w:rFonts w:hint="eastAsia"/>
              </w:rPr>
            </w:pPr>
            <w:r>
              <w:rPr>
                <w:color w:val="1F2933"/>
                <w:sz w:val="16"/>
              </w:rPr>
              <w:t>BBT-L09</w:t>
            </w:r>
          </w:p>
        </w:tc>
        <w:tc>
          <w:tcPr>
            <w:tcW w:w="2088" w:type="dxa"/>
            <w:tcMar>
              <w:top w:w="85" w:type="dxa"/>
              <w:left w:w="95" w:type="dxa"/>
              <w:bottom w:w="85" w:type="dxa"/>
              <w:right w:w="95" w:type="dxa"/>
            </w:tcMar>
            <w:vAlign w:val="center"/>
          </w:tcPr>
          <w:p w14:paraId="6C1EDB6A" w14:textId="77777777" w:rsidR="00AC1B78" w:rsidRDefault="002C0F08">
            <w:pPr>
              <w:spacing w:after="0" w:line="245" w:lineRule="auto"/>
              <w:rPr>
                <w:rFonts w:hint="eastAsia"/>
              </w:rPr>
            </w:pPr>
            <w:r>
              <w:rPr>
                <w:color w:val="1F2933"/>
                <w:sz w:val="16"/>
              </w:rPr>
              <w:t>Semantic Work Persistence</w:t>
            </w:r>
          </w:p>
        </w:tc>
        <w:tc>
          <w:tcPr>
            <w:tcW w:w="5544" w:type="dxa"/>
            <w:tcMar>
              <w:top w:w="85" w:type="dxa"/>
              <w:left w:w="95" w:type="dxa"/>
              <w:bottom w:w="85" w:type="dxa"/>
              <w:right w:w="95" w:type="dxa"/>
            </w:tcMar>
            <w:vAlign w:val="center"/>
          </w:tcPr>
          <w:p w14:paraId="76D452B0" w14:textId="77777777" w:rsidR="00AC1B78" w:rsidRDefault="002C0F08">
            <w:pPr>
              <w:spacing w:after="0" w:line="245" w:lineRule="auto"/>
              <w:rPr>
                <w:rFonts w:hint="eastAsia"/>
              </w:rPr>
            </w:pPr>
            <w:r>
              <w:rPr>
                <w:color w:val="1F2933"/>
                <w:sz w:val="16"/>
              </w:rPr>
              <w:t>Existing GROOVE classifications and routing structures are reused rather than reconstructed when appropriate.</w:t>
            </w:r>
          </w:p>
        </w:tc>
      </w:tr>
      <w:tr w:rsidR="00AC1B78" w14:paraId="57CBD6E0" w14:textId="77777777">
        <w:trPr>
          <w:jc w:val="center"/>
        </w:trPr>
        <w:tc>
          <w:tcPr>
            <w:tcW w:w="1152" w:type="dxa"/>
            <w:shd w:val="clear" w:color="auto" w:fill="F7F9FB"/>
            <w:tcMar>
              <w:top w:w="85" w:type="dxa"/>
              <w:left w:w="95" w:type="dxa"/>
              <w:bottom w:w="85" w:type="dxa"/>
              <w:right w:w="95" w:type="dxa"/>
            </w:tcMar>
            <w:vAlign w:val="center"/>
          </w:tcPr>
          <w:p w14:paraId="0982D3FD" w14:textId="77777777" w:rsidR="00AC1B78" w:rsidRDefault="002C0F08">
            <w:pPr>
              <w:spacing w:after="0" w:line="245" w:lineRule="auto"/>
              <w:rPr>
                <w:rFonts w:hint="eastAsia"/>
              </w:rPr>
            </w:pPr>
            <w:r>
              <w:rPr>
                <w:color w:val="1F2933"/>
                <w:sz w:val="16"/>
              </w:rPr>
              <w:t>BBT-L10</w:t>
            </w:r>
          </w:p>
        </w:tc>
        <w:tc>
          <w:tcPr>
            <w:tcW w:w="2088" w:type="dxa"/>
            <w:shd w:val="clear" w:color="auto" w:fill="F7F9FB"/>
            <w:tcMar>
              <w:top w:w="85" w:type="dxa"/>
              <w:left w:w="95" w:type="dxa"/>
              <w:bottom w:w="85" w:type="dxa"/>
              <w:right w:w="95" w:type="dxa"/>
            </w:tcMar>
            <w:vAlign w:val="center"/>
          </w:tcPr>
          <w:p w14:paraId="7B0B39F8" w14:textId="77777777" w:rsidR="00AC1B78" w:rsidRDefault="002C0F08">
            <w:pPr>
              <w:spacing w:after="0" w:line="245" w:lineRule="auto"/>
              <w:rPr>
                <w:rFonts w:hint="eastAsia"/>
              </w:rPr>
            </w:pPr>
            <w:r>
              <w:rPr>
                <w:color w:val="1F2933"/>
                <w:sz w:val="16"/>
              </w:rPr>
              <w:t>Source Grounding</w:t>
            </w:r>
          </w:p>
        </w:tc>
        <w:tc>
          <w:tcPr>
            <w:tcW w:w="5544" w:type="dxa"/>
            <w:shd w:val="clear" w:color="auto" w:fill="F7F9FB"/>
            <w:tcMar>
              <w:top w:w="85" w:type="dxa"/>
              <w:left w:w="95" w:type="dxa"/>
              <w:bottom w:w="85" w:type="dxa"/>
              <w:right w:w="95" w:type="dxa"/>
            </w:tcMar>
            <w:vAlign w:val="center"/>
          </w:tcPr>
          <w:p w14:paraId="78BBCD9C" w14:textId="77777777" w:rsidR="00AC1B78" w:rsidRDefault="002C0F08">
            <w:pPr>
              <w:spacing w:after="0" w:line="245" w:lineRule="auto"/>
              <w:rPr>
                <w:rFonts w:hint="eastAsia"/>
              </w:rPr>
            </w:pPr>
            <w:r>
              <w:rPr>
                <w:color w:val="1F2933"/>
                <w:sz w:val="16"/>
              </w:rPr>
              <w:t>Routing and GROOVE metadata guide retrieval; consequential factual claims remain groundable in underlying sources.</w:t>
            </w:r>
          </w:p>
        </w:tc>
      </w:tr>
      <w:tr w:rsidR="00AC1B78" w14:paraId="7894F816" w14:textId="77777777">
        <w:trPr>
          <w:jc w:val="center"/>
        </w:trPr>
        <w:tc>
          <w:tcPr>
            <w:tcW w:w="1152" w:type="dxa"/>
            <w:tcMar>
              <w:top w:w="85" w:type="dxa"/>
              <w:left w:w="95" w:type="dxa"/>
              <w:bottom w:w="85" w:type="dxa"/>
              <w:right w:w="95" w:type="dxa"/>
            </w:tcMar>
            <w:vAlign w:val="center"/>
          </w:tcPr>
          <w:p w14:paraId="41FF3D4C" w14:textId="77777777" w:rsidR="00AC1B78" w:rsidRDefault="002C0F08">
            <w:pPr>
              <w:spacing w:after="0" w:line="245" w:lineRule="auto"/>
              <w:rPr>
                <w:rFonts w:hint="eastAsia"/>
              </w:rPr>
            </w:pPr>
            <w:r>
              <w:rPr>
                <w:color w:val="1F2933"/>
                <w:sz w:val="16"/>
              </w:rPr>
              <w:t>BBT-L11</w:t>
            </w:r>
          </w:p>
        </w:tc>
        <w:tc>
          <w:tcPr>
            <w:tcW w:w="2088" w:type="dxa"/>
            <w:tcMar>
              <w:top w:w="85" w:type="dxa"/>
              <w:left w:w="95" w:type="dxa"/>
              <w:bottom w:w="85" w:type="dxa"/>
              <w:right w:w="95" w:type="dxa"/>
            </w:tcMar>
            <w:vAlign w:val="center"/>
          </w:tcPr>
          <w:p w14:paraId="77DF51FD" w14:textId="77777777" w:rsidR="00AC1B78" w:rsidRDefault="002C0F08">
            <w:pPr>
              <w:spacing w:after="0" w:line="245" w:lineRule="auto"/>
              <w:rPr>
                <w:rFonts w:hint="eastAsia"/>
              </w:rPr>
            </w:pPr>
            <w:r>
              <w:rPr>
                <w:color w:val="1F2933"/>
                <w:sz w:val="16"/>
              </w:rPr>
              <w:t>Permission First</w:t>
            </w:r>
          </w:p>
        </w:tc>
        <w:tc>
          <w:tcPr>
            <w:tcW w:w="5544" w:type="dxa"/>
            <w:tcMar>
              <w:top w:w="85" w:type="dxa"/>
              <w:left w:w="95" w:type="dxa"/>
              <w:bottom w:w="85" w:type="dxa"/>
              <w:right w:w="95" w:type="dxa"/>
            </w:tcMar>
            <w:vAlign w:val="center"/>
          </w:tcPr>
          <w:p w14:paraId="4D595EC1" w14:textId="77777777" w:rsidR="00AC1B78" w:rsidRDefault="002C0F08">
            <w:pPr>
              <w:spacing w:after="0" w:line="245" w:lineRule="auto"/>
              <w:rPr>
                <w:rFonts w:hint="eastAsia"/>
              </w:rPr>
            </w:pPr>
            <w:r>
              <w:rPr>
                <w:color w:val="1F2933"/>
                <w:sz w:val="16"/>
              </w:rPr>
              <w:t>Unauthorized semantic routes or source existence must not leak through routing, counts, or explanations.</w:t>
            </w:r>
          </w:p>
        </w:tc>
      </w:tr>
      <w:tr w:rsidR="00AC1B78" w14:paraId="072066AF" w14:textId="77777777">
        <w:trPr>
          <w:jc w:val="center"/>
        </w:trPr>
        <w:tc>
          <w:tcPr>
            <w:tcW w:w="1152" w:type="dxa"/>
            <w:shd w:val="clear" w:color="auto" w:fill="F7F9FB"/>
            <w:tcMar>
              <w:top w:w="85" w:type="dxa"/>
              <w:left w:w="95" w:type="dxa"/>
              <w:bottom w:w="85" w:type="dxa"/>
              <w:right w:w="95" w:type="dxa"/>
            </w:tcMar>
            <w:vAlign w:val="center"/>
          </w:tcPr>
          <w:p w14:paraId="05FE6C5E" w14:textId="77777777" w:rsidR="00AC1B78" w:rsidRDefault="002C0F08">
            <w:pPr>
              <w:spacing w:after="0" w:line="245" w:lineRule="auto"/>
              <w:rPr>
                <w:rFonts w:hint="eastAsia"/>
              </w:rPr>
            </w:pPr>
            <w:r>
              <w:rPr>
                <w:color w:val="1F2933"/>
                <w:sz w:val="16"/>
              </w:rPr>
              <w:t>BBT-L12</w:t>
            </w:r>
          </w:p>
        </w:tc>
        <w:tc>
          <w:tcPr>
            <w:tcW w:w="2088" w:type="dxa"/>
            <w:shd w:val="clear" w:color="auto" w:fill="F7F9FB"/>
            <w:tcMar>
              <w:top w:w="85" w:type="dxa"/>
              <w:left w:w="95" w:type="dxa"/>
              <w:bottom w:w="85" w:type="dxa"/>
              <w:right w:w="95" w:type="dxa"/>
            </w:tcMar>
            <w:vAlign w:val="center"/>
          </w:tcPr>
          <w:p w14:paraId="0C8FF5BE" w14:textId="77777777" w:rsidR="00AC1B78" w:rsidRDefault="002C0F08">
            <w:pPr>
              <w:spacing w:after="0" w:line="245" w:lineRule="auto"/>
              <w:rPr>
                <w:rFonts w:hint="eastAsia"/>
              </w:rPr>
            </w:pPr>
            <w:r>
              <w:rPr>
                <w:color w:val="1F2933"/>
                <w:sz w:val="16"/>
              </w:rPr>
              <w:t>No Magic Score</w:t>
            </w:r>
          </w:p>
        </w:tc>
        <w:tc>
          <w:tcPr>
            <w:tcW w:w="5544" w:type="dxa"/>
            <w:shd w:val="clear" w:color="auto" w:fill="F7F9FB"/>
            <w:tcMar>
              <w:top w:w="85" w:type="dxa"/>
              <w:left w:w="95" w:type="dxa"/>
              <w:bottom w:w="85" w:type="dxa"/>
              <w:right w:w="95" w:type="dxa"/>
            </w:tcMar>
            <w:vAlign w:val="center"/>
          </w:tcPr>
          <w:p w14:paraId="09D33838" w14:textId="77777777" w:rsidR="00AC1B78" w:rsidRDefault="002C0F08">
            <w:pPr>
              <w:spacing w:after="0" w:line="245" w:lineRule="auto"/>
              <w:rPr>
                <w:rFonts w:hint="eastAsia"/>
              </w:rPr>
            </w:pPr>
            <w:r>
              <w:rPr>
                <w:color w:val="1F2933"/>
                <w:sz w:val="16"/>
              </w:rPr>
              <w:t>Implementations should preserve inspectable dimensions even when composite ranking is used internally.</w:t>
            </w:r>
          </w:p>
        </w:tc>
      </w:tr>
      <w:tr w:rsidR="00AC1B78" w14:paraId="69667F96" w14:textId="77777777">
        <w:trPr>
          <w:jc w:val="center"/>
        </w:trPr>
        <w:tc>
          <w:tcPr>
            <w:tcW w:w="1152" w:type="dxa"/>
            <w:tcMar>
              <w:top w:w="85" w:type="dxa"/>
              <w:left w:w="95" w:type="dxa"/>
              <w:bottom w:w="85" w:type="dxa"/>
              <w:right w:w="95" w:type="dxa"/>
            </w:tcMar>
            <w:vAlign w:val="center"/>
          </w:tcPr>
          <w:p w14:paraId="010FECBE" w14:textId="77777777" w:rsidR="00AC1B78" w:rsidRDefault="002C0F08">
            <w:pPr>
              <w:spacing w:after="0" w:line="245" w:lineRule="auto"/>
              <w:rPr>
                <w:rFonts w:hint="eastAsia"/>
              </w:rPr>
            </w:pPr>
            <w:r>
              <w:rPr>
                <w:color w:val="1F2933"/>
                <w:sz w:val="16"/>
              </w:rPr>
              <w:t>BBT-L13</w:t>
            </w:r>
          </w:p>
        </w:tc>
        <w:tc>
          <w:tcPr>
            <w:tcW w:w="2088" w:type="dxa"/>
            <w:tcMar>
              <w:top w:w="85" w:type="dxa"/>
              <w:left w:w="95" w:type="dxa"/>
              <w:bottom w:w="85" w:type="dxa"/>
              <w:right w:w="95" w:type="dxa"/>
            </w:tcMar>
            <w:vAlign w:val="center"/>
          </w:tcPr>
          <w:p w14:paraId="5AF9EC18" w14:textId="77777777" w:rsidR="00AC1B78" w:rsidRDefault="002C0F08">
            <w:pPr>
              <w:spacing w:after="0" w:line="245" w:lineRule="auto"/>
              <w:rPr>
                <w:rFonts w:hint="eastAsia"/>
              </w:rPr>
            </w:pPr>
            <w:r>
              <w:rPr>
                <w:color w:val="1F2933"/>
                <w:sz w:val="16"/>
              </w:rPr>
              <w:t>Exact Address Precedence</w:t>
            </w:r>
          </w:p>
        </w:tc>
        <w:tc>
          <w:tcPr>
            <w:tcW w:w="5544" w:type="dxa"/>
            <w:tcMar>
              <w:top w:w="85" w:type="dxa"/>
              <w:left w:w="95" w:type="dxa"/>
              <w:bottom w:w="85" w:type="dxa"/>
              <w:right w:w="95" w:type="dxa"/>
            </w:tcMar>
            <w:vAlign w:val="center"/>
          </w:tcPr>
          <w:p w14:paraId="40E341F7" w14:textId="77777777" w:rsidR="00AC1B78" w:rsidRDefault="002C0F08">
            <w:pPr>
              <w:spacing w:after="0" w:line="245" w:lineRule="auto"/>
              <w:rPr>
                <w:rFonts w:hint="eastAsia"/>
              </w:rPr>
            </w:pPr>
            <w:r>
              <w:rPr>
                <w:color w:val="1F2933"/>
                <w:sz w:val="16"/>
              </w:rPr>
              <w:t>Exact SOLAR or canonical semantic addressing outranks probabilistic broad routing for the same lexical operand.</w:t>
            </w:r>
          </w:p>
        </w:tc>
      </w:tr>
      <w:tr w:rsidR="00AC1B78" w14:paraId="6FA77B9D" w14:textId="77777777">
        <w:trPr>
          <w:jc w:val="center"/>
        </w:trPr>
        <w:tc>
          <w:tcPr>
            <w:tcW w:w="1152" w:type="dxa"/>
            <w:shd w:val="clear" w:color="auto" w:fill="F7F9FB"/>
            <w:tcMar>
              <w:top w:w="85" w:type="dxa"/>
              <w:left w:w="95" w:type="dxa"/>
              <w:bottom w:w="85" w:type="dxa"/>
              <w:right w:w="95" w:type="dxa"/>
            </w:tcMar>
            <w:vAlign w:val="center"/>
          </w:tcPr>
          <w:p w14:paraId="1C399C0C" w14:textId="77777777" w:rsidR="00AC1B78" w:rsidRDefault="002C0F08">
            <w:pPr>
              <w:spacing w:after="0" w:line="245" w:lineRule="auto"/>
              <w:rPr>
                <w:rFonts w:hint="eastAsia"/>
              </w:rPr>
            </w:pPr>
            <w:r>
              <w:rPr>
                <w:color w:val="1F2933"/>
                <w:sz w:val="16"/>
              </w:rPr>
              <w:t>BBT-L14</w:t>
            </w:r>
          </w:p>
        </w:tc>
        <w:tc>
          <w:tcPr>
            <w:tcW w:w="2088" w:type="dxa"/>
            <w:shd w:val="clear" w:color="auto" w:fill="F7F9FB"/>
            <w:tcMar>
              <w:top w:w="85" w:type="dxa"/>
              <w:left w:w="95" w:type="dxa"/>
              <w:bottom w:w="85" w:type="dxa"/>
              <w:right w:w="95" w:type="dxa"/>
            </w:tcMar>
            <w:vAlign w:val="center"/>
          </w:tcPr>
          <w:p w14:paraId="69244A2E" w14:textId="77777777" w:rsidR="00AC1B78" w:rsidRDefault="002C0F08">
            <w:pPr>
              <w:spacing w:after="0" w:line="245" w:lineRule="auto"/>
              <w:jc w:val="center"/>
              <w:rPr>
                <w:rFonts w:hint="eastAsia"/>
              </w:rPr>
            </w:pPr>
            <w:r>
              <w:rPr>
                <w:color w:val="1F2933"/>
                <w:sz w:val="16"/>
              </w:rPr>
              <w:t>Traceability</w:t>
            </w:r>
          </w:p>
        </w:tc>
        <w:tc>
          <w:tcPr>
            <w:tcW w:w="5544" w:type="dxa"/>
            <w:shd w:val="clear" w:color="auto" w:fill="F7F9FB"/>
            <w:tcMar>
              <w:top w:w="85" w:type="dxa"/>
              <w:left w:w="95" w:type="dxa"/>
              <w:bottom w:w="85" w:type="dxa"/>
              <w:right w:w="95" w:type="dxa"/>
            </w:tcMar>
            <w:vAlign w:val="center"/>
          </w:tcPr>
          <w:p w14:paraId="303EAE0A" w14:textId="77777777" w:rsidR="00AC1B78" w:rsidRDefault="002C0F08">
            <w:pPr>
              <w:spacing w:after="0" w:line="245" w:lineRule="auto"/>
              <w:rPr>
                <w:rFonts w:hint="eastAsia"/>
              </w:rPr>
            </w:pPr>
            <w:r>
              <w:rPr>
                <w:color w:val="1F2933"/>
                <w:sz w:val="16"/>
              </w:rPr>
              <w:t>Search execution should preserve enough route and source provenance to explain why a source was read.</w:t>
            </w:r>
          </w:p>
        </w:tc>
      </w:tr>
    </w:tbl>
    <w:p w14:paraId="073E28E7" w14:textId="77777777" w:rsidR="00AC1B78" w:rsidRDefault="00AC1B78">
      <w:pPr>
        <w:spacing w:after="40"/>
        <w:rPr>
          <w:rFonts w:hint="eastAsia"/>
        </w:rPr>
      </w:pPr>
    </w:p>
    <w:p w14:paraId="76B3EAED" w14:textId="77777777" w:rsidR="00AC1B78" w:rsidRDefault="002C0F08">
      <w:pPr>
        <w:pStyle w:val="Heading1"/>
        <w:spacing w:before="200" w:after="100" w:line="240" w:lineRule="auto"/>
      </w:pPr>
      <w:r>
        <w:rPr>
          <w:rFonts w:ascii="Carlito" w:hAnsi="Carlito"/>
        </w:rPr>
        <w:t>49. Failure Modes</w:t>
      </w:r>
    </w:p>
    <w:tbl>
      <w:tblPr>
        <w:tblW w:w="0" w:type="auto"/>
        <w:jc w:val="center"/>
        <w:tblLayout w:type="fixed"/>
        <w:tblLook w:val="04A0" w:firstRow="1" w:lastRow="0" w:firstColumn="1" w:lastColumn="0" w:noHBand="0" w:noVBand="1"/>
      </w:tblPr>
      <w:tblGrid>
        <w:gridCol w:w="3351"/>
        <w:gridCol w:w="3384"/>
        <w:gridCol w:w="3351"/>
      </w:tblGrid>
      <w:tr w:rsidR="00AC1B78" w14:paraId="4BC8295F" w14:textId="77777777">
        <w:trPr>
          <w:tblHeader/>
          <w:jc w:val="center"/>
        </w:trPr>
        <w:tc>
          <w:tcPr>
            <w:tcW w:w="3351" w:type="dxa"/>
            <w:shd w:val="clear" w:color="auto" w:fill="17324D"/>
            <w:tcMar>
              <w:top w:w="90" w:type="dxa"/>
              <w:left w:w="100" w:type="dxa"/>
              <w:bottom w:w="90" w:type="dxa"/>
              <w:right w:w="100" w:type="dxa"/>
            </w:tcMar>
            <w:vAlign w:val="center"/>
          </w:tcPr>
          <w:p w14:paraId="6F486B19" w14:textId="77777777" w:rsidR="00AC1B78" w:rsidRDefault="002C0F08">
            <w:pPr>
              <w:spacing w:after="0" w:line="240" w:lineRule="auto"/>
              <w:jc w:val="center"/>
              <w:rPr>
                <w:rFonts w:hint="eastAsia"/>
              </w:rPr>
            </w:pPr>
            <w:r>
              <w:rPr>
                <w:b/>
                <w:color w:val="FFFFFF"/>
                <w:sz w:val="17"/>
              </w:rPr>
              <w:t>Failure</w:t>
            </w:r>
          </w:p>
        </w:tc>
        <w:tc>
          <w:tcPr>
            <w:tcW w:w="3351" w:type="dxa"/>
            <w:shd w:val="clear" w:color="auto" w:fill="17324D"/>
            <w:tcMar>
              <w:top w:w="90" w:type="dxa"/>
              <w:left w:w="100" w:type="dxa"/>
              <w:bottom w:w="90" w:type="dxa"/>
              <w:right w:w="100" w:type="dxa"/>
            </w:tcMar>
            <w:vAlign w:val="center"/>
          </w:tcPr>
          <w:p w14:paraId="48419897" w14:textId="77777777" w:rsidR="00AC1B78" w:rsidRDefault="002C0F08">
            <w:pPr>
              <w:spacing w:after="0" w:line="240" w:lineRule="auto"/>
              <w:jc w:val="center"/>
              <w:rPr>
                <w:rFonts w:hint="eastAsia"/>
              </w:rPr>
            </w:pPr>
            <w:r>
              <w:rPr>
                <w:b/>
                <w:color w:val="FFFFFF"/>
                <w:sz w:val="17"/>
              </w:rPr>
              <w:t>Why it fails</w:t>
            </w:r>
          </w:p>
        </w:tc>
        <w:tc>
          <w:tcPr>
            <w:tcW w:w="3351" w:type="dxa"/>
            <w:shd w:val="clear" w:color="auto" w:fill="17324D"/>
            <w:tcMar>
              <w:top w:w="90" w:type="dxa"/>
              <w:left w:w="100" w:type="dxa"/>
              <w:bottom w:w="90" w:type="dxa"/>
              <w:right w:w="100" w:type="dxa"/>
            </w:tcMar>
            <w:vAlign w:val="center"/>
          </w:tcPr>
          <w:p w14:paraId="1787B219" w14:textId="77777777" w:rsidR="00AC1B78" w:rsidRDefault="002C0F08">
            <w:pPr>
              <w:spacing w:after="0" w:line="240" w:lineRule="auto"/>
              <w:jc w:val="center"/>
              <w:rPr>
                <w:rFonts w:hint="eastAsia"/>
              </w:rPr>
            </w:pPr>
            <w:r>
              <w:rPr>
                <w:b/>
                <w:color w:val="FFFFFF"/>
                <w:sz w:val="17"/>
              </w:rPr>
              <w:t>Correction</w:t>
            </w:r>
          </w:p>
        </w:tc>
      </w:tr>
      <w:tr w:rsidR="00AC1B78" w14:paraId="3101048B" w14:textId="77777777">
        <w:trPr>
          <w:jc w:val="center"/>
        </w:trPr>
        <w:tc>
          <w:tcPr>
            <w:tcW w:w="2088" w:type="dxa"/>
            <w:tcMar>
              <w:top w:w="85" w:type="dxa"/>
              <w:left w:w="95" w:type="dxa"/>
              <w:bottom w:w="85" w:type="dxa"/>
              <w:right w:w="95" w:type="dxa"/>
            </w:tcMar>
            <w:vAlign w:val="center"/>
          </w:tcPr>
          <w:p w14:paraId="58E7F581" w14:textId="77777777" w:rsidR="00AC1B78" w:rsidRDefault="002C0F08">
            <w:pPr>
              <w:spacing w:after="0" w:line="245" w:lineRule="auto"/>
              <w:rPr>
                <w:rFonts w:hint="eastAsia"/>
              </w:rPr>
            </w:pPr>
            <w:r>
              <w:rPr>
                <w:color w:val="1F2933"/>
                <w:sz w:val="16"/>
              </w:rPr>
              <w:t>One-best-domain classification</w:t>
            </w:r>
          </w:p>
        </w:tc>
        <w:tc>
          <w:tcPr>
            <w:tcW w:w="3384" w:type="dxa"/>
            <w:tcMar>
              <w:top w:w="85" w:type="dxa"/>
              <w:left w:w="95" w:type="dxa"/>
              <w:bottom w:w="85" w:type="dxa"/>
              <w:right w:w="95" w:type="dxa"/>
            </w:tcMar>
            <w:vAlign w:val="center"/>
          </w:tcPr>
          <w:p w14:paraId="55C24774" w14:textId="77777777" w:rsidR="00AC1B78" w:rsidRDefault="002C0F08">
            <w:pPr>
              <w:spacing w:after="0" w:line="245" w:lineRule="auto"/>
              <w:rPr>
                <w:rFonts w:hint="eastAsia"/>
              </w:rPr>
            </w:pPr>
            <w:r>
              <w:rPr>
                <w:color w:val="1F2933"/>
                <w:sz w:val="16"/>
              </w:rPr>
              <w:t>Destroys multifactor queries and hides cross-domain intersections.</w:t>
            </w:r>
          </w:p>
        </w:tc>
        <w:tc>
          <w:tcPr>
            <w:tcW w:w="3240" w:type="dxa"/>
            <w:tcMar>
              <w:top w:w="85" w:type="dxa"/>
              <w:left w:w="95" w:type="dxa"/>
              <w:bottom w:w="85" w:type="dxa"/>
              <w:right w:w="95" w:type="dxa"/>
            </w:tcMar>
            <w:vAlign w:val="center"/>
          </w:tcPr>
          <w:p w14:paraId="193C1512" w14:textId="77777777" w:rsidR="00AC1B78" w:rsidRDefault="002C0F08">
            <w:pPr>
              <w:spacing w:after="0" w:line="245" w:lineRule="auto"/>
              <w:rPr>
                <w:rFonts w:hint="eastAsia"/>
              </w:rPr>
            </w:pPr>
            <w:r>
              <w:rPr>
                <w:color w:val="1F2933"/>
                <w:sz w:val="16"/>
              </w:rPr>
              <w:t>Preserve compatible active routes and factor branches.</w:t>
            </w:r>
          </w:p>
        </w:tc>
      </w:tr>
      <w:tr w:rsidR="00AC1B78" w14:paraId="73C1E1C9" w14:textId="77777777">
        <w:trPr>
          <w:jc w:val="center"/>
        </w:trPr>
        <w:tc>
          <w:tcPr>
            <w:tcW w:w="2088" w:type="dxa"/>
            <w:shd w:val="clear" w:color="auto" w:fill="F7F9FB"/>
            <w:tcMar>
              <w:top w:w="85" w:type="dxa"/>
              <w:left w:w="95" w:type="dxa"/>
              <w:bottom w:w="85" w:type="dxa"/>
              <w:right w:w="95" w:type="dxa"/>
            </w:tcMar>
            <w:vAlign w:val="center"/>
          </w:tcPr>
          <w:p w14:paraId="0F181A65" w14:textId="77777777" w:rsidR="00AC1B78" w:rsidRDefault="002C0F08">
            <w:pPr>
              <w:spacing w:after="0" w:line="245" w:lineRule="auto"/>
              <w:rPr>
                <w:rFonts w:hint="eastAsia"/>
              </w:rPr>
            </w:pPr>
            <w:r>
              <w:rPr>
                <w:color w:val="1F2933"/>
                <w:sz w:val="16"/>
              </w:rPr>
              <w:t>Mechanical relevance decay</w:t>
            </w:r>
          </w:p>
        </w:tc>
        <w:tc>
          <w:tcPr>
            <w:tcW w:w="3384" w:type="dxa"/>
            <w:shd w:val="clear" w:color="auto" w:fill="F7F9FB"/>
            <w:tcMar>
              <w:top w:w="85" w:type="dxa"/>
              <w:left w:w="95" w:type="dxa"/>
              <w:bottom w:w="85" w:type="dxa"/>
              <w:right w:w="95" w:type="dxa"/>
            </w:tcMar>
            <w:vAlign w:val="center"/>
          </w:tcPr>
          <w:p w14:paraId="2AB95CA0" w14:textId="77777777" w:rsidR="00AC1B78" w:rsidRDefault="002C0F08">
            <w:pPr>
              <w:spacing w:after="0" w:line="245" w:lineRule="auto"/>
              <w:rPr>
                <w:rFonts w:hint="eastAsia"/>
              </w:rPr>
            </w:pPr>
            <w:r>
              <w:rPr>
                <w:color w:val="1F2933"/>
                <w:sz w:val="16"/>
              </w:rPr>
              <w:t>Drops deep branches that become more relevant with precision.</w:t>
            </w:r>
          </w:p>
        </w:tc>
        <w:tc>
          <w:tcPr>
            <w:tcW w:w="3240" w:type="dxa"/>
            <w:shd w:val="clear" w:color="auto" w:fill="F7F9FB"/>
            <w:tcMar>
              <w:top w:w="85" w:type="dxa"/>
              <w:left w:w="95" w:type="dxa"/>
              <w:bottom w:w="85" w:type="dxa"/>
              <w:right w:w="95" w:type="dxa"/>
            </w:tcMar>
            <w:vAlign w:val="center"/>
          </w:tcPr>
          <w:p w14:paraId="242327FD" w14:textId="77777777" w:rsidR="00AC1B78" w:rsidRDefault="002C0F08">
            <w:pPr>
              <w:spacing w:after="0" w:line="245" w:lineRule="auto"/>
              <w:rPr>
                <w:rFonts w:hint="eastAsia"/>
              </w:rPr>
            </w:pPr>
            <w:r>
              <w:rPr>
                <w:color w:val="1F2933"/>
                <w:sz w:val="16"/>
              </w:rPr>
              <w:t>Re-evaluate against request + parent context.</w:t>
            </w:r>
          </w:p>
        </w:tc>
      </w:tr>
      <w:tr w:rsidR="00AC1B78" w14:paraId="544F385F" w14:textId="77777777">
        <w:trPr>
          <w:jc w:val="center"/>
        </w:trPr>
        <w:tc>
          <w:tcPr>
            <w:tcW w:w="2088" w:type="dxa"/>
            <w:tcMar>
              <w:top w:w="85" w:type="dxa"/>
              <w:left w:w="95" w:type="dxa"/>
              <w:bottom w:w="85" w:type="dxa"/>
              <w:right w:w="95" w:type="dxa"/>
            </w:tcMar>
            <w:vAlign w:val="center"/>
          </w:tcPr>
          <w:p w14:paraId="6FFFC3CB" w14:textId="77777777" w:rsidR="00AC1B78" w:rsidRDefault="002C0F08">
            <w:pPr>
              <w:spacing w:after="0" w:line="245" w:lineRule="auto"/>
              <w:rPr>
                <w:rFonts w:hint="eastAsia"/>
              </w:rPr>
            </w:pPr>
            <w:r>
              <w:rPr>
                <w:color w:val="1F2933"/>
                <w:sz w:val="16"/>
              </w:rPr>
              <w:t>Trust used as scope</w:t>
            </w:r>
          </w:p>
        </w:tc>
        <w:tc>
          <w:tcPr>
            <w:tcW w:w="3384" w:type="dxa"/>
            <w:tcMar>
              <w:top w:w="85" w:type="dxa"/>
              <w:left w:w="95" w:type="dxa"/>
              <w:bottom w:w="85" w:type="dxa"/>
              <w:right w:w="95" w:type="dxa"/>
            </w:tcMar>
            <w:vAlign w:val="center"/>
          </w:tcPr>
          <w:p w14:paraId="4207329D" w14:textId="77777777" w:rsidR="00AC1B78" w:rsidRDefault="002C0F08">
            <w:pPr>
              <w:spacing w:after="0" w:line="245" w:lineRule="auto"/>
              <w:rPr>
                <w:rFonts w:hint="eastAsia"/>
              </w:rPr>
            </w:pPr>
            <w:r>
              <w:rPr>
                <w:color w:val="1F2933"/>
                <w:sz w:val="16"/>
              </w:rPr>
              <w:t>Makes a valid game/company rule appear untrustworthy outside its domain.</w:t>
            </w:r>
          </w:p>
        </w:tc>
        <w:tc>
          <w:tcPr>
            <w:tcW w:w="3240" w:type="dxa"/>
            <w:tcMar>
              <w:top w:w="85" w:type="dxa"/>
              <w:left w:w="95" w:type="dxa"/>
              <w:bottom w:w="85" w:type="dxa"/>
              <w:right w:w="95" w:type="dxa"/>
            </w:tcMar>
            <w:vAlign w:val="center"/>
          </w:tcPr>
          <w:p w14:paraId="292D9238" w14:textId="77777777" w:rsidR="00AC1B78" w:rsidRDefault="002C0F08">
            <w:pPr>
              <w:spacing w:after="0" w:line="245" w:lineRule="auto"/>
              <w:rPr>
                <w:rFonts w:hint="eastAsia"/>
              </w:rPr>
            </w:pPr>
            <w:r>
              <w:rPr>
                <w:color w:val="1F2933"/>
                <w:sz w:val="16"/>
              </w:rPr>
              <w:t>Separate authority from applicability.</w:t>
            </w:r>
          </w:p>
        </w:tc>
      </w:tr>
      <w:tr w:rsidR="00AC1B78" w14:paraId="69E7A349" w14:textId="77777777">
        <w:trPr>
          <w:jc w:val="center"/>
        </w:trPr>
        <w:tc>
          <w:tcPr>
            <w:tcW w:w="2088" w:type="dxa"/>
            <w:shd w:val="clear" w:color="auto" w:fill="F7F9FB"/>
            <w:tcMar>
              <w:top w:w="85" w:type="dxa"/>
              <w:left w:w="95" w:type="dxa"/>
              <w:bottom w:w="85" w:type="dxa"/>
              <w:right w:w="95" w:type="dxa"/>
            </w:tcMar>
            <w:vAlign w:val="center"/>
          </w:tcPr>
          <w:p w14:paraId="7E328008" w14:textId="77777777" w:rsidR="00AC1B78" w:rsidRDefault="002C0F08">
            <w:pPr>
              <w:spacing w:after="0" w:line="245" w:lineRule="auto"/>
              <w:rPr>
                <w:rFonts w:hint="eastAsia"/>
              </w:rPr>
            </w:pPr>
            <w:r>
              <w:rPr>
                <w:color w:val="1F2933"/>
                <w:sz w:val="16"/>
              </w:rPr>
              <w:t>GROOVE description treated as evidence</w:t>
            </w:r>
          </w:p>
        </w:tc>
        <w:tc>
          <w:tcPr>
            <w:tcW w:w="3384" w:type="dxa"/>
            <w:shd w:val="clear" w:color="auto" w:fill="F7F9FB"/>
            <w:tcMar>
              <w:top w:w="85" w:type="dxa"/>
              <w:left w:w="95" w:type="dxa"/>
              <w:bottom w:w="85" w:type="dxa"/>
              <w:right w:w="95" w:type="dxa"/>
            </w:tcMar>
            <w:vAlign w:val="center"/>
          </w:tcPr>
          <w:p w14:paraId="7266A5D8" w14:textId="77777777" w:rsidR="00AC1B78" w:rsidRDefault="002C0F08">
            <w:pPr>
              <w:spacing w:after="0" w:line="245" w:lineRule="auto"/>
              <w:rPr>
                <w:rFonts w:hint="eastAsia"/>
              </w:rPr>
            </w:pPr>
            <w:r>
              <w:rPr>
                <w:color w:val="1F2933"/>
                <w:sz w:val="16"/>
              </w:rPr>
              <w:t>Allows compact metadata to silently replace the source.</w:t>
            </w:r>
          </w:p>
        </w:tc>
        <w:tc>
          <w:tcPr>
            <w:tcW w:w="3240" w:type="dxa"/>
            <w:shd w:val="clear" w:color="auto" w:fill="F7F9FB"/>
            <w:tcMar>
              <w:top w:w="85" w:type="dxa"/>
              <w:left w:w="95" w:type="dxa"/>
              <w:bottom w:w="85" w:type="dxa"/>
              <w:right w:w="95" w:type="dxa"/>
            </w:tcMar>
            <w:vAlign w:val="center"/>
          </w:tcPr>
          <w:p w14:paraId="66F541BB" w14:textId="77777777" w:rsidR="00AC1B78" w:rsidRDefault="002C0F08">
            <w:pPr>
              <w:spacing w:after="0" w:line="245" w:lineRule="auto"/>
              <w:rPr>
                <w:rFonts w:hint="eastAsia"/>
              </w:rPr>
            </w:pPr>
            <w:r>
              <w:rPr>
                <w:color w:val="1F2933"/>
                <w:sz w:val="16"/>
              </w:rPr>
              <w:t>Reopen original Entries for consequential claims.</w:t>
            </w:r>
          </w:p>
        </w:tc>
      </w:tr>
      <w:tr w:rsidR="00AC1B78" w14:paraId="143821E2" w14:textId="77777777">
        <w:trPr>
          <w:jc w:val="center"/>
        </w:trPr>
        <w:tc>
          <w:tcPr>
            <w:tcW w:w="2088" w:type="dxa"/>
            <w:tcMar>
              <w:top w:w="85" w:type="dxa"/>
              <w:left w:w="95" w:type="dxa"/>
              <w:bottom w:w="85" w:type="dxa"/>
              <w:right w:w="95" w:type="dxa"/>
            </w:tcMar>
            <w:vAlign w:val="center"/>
          </w:tcPr>
          <w:p w14:paraId="76700720" w14:textId="77777777" w:rsidR="00AC1B78" w:rsidRDefault="002C0F08">
            <w:pPr>
              <w:spacing w:after="0" w:line="245" w:lineRule="auto"/>
              <w:rPr>
                <w:rFonts w:hint="eastAsia"/>
              </w:rPr>
            </w:pPr>
            <w:r>
              <w:rPr>
                <w:color w:val="1F2933"/>
                <w:sz w:val="16"/>
              </w:rPr>
              <w:t>Unbounded branch explosion</w:t>
            </w:r>
          </w:p>
        </w:tc>
        <w:tc>
          <w:tcPr>
            <w:tcW w:w="3384" w:type="dxa"/>
            <w:tcMar>
              <w:top w:w="85" w:type="dxa"/>
              <w:left w:w="95" w:type="dxa"/>
              <w:bottom w:w="85" w:type="dxa"/>
              <w:right w:w="95" w:type="dxa"/>
            </w:tcMar>
            <w:vAlign w:val="center"/>
          </w:tcPr>
          <w:p w14:paraId="42CE4E23" w14:textId="77777777" w:rsidR="00AC1B78" w:rsidRDefault="002C0F08">
            <w:pPr>
              <w:spacing w:after="0" w:line="245" w:lineRule="auto"/>
              <w:rPr>
                <w:rFonts w:hint="eastAsia"/>
              </w:rPr>
            </w:pPr>
            <w:r>
              <w:rPr>
                <w:color w:val="1F2933"/>
                <w:sz w:val="16"/>
              </w:rPr>
              <w:t>Turns semantic routing into an expensive graph walk.</w:t>
            </w:r>
          </w:p>
        </w:tc>
        <w:tc>
          <w:tcPr>
            <w:tcW w:w="3240" w:type="dxa"/>
            <w:tcMar>
              <w:top w:w="85" w:type="dxa"/>
              <w:left w:w="95" w:type="dxa"/>
              <w:bottom w:w="85" w:type="dxa"/>
              <w:right w:w="95" w:type="dxa"/>
            </w:tcMar>
            <w:vAlign w:val="center"/>
          </w:tcPr>
          <w:p w14:paraId="7F9863C3" w14:textId="77777777" w:rsidR="00AC1B78" w:rsidRDefault="002C0F08">
            <w:pPr>
              <w:spacing w:after="0" w:line="245" w:lineRule="auto"/>
              <w:rPr>
                <w:rFonts w:hint="eastAsia"/>
              </w:rPr>
            </w:pPr>
            <w:r>
              <w:rPr>
                <w:color w:val="1F2933"/>
                <w:sz w:val="16"/>
              </w:rPr>
              <w:t>Use thresholds, frontier limits, depth, and budgets.</w:t>
            </w:r>
          </w:p>
        </w:tc>
      </w:tr>
      <w:tr w:rsidR="00AC1B78" w14:paraId="67A8F3F0" w14:textId="77777777">
        <w:trPr>
          <w:jc w:val="center"/>
        </w:trPr>
        <w:tc>
          <w:tcPr>
            <w:tcW w:w="2088" w:type="dxa"/>
            <w:shd w:val="clear" w:color="auto" w:fill="F7F9FB"/>
            <w:tcMar>
              <w:top w:w="85" w:type="dxa"/>
              <w:left w:w="95" w:type="dxa"/>
              <w:bottom w:w="85" w:type="dxa"/>
              <w:right w:w="95" w:type="dxa"/>
            </w:tcMar>
            <w:vAlign w:val="center"/>
          </w:tcPr>
          <w:p w14:paraId="4878A01C" w14:textId="77777777" w:rsidR="00AC1B78" w:rsidRDefault="002C0F08">
            <w:pPr>
              <w:spacing w:after="0" w:line="245" w:lineRule="auto"/>
              <w:rPr>
                <w:rFonts w:hint="eastAsia"/>
              </w:rPr>
            </w:pPr>
            <w:r>
              <w:rPr>
                <w:color w:val="1F2933"/>
                <w:sz w:val="16"/>
              </w:rPr>
              <w:t>One opaque score</w:t>
            </w:r>
          </w:p>
        </w:tc>
        <w:tc>
          <w:tcPr>
            <w:tcW w:w="3384" w:type="dxa"/>
            <w:shd w:val="clear" w:color="auto" w:fill="F7F9FB"/>
            <w:tcMar>
              <w:top w:w="85" w:type="dxa"/>
              <w:left w:w="95" w:type="dxa"/>
              <w:bottom w:w="85" w:type="dxa"/>
              <w:right w:w="95" w:type="dxa"/>
            </w:tcMar>
            <w:vAlign w:val="center"/>
          </w:tcPr>
          <w:p w14:paraId="56A3372D" w14:textId="77777777" w:rsidR="00AC1B78" w:rsidRDefault="002C0F08">
            <w:pPr>
              <w:spacing w:after="0" w:line="245" w:lineRule="auto"/>
              <w:rPr>
                <w:rFonts w:hint="eastAsia"/>
              </w:rPr>
            </w:pPr>
            <w:r>
              <w:rPr>
                <w:color w:val="1F2933"/>
                <w:sz w:val="16"/>
              </w:rPr>
              <w:t>Prevents users from knowing whether relevance, authority, or context caused a decision.</w:t>
            </w:r>
          </w:p>
        </w:tc>
        <w:tc>
          <w:tcPr>
            <w:tcW w:w="3240" w:type="dxa"/>
            <w:shd w:val="clear" w:color="auto" w:fill="F7F9FB"/>
            <w:tcMar>
              <w:top w:w="85" w:type="dxa"/>
              <w:left w:w="95" w:type="dxa"/>
              <w:bottom w:w="85" w:type="dxa"/>
              <w:right w:w="95" w:type="dxa"/>
            </w:tcMar>
            <w:vAlign w:val="center"/>
          </w:tcPr>
          <w:p w14:paraId="4E888D7E" w14:textId="77777777" w:rsidR="00AC1B78" w:rsidRDefault="002C0F08">
            <w:pPr>
              <w:spacing w:after="0" w:line="245" w:lineRule="auto"/>
              <w:rPr>
                <w:rFonts w:hint="eastAsia"/>
              </w:rPr>
            </w:pPr>
            <w:r>
              <w:rPr>
                <w:color w:val="1F2933"/>
                <w:sz w:val="16"/>
              </w:rPr>
              <w:t>Expose major dimensions separately.</w:t>
            </w:r>
          </w:p>
        </w:tc>
      </w:tr>
      <w:tr w:rsidR="00AC1B78" w14:paraId="1A279B8E" w14:textId="77777777">
        <w:trPr>
          <w:jc w:val="center"/>
        </w:trPr>
        <w:tc>
          <w:tcPr>
            <w:tcW w:w="2088" w:type="dxa"/>
            <w:tcMar>
              <w:top w:w="85" w:type="dxa"/>
              <w:left w:w="95" w:type="dxa"/>
              <w:bottom w:w="85" w:type="dxa"/>
              <w:right w:w="95" w:type="dxa"/>
            </w:tcMar>
            <w:vAlign w:val="center"/>
          </w:tcPr>
          <w:p w14:paraId="57A31DDF" w14:textId="77777777" w:rsidR="00AC1B78" w:rsidRDefault="002C0F08">
            <w:pPr>
              <w:spacing w:after="0" w:line="245" w:lineRule="auto"/>
              <w:rPr>
                <w:rFonts w:hint="eastAsia"/>
              </w:rPr>
            </w:pPr>
            <w:r>
              <w:rPr>
                <w:color w:val="1F2933"/>
                <w:sz w:val="16"/>
              </w:rPr>
              <w:t>Permission leakage</w:t>
            </w:r>
          </w:p>
        </w:tc>
        <w:tc>
          <w:tcPr>
            <w:tcW w:w="3384" w:type="dxa"/>
            <w:tcMar>
              <w:top w:w="85" w:type="dxa"/>
              <w:left w:w="95" w:type="dxa"/>
              <w:bottom w:w="85" w:type="dxa"/>
              <w:right w:w="95" w:type="dxa"/>
            </w:tcMar>
            <w:vAlign w:val="center"/>
          </w:tcPr>
          <w:p w14:paraId="27BDCC21" w14:textId="77777777" w:rsidR="00AC1B78" w:rsidRDefault="002C0F08">
            <w:pPr>
              <w:spacing w:after="0" w:line="245" w:lineRule="auto"/>
              <w:rPr>
                <w:rFonts w:hint="eastAsia"/>
              </w:rPr>
            </w:pPr>
            <w:r>
              <w:rPr>
                <w:color w:val="1F2933"/>
                <w:sz w:val="16"/>
              </w:rPr>
              <w:t>Hidden routes appear in candidate counts or autocomplete.</w:t>
            </w:r>
          </w:p>
        </w:tc>
        <w:tc>
          <w:tcPr>
            <w:tcW w:w="3240" w:type="dxa"/>
            <w:tcMar>
              <w:top w:w="85" w:type="dxa"/>
              <w:left w:w="95" w:type="dxa"/>
              <w:bottom w:w="85" w:type="dxa"/>
              <w:right w:w="95" w:type="dxa"/>
            </w:tcMar>
            <w:vAlign w:val="center"/>
          </w:tcPr>
          <w:p w14:paraId="374CD8D8" w14:textId="77777777" w:rsidR="00AC1B78" w:rsidRDefault="002C0F08">
            <w:pPr>
              <w:spacing w:after="0" w:line="245" w:lineRule="auto"/>
              <w:rPr>
                <w:rFonts w:hint="eastAsia"/>
              </w:rPr>
            </w:pPr>
            <w:r>
              <w:rPr>
                <w:color w:val="1F2933"/>
                <w:sz w:val="16"/>
              </w:rPr>
              <w:t>Apply permissions before disclosure.</w:t>
            </w:r>
          </w:p>
        </w:tc>
      </w:tr>
      <w:tr w:rsidR="00AC1B78" w14:paraId="6001FF0E" w14:textId="77777777">
        <w:trPr>
          <w:jc w:val="center"/>
        </w:trPr>
        <w:tc>
          <w:tcPr>
            <w:tcW w:w="2088" w:type="dxa"/>
            <w:shd w:val="clear" w:color="auto" w:fill="F7F9FB"/>
            <w:tcMar>
              <w:top w:w="85" w:type="dxa"/>
              <w:left w:w="95" w:type="dxa"/>
              <w:bottom w:w="85" w:type="dxa"/>
              <w:right w:w="95" w:type="dxa"/>
            </w:tcMar>
            <w:vAlign w:val="center"/>
          </w:tcPr>
          <w:p w14:paraId="7C875C31" w14:textId="77777777" w:rsidR="00AC1B78" w:rsidRDefault="002C0F08">
            <w:pPr>
              <w:spacing w:after="0" w:line="245" w:lineRule="auto"/>
              <w:rPr>
                <w:rFonts w:hint="eastAsia"/>
              </w:rPr>
            </w:pPr>
            <w:r>
              <w:rPr>
                <w:color w:val="1F2933"/>
                <w:sz w:val="16"/>
              </w:rPr>
              <w:t>Routing treated as truth</w:t>
            </w:r>
          </w:p>
        </w:tc>
        <w:tc>
          <w:tcPr>
            <w:tcW w:w="3384" w:type="dxa"/>
            <w:shd w:val="clear" w:color="auto" w:fill="F7F9FB"/>
            <w:tcMar>
              <w:top w:w="85" w:type="dxa"/>
              <w:left w:w="95" w:type="dxa"/>
              <w:bottom w:w="85" w:type="dxa"/>
              <w:right w:w="95" w:type="dxa"/>
            </w:tcMar>
            <w:vAlign w:val="center"/>
          </w:tcPr>
          <w:p w14:paraId="6FE8BA2F" w14:textId="77777777" w:rsidR="00AC1B78" w:rsidRDefault="002C0F08">
            <w:pPr>
              <w:spacing w:after="0" w:line="245" w:lineRule="auto"/>
              <w:rPr>
                <w:rFonts w:hint="eastAsia"/>
              </w:rPr>
            </w:pPr>
            <w:r>
              <w:rPr>
                <w:color w:val="1F2933"/>
                <w:sz w:val="16"/>
              </w:rPr>
              <w:t>A query classification is mistaken for canonical semantic identity.</w:t>
            </w:r>
          </w:p>
        </w:tc>
        <w:tc>
          <w:tcPr>
            <w:tcW w:w="3240" w:type="dxa"/>
            <w:shd w:val="clear" w:color="auto" w:fill="F7F9FB"/>
            <w:tcMar>
              <w:top w:w="85" w:type="dxa"/>
              <w:left w:w="95" w:type="dxa"/>
              <w:bottom w:w="85" w:type="dxa"/>
              <w:right w:w="95" w:type="dxa"/>
            </w:tcMar>
            <w:vAlign w:val="center"/>
          </w:tcPr>
          <w:p w14:paraId="4E3B9CFA" w14:textId="77777777" w:rsidR="00AC1B78" w:rsidRDefault="002C0F08">
            <w:pPr>
              <w:spacing w:after="0" w:line="245" w:lineRule="auto"/>
              <w:rPr>
                <w:rFonts w:hint="eastAsia"/>
              </w:rPr>
            </w:pPr>
            <w:r>
              <w:rPr>
                <w:color w:val="1F2933"/>
                <w:sz w:val="16"/>
              </w:rPr>
              <w:t>Keep runtime RouteState separate from canonical Routing SK meaning.</w:t>
            </w:r>
          </w:p>
        </w:tc>
      </w:tr>
      <w:tr w:rsidR="00AC1B78" w14:paraId="64567F7A" w14:textId="77777777">
        <w:trPr>
          <w:jc w:val="center"/>
        </w:trPr>
        <w:tc>
          <w:tcPr>
            <w:tcW w:w="2088" w:type="dxa"/>
            <w:tcMar>
              <w:top w:w="85" w:type="dxa"/>
              <w:left w:w="95" w:type="dxa"/>
              <w:bottom w:w="85" w:type="dxa"/>
              <w:right w:w="95" w:type="dxa"/>
            </w:tcMar>
            <w:vAlign w:val="center"/>
          </w:tcPr>
          <w:p w14:paraId="47A2ACEE" w14:textId="77777777" w:rsidR="00AC1B78" w:rsidRDefault="002C0F08">
            <w:pPr>
              <w:spacing w:after="0" w:line="245" w:lineRule="auto"/>
              <w:rPr>
                <w:rFonts w:hint="eastAsia"/>
              </w:rPr>
            </w:pPr>
            <w:r>
              <w:rPr>
                <w:color w:val="1F2933"/>
                <w:sz w:val="16"/>
              </w:rPr>
              <w:t>Token-first fallback everywhere</w:t>
            </w:r>
          </w:p>
        </w:tc>
        <w:tc>
          <w:tcPr>
            <w:tcW w:w="3384" w:type="dxa"/>
            <w:tcMar>
              <w:top w:w="85" w:type="dxa"/>
              <w:left w:w="95" w:type="dxa"/>
              <w:bottom w:w="85" w:type="dxa"/>
              <w:right w:w="95" w:type="dxa"/>
            </w:tcMar>
            <w:vAlign w:val="center"/>
          </w:tcPr>
          <w:p w14:paraId="46D0EF11" w14:textId="77777777" w:rsidR="00AC1B78" w:rsidRDefault="002C0F08">
            <w:pPr>
              <w:spacing w:after="0" w:line="245" w:lineRule="auto"/>
              <w:rPr>
                <w:rFonts w:hint="eastAsia"/>
              </w:rPr>
            </w:pPr>
            <w:r>
              <w:rPr>
                <w:color w:val="1F2933"/>
                <w:sz w:val="16"/>
              </w:rPr>
              <w:t>Ignores existing semantic structure and repeats domain reconstruction.</w:t>
            </w:r>
          </w:p>
        </w:tc>
        <w:tc>
          <w:tcPr>
            <w:tcW w:w="3240" w:type="dxa"/>
            <w:tcMar>
              <w:top w:w="85" w:type="dxa"/>
              <w:left w:w="95" w:type="dxa"/>
              <w:bottom w:w="85" w:type="dxa"/>
              <w:right w:w="95" w:type="dxa"/>
            </w:tcMar>
            <w:vAlign w:val="center"/>
          </w:tcPr>
          <w:p w14:paraId="58703963" w14:textId="77777777" w:rsidR="00AC1B78" w:rsidRDefault="002C0F08">
            <w:pPr>
              <w:spacing w:after="0" w:line="245" w:lineRule="auto"/>
              <w:rPr>
                <w:rFonts w:hint="eastAsia"/>
              </w:rPr>
            </w:pPr>
            <w:r>
              <w:rPr>
                <w:color w:val="1F2933"/>
                <w:sz w:val="16"/>
              </w:rPr>
              <w:t>Use direct SOLAR / routing / GROOVE before broad source reading where available.</w:t>
            </w:r>
          </w:p>
        </w:tc>
      </w:tr>
      <w:tr w:rsidR="00AC1B78" w14:paraId="55D6FC3D" w14:textId="77777777">
        <w:trPr>
          <w:jc w:val="center"/>
        </w:trPr>
        <w:tc>
          <w:tcPr>
            <w:tcW w:w="2088" w:type="dxa"/>
            <w:shd w:val="clear" w:color="auto" w:fill="F7F9FB"/>
            <w:tcMar>
              <w:top w:w="85" w:type="dxa"/>
              <w:left w:w="95" w:type="dxa"/>
              <w:bottom w:w="85" w:type="dxa"/>
              <w:right w:w="95" w:type="dxa"/>
            </w:tcMar>
            <w:vAlign w:val="center"/>
          </w:tcPr>
          <w:p w14:paraId="65655677" w14:textId="77777777" w:rsidR="00AC1B78" w:rsidRDefault="002C0F08">
            <w:pPr>
              <w:spacing w:after="0" w:line="245" w:lineRule="auto"/>
              <w:rPr>
                <w:rFonts w:hint="eastAsia"/>
              </w:rPr>
            </w:pPr>
            <w:r>
              <w:rPr>
                <w:color w:val="1F2933"/>
                <w:sz w:val="16"/>
              </w:rPr>
              <w:t>Overpruning exploratory queries</w:t>
            </w:r>
          </w:p>
        </w:tc>
        <w:tc>
          <w:tcPr>
            <w:tcW w:w="3384" w:type="dxa"/>
            <w:shd w:val="clear" w:color="auto" w:fill="F7F9FB"/>
            <w:tcMar>
              <w:top w:w="85" w:type="dxa"/>
              <w:left w:w="95" w:type="dxa"/>
              <w:bottom w:w="85" w:type="dxa"/>
              <w:right w:w="95" w:type="dxa"/>
            </w:tcMar>
            <w:vAlign w:val="center"/>
          </w:tcPr>
          <w:p w14:paraId="7BB309B0" w14:textId="77777777" w:rsidR="00AC1B78" w:rsidRDefault="002C0F08">
            <w:pPr>
              <w:spacing w:after="0" w:line="245" w:lineRule="auto"/>
              <w:rPr>
                <w:rFonts w:hint="eastAsia"/>
              </w:rPr>
            </w:pPr>
            <w:r>
              <w:rPr>
                <w:color w:val="1F2933"/>
                <w:sz w:val="16"/>
              </w:rPr>
              <w:t>Aggressive thresholds erase useful cross-domain possibilities.</w:t>
            </w:r>
          </w:p>
        </w:tc>
        <w:tc>
          <w:tcPr>
            <w:tcW w:w="3240" w:type="dxa"/>
            <w:shd w:val="clear" w:color="auto" w:fill="F7F9FB"/>
            <w:tcMar>
              <w:top w:w="85" w:type="dxa"/>
              <w:left w:w="95" w:type="dxa"/>
              <w:bottom w:w="85" w:type="dxa"/>
              <w:right w:w="95" w:type="dxa"/>
            </w:tcMar>
            <w:vAlign w:val="center"/>
          </w:tcPr>
          <w:p w14:paraId="1E87ABD0" w14:textId="77777777" w:rsidR="00AC1B78" w:rsidRDefault="002C0F08">
            <w:pPr>
              <w:spacing w:after="0" w:line="245" w:lineRule="auto"/>
              <w:rPr>
                <w:rFonts w:hint="eastAsia"/>
              </w:rPr>
            </w:pPr>
            <w:r>
              <w:rPr>
                <w:color w:val="1F2933"/>
                <w:sz w:val="16"/>
              </w:rPr>
              <w:t>Use intent-sensitive search budgets and allow user-pinned branches.</w:t>
            </w:r>
          </w:p>
        </w:tc>
      </w:tr>
    </w:tbl>
    <w:p w14:paraId="33979A69" w14:textId="77777777" w:rsidR="00AC1B78" w:rsidRDefault="00AC1B78">
      <w:pPr>
        <w:spacing w:after="40"/>
        <w:rPr>
          <w:rFonts w:hint="eastAsia"/>
        </w:rPr>
      </w:pPr>
    </w:p>
    <w:p w14:paraId="5A0B7759" w14:textId="77777777" w:rsidR="00AC1B78" w:rsidRDefault="002C0F08">
      <w:pPr>
        <w:pStyle w:val="Heading1"/>
        <w:spacing w:before="200" w:after="100" w:line="240" w:lineRule="auto"/>
      </w:pPr>
      <w:r>
        <w:rPr>
          <w:rFonts w:ascii="Carlito" w:hAnsi="Carlito"/>
        </w:rPr>
        <w:t>50. Conformance Requirements</w:t>
      </w:r>
    </w:p>
    <w:tbl>
      <w:tblPr>
        <w:tblW w:w="0" w:type="auto"/>
        <w:jc w:val="center"/>
        <w:tblLayout w:type="fixed"/>
        <w:tblLook w:val="04A0" w:firstRow="1" w:lastRow="0" w:firstColumn="1" w:lastColumn="0" w:noHBand="0" w:noVBand="1"/>
      </w:tblPr>
      <w:tblGrid>
        <w:gridCol w:w="5026"/>
        <w:gridCol w:w="7488"/>
      </w:tblGrid>
      <w:tr w:rsidR="00AC1B78" w14:paraId="232A3683" w14:textId="77777777">
        <w:trPr>
          <w:tblHeader/>
          <w:jc w:val="center"/>
        </w:trPr>
        <w:tc>
          <w:tcPr>
            <w:tcW w:w="5026" w:type="dxa"/>
            <w:shd w:val="clear" w:color="auto" w:fill="17324D"/>
            <w:tcMar>
              <w:top w:w="90" w:type="dxa"/>
              <w:left w:w="100" w:type="dxa"/>
              <w:bottom w:w="90" w:type="dxa"/>
              <w:right w:w="100" w:type="dxa"/>
            </w:tcMar>
            <w:vAlign w:val="center"/>
          </w:tcPr>
          <w:p w14:paraId="04EE7CEF" w14:textId="77777777" w:rsidR="00AC1B78" w:rsidRDefault="002C0F08">
            <w:pPr>
              <w:spacing w:after="0" w:line="240" w:lineRule="auto"/>
              <w:jc w:val="center"/>
              <w:rPr>
                <w:rFonts w:hint="eastAsia"/>
              </w:rPr>
            </w:pPr>
            <w:r>
              <w:rPr>
                <w:b/>
                <w:color w:val="FFFFFF"/>
                <w:sz w:val="17"/>
              </w:rPr>
              <w:t>ID</w:t>
            </w:r>
          </w:p>
        </w:tc>
        <w:tc>
          <w:tcPr>
            <w:tcW w:w="5026" w:type="dxa"/>
            <w:shd w:val="clear" w:color="auto" w:fill="17324D"/>
            <w:tcMar>
              <w:top w:w="90" w:type="dxa"/>
              <w:left w:w="100" w:type="dxa"/>
              <w:bottom w:w="90" w:type="dxa"/>
              <w:right w:w="100" w:type="dxa"/>
            </w:tcMar>
            <w:vAlign w:val="center"/>
          </w:tcPr>
          <w:p w14:paraId="4C3B8A01" w14:textId="77777777" w:rsidR="00AC1B78" w:rsidRDefault="002C0F08">
            <w:pPr>
              <w:spacing w:after="0" w:line="240" w:lineRule="auto"/>
              <w:jc w:val="center"/>
              <w:rPr>
                <w:rFonts w:hint="eastAsia"/>
              </w:rPr>
            </w:pPr>
            <w:r>
              <w:rPr>
                <w:b/>
                <w:color w:val="FFFFFF"/>
                <w:sz w:val="17"/>
              </w:rPr>
              <w:t>Requirement</w:t>
            </w:r>
          </w:p>
        </w:tc>
      </w:tr>
      <w:tr w:rsidR="00AC1B78" w14:paraId="0F5D6D92" w14:textId="77777777">
        <w:trPr>
          <w:jc w:val="center"/>
        </w:trPr>
        <w:tc>
          <w:tcPr>
            <w:tcW w:w="1296" w:type="dxa"/>
            <w:tcMar>
              <w:top w:w="85" w:type="dxa"/>
              <w:left w:w="95" w:type="dxa"/>
              <w:bottom w:w="85" w:type="dxa"/>
              <w:right w:w="95" w:type="dxa"/>
            </w:tcMar>
            <w:vAlign w:val="center"/>
          </w:tcPr>
          <w:p w14:paraId="2579F384" w14:textId="77777777" w:rsidR="00AC1B78" w:rsidRDefault="002C0F08">
            <w:pPr>
              <w:spacing w:after="0" w:line="245" w:lineRule="auto"/>
              <w:rPr>
                <w:rFonts w:hint="eastAsia"/>
              </w:rPr>
            </w:pPr>
            <w:r>
              <w:rPr>
                <w:color w:val="1F2933"/>
                <w:sz w:val="16"/>
              </w:rPr>
              <w:t>BBT-C01</w:t>
            </w:r>
          </w:p>
        </w:tc>
        <w:tc>
          <w:tcPr>
            <w:tcW w:w="7488" w:type="dxa"/>
            <w:tcMar>
              <w:top w:w="85" w:type="dxa"/>
              <w:left w:w="95" w:type="dxa"/>
              <w:bottom w:w="85" w:type="dxa"/>
              <w:right w:w="95" w:type="dxa"/>
            </w:tcMar>
            <w:vAlign w:val="center"/>
          </w:tcPr>
          <w:p w14:paraId="527FE412" w14:textId="77777777" w:rsidR="00AC1B78" w:rsidRDefault="002C0F08">
            <w:pPr>
              <w:spacing w:after="0" w:line="245" w:lineRule="auto"/>
              <w:rPr>
                <w:rFonts w:hint="eastAsia"/>
              </w:rPr>
            </w:pPr>
            <w:r>
              <w:rPr>
                <w:color w:val="1F2933"/>
                <w:sz w:val="16"/>
              </w:rPr>
              <w:t>A conforming implementation SHALL preserve the identity and version of each Routing SK used during semantic search.</w:t>
            </w:r>
          </w:p>
        </w:tc>
      </w:tr>
      <w:tr w:rsidR="00AC1B78" w14:paraId="56B6092E" w14:textId="77777777">
        <w:trPr>
          <w:jc w:val="center"/>
        </w:trPr>
        <w:tc>
          <w:tcPr>
            <w:tcW w:w="1296" w:type="dxa"/>
            <w:shd w:val="clear" w:color="auto" w:fill="F7F9FB"/>
            <w:tcMar>
              <w:top w:w="85" w:type="dxa"/>
              <w:left w:w="95" w:type="dxa"/>
              <w:bottom w:w="85" w:type="dxa"/>
              <w:right w:w="95" w:type="dxa"/>
            </w:tcMar>
            <w:vAlign w:val="center"/>
          </w:tcPr>
          <w:p w14:paraId="0E412427" w14:textId="77777777" w:rsidR="00AC1B78" w:rsidRDefault="002C0F08">
            <w:pPr>
              <w:spacing w:after="0" w:line="245" w:lineRule="auto"/>
              <w:rPr>
                <w:rFonts w:hint="eastAsia"/>
              </w:rPr>
            </w:pPr>
            <w:r>
              <w:rPr>
                <w:color w:val="1F2933"/>
                <w:sz w:val="16"/>
              </w:rPr>
              <w:t>BBT-C02</w:t>
            </w:r>
          </w:p>
        </w:tc>
        <w:tc>
          <w:tcPr>
            <w:tcW w:w="7488" w:type="dxa"/>
            <w:shd w:val="clear" w:color="auto" w:fill="F7F9FB"/>
            <w:tcMar>
              <w:top w:w="85" w:type="dxa"/>
              <w:left w:w="95" w:type="dxa"/>
              <w:bottom w:w="85" w:type="dxa"/>
              <w:right w:w="95" w:type="dxa"/>
            </w:tcMar>
            <w:vAlign w:val="center"/>
          </w:tcPr>
          <w:p w14:paraId="7414A2CA" w14:textId="77777777" w:rsidR="00AC1B78" w:rsidRDefault="002C0F08">
            <w:pPr>
              <w:spacing w:after="0" w:line="245" w:lineRule="auto"/>
              <w:rPr>
                <w:rFonts w:hint="eastAsia"/>
              </w:rPr>
            </w:pPr>
            <w:r>
              <w:rPr>
                <w:color w:val="1F2933"/>
                <w:sz w:val="16"/>
              </w:rPr>
              <w:t>A query MAY activate multiple compatible routes; conformance SHALL NOT require single-label classification.</w:t>
            </w:r>
          </w:p>
        </w:tc>
      </w:tr>
      <w:tr w:rsidR="00AC1B78" w14:paraId="06E95CE8" w14:textId="77777777">
        <w:trPr>
          <w:jc w:val="center"/>
        </w:trPr>
        <w:tc>
          <w:tcPr>
            <w:tcW w:w="1296" w:type="dxa"/>
            <w:tcMar>
              <w:top w:w="85" w:type="dxa"/>
              <w:left w:w="95" w:type="dxa"/>
              <w:bottom w:w="85" w:type="dxa"/>
              <w:right w:w="95" w:type="dxa"/>
            </w:tcMar>
            <w:vAlign w:val="center"/>
          </w:tcPr>
          <w:p w14:paraId="208B15D6" w14:textId="77777777" w:rsidR="00AC1B78" w:rsidRDefault="002C0F08">
            <w:pPr>
              <w:spacing w:after="0" w:line="245" w:lineRule="auto"/>
              <w:rPr>
                <w:rFonts w:hint="eastAsia"/>
              </w:rPr>
            </w:pPr>
            <w:r>
              <w:rPr>
                <w:color w:val="1F2933"/>
                <w:sz w:val="16"/>
              </w:rPr>
              <w:t>BBT-C03</w:t>
            </w:r>
          </w:p>
        </w:tc>
        <w:tc>
          <w:tcPr>
            <w:tcW w:w="7488" w:type="dxa"/>
            <w:tcMar>
              <w:top w:w="85" w:type="dxa"/>
              <w:left w:w="95" w:type="dxa"/>
              <w:bottom w:w="85" w:type="dxa"/>
              <w:right w:w="95" w:type="dxa"/>
            </w:tcMar>
            <w:vAlign w:val="center"/>
          </w:tcPr>
          <w:p w14:paraId="12D16A58" w14:textId="77777777" w:rsidR="00AC1B78" w:rsidRDefault="002C0F08">
            <w:pPr>
              <w:spacing w:after="0" w:line="245" w:lineRule="auto"/>
              <w:rPr>
                <w:rFonts w:hint="eastAsia"/>
              </w:rPr>
            </w:pPr>
            <w:r>
              <w:rPr>
                <w:color w:val="1F2933"/>
                <w:sz w:val="16"/>
              </w:rPr>
              <w:t>Runtime query RouteState SHALL remain distinct from canonical Routing SK state and identity.</w:t>
            </w:r>
          </w:p>
        </w:tc>
      </w:tr>
      <w:tr w:rsidR="00AC1B78" w14:paraId="4CF78FB6" w14:textId="77777777">
        <w:trPr>
          <w:jc w:val="center"/>
        </w:trPr>
        <w:tc>
          <w:tcPr>
            <w:tcW w:w="1296" w:type="dxa"/>
            <w:shd w:val="clear" w:color="auto" w:fill="F7F9FB"/>
            <w:tcMar>
              <w:top w:w="85" w:type="dxa"/>
              <w:left w:w="95" w:type="dxa"/>
              <w:bottom w:w="85" w:type="dxa"/>
              <w:right w:w="95" w:type="dxa"/>
            </w:tcMar>
            <w:vAlign w:val="center"/>
          </w:tcPr>
          <w:p w14:paraId="419DE6D4" w14:textId="77777777" w:rsidR="00AC1B78" w:rsidRDefault="002C0F08">
            <w:pPr>
              <w:spacing w:after="0" w:line="245" w:lineRule="auto"/>
              <w:rPr>
                <w:rFonts w:hint="eastAsia"/>
              </w:rPr>
            </w:pPr>
            <w:r>
              <w:rPr>
                <w:color w:val="1F2933"/>
                <w:sz w:val="16"/>
              </w:rPr>
              <w:t>BBT-C04</w:t>
            </w:r>
          </w:p>
        </w:tc>
        <w:tc>
          <w:tcPr>
            <w:tcW w:w="7488" w:type="dxa"/>
            <w:shd w:val="clear" w:color="auto" w:fill="F7F9FB"/>
            <w:tcMar>
              <w:top w:w="85" w:type="dxa"/>
              <w:left w:w="95" w:type="dxa"/>
              <w:bottom w:w="85" w:type="dxa"/>
              <w:right w:w="95" w:type="dxa"/>
            </w:tcMar>
            <w:vAlign w:val="center"/>
          </w:tcPr>
          <w:p w14:paraId="61AD35D8" w14:textId="77777777" w:rsidR="00AC1B78" w:rsidRDefault="002C0F08">
            <w:pPr>
              <w:spacing w:after="0" w:line="245" w:lineRule="auto"/>
              <w:rPr>
                <w:rFonts w:hint="eastAsia"/>
              </w:rPr>
            </w:pPr>
            <w:r>
              <w:rPr>
                <w:color w:val="1F2933"/>
                <w:sz w:val="16"/>
              </w:rPr>
              <w:t>Semantic Fade SHALL be an explicit continuation decision or equivalent inspectable state, not only an invisible hidden-model effect.</w:t>
            </w:r>
          </w:p>
        </w:tc>
      </w:tr>
      <w:tr w:rsidR="00AC1B78" w14:paraId="3806FEC5" w14:textId="77777777">
        <w:trPr>
          <w:jc w:val="center"/>
        </w:trPr>
        <w:tc>
          <w:tcPr>
            <w:tcW w:w="1296" w:type="dxa"/>
            <w:tcMar>
              <w:top w:w="85" w:type="dxa"/>
              <w:left w:w="95" w:type="dxa"/>
              <w:bottom w:w="85" w:type="dxa"/>
              <w:right w:w="95" w:type="dxa"/>
            </w:tcMar>
            <w:vAlign w:val="center"/>
          </w:tcPr>
          <w:p w14:paraId="505116B4" w14:textId="77777777" w:rsidR="00AC1B78" w:rsidRDefault="002C0F08">
            <w:pPr>
              <w:spacing w:after="0" w:line="245" w:lineRule="auto"/>
              <w:rPr>
                <w:rFonts w:hint="eastAsia"/>
              </w:rPr>
            </w:pPr>
            <w:r>
              <w:rPr>
                <w:color w:val="1F2933"/>
                <w:sz w:val="16"/>
              </w:rPr>
              <w:t>BBT-C05</w:t>
            </w:r>
          </w:p>
        </w:tc>
        <w:tc>
          <w:tcPr>
            <w:tcW w:w="7488" w:type="dxa"/>
            <w:tcMar>
              <w:top w:w="85" w:type="dxa"/>
              <w:left w:w="95" w:type="dxa"/>
              <w:bottom w:w="85" w:type="dxa"/>
              <w:right w:w="95" w:type="dxa"/>
            </w:tcMar>
            <w:vAlign w:val="center"/>
          </w:tcPr>
          <w:p w14:paraId="51E0CC35" w14:textId="77777777" w:rsidR="00AC1B78" w:rsidRDefault="002C0F08">
            <w:pPr>
              <w:spacing w:after="0" w:line="245" w:lineRule="auto"/>
              <w:rPr>
                <w:rFonts w:hint="eastAsia"/>
              </w:rPr>
            </w:pPr>
            <w:r>
              <w:rPr>
                <w:color w:val="1F2933"/>
                <w:sz w:val="16"/>
              </w:rPr>
              <w:t>Relevance SHOULD be re-evaluated at deeper routing levels rather than forced to monotonically decay with depth.</w:t>
            </w:r>
          </w:p>
        </w:tc>
      </w:tr>
      <w:tr w:rsidR="00AC1B78" w14:paraId="7DD57F37" w14:textId="77777777">
        <w:trPr>
          <w:jc w:val="center"/>
        </w:trPr>
        <w:tc>
          <w:tcPr>
            <w:tcW w:w="1296" w:type="dxa"/>
            <w:shd w:val="clear" w:color="auto" w:fill="F7F9FB"/>
            <w:tcMar>
              <w:top w:w="85" w:type="dxa"/>
              <w:left w:w="95" w:type="dxa"/>
              <w:bottom w:w="85" w:type="dxa"/>
              <w:right w:w="95" w:type="dxa"/>
            </w:tcMar>
            <w:vAlign w:val="center"/>
          </w:tcPr>
          <w:p w14:paraId="7F68AC85" w14:textId="77777777" w:rsidR="00AC1B78" w:rsidRDefault="002C0F08">
            <w:pPr>
              <w:spacing w:after="0" w:line="245" w:lineRule="auto"/>
              <w:rPr>
                <w:rFonts w:hint="eastAsia"/>
              </w:rPr>
            </w:pPr>
            <w:r>
              <w:rPr>
                <w:color w:val="1F2933"/>
                <w:sz w:val="16"/>
              </w:rPr>
              <w:t>BBT-C06</w:t>
            </w:r>
          </w:p>
        </w:tc>
        <w:tc>
          <w:tcPr>
            <w:tcW w:w="7488" w:type="dxa"/>
            <w:shd w:val="clear" w:color="auto" w:fill="F7F9FB"/>
            <w:tcMar>
              <w:top w:w="85" w:type="dxa"/>
              <w:left w:w="95" w:type="dxa"/>
              <w:bottom w:w="85" w:type="dxa"/>
              <w:right w:w="95" w:type="dxa"/>
            </w:tcMar>
            <w:vAlign w:val="center"/>
          </w:tcPr>
          <w:p w14:paraId="6DAF6C2A" w14:textId="77777777" w:rsidR="00AC1B78" w:rsidRDefault="002C0F08">
            <w:pPr>
              <w:spacing w:after="0" w:line="245" w:lineRule="auto"/>
              <w:rPr>
                <w:rFonts w:hint="eastAsia"/>
              </w:rPr>
            </w:pPr>
            <w:r>
              <w:rPr>
                <w:color w:val="1F2933"/>
                <w:sz w:val="16"/>
              </w:rPr>
              <w:t>Authority and contextual applicability SHALL remain distinguishable in the data model or equivalent behavior.</w:t>
            </w:r>
          </w:p>
        </w:tc>
      </w:tr>
      <w:tr w:rsidR="00AC1B78" w14:paraId="4EEDE45D" w14:textId="77777777">
        <w:trPr>
          <w:jc w:val="center"/>
        </w:trPr>
        <w:tc>
          <w:tcPr>
            <w:tcW w:w="1296" w:type="dxa"/>
            <w:tcMar>
              <w:top w:w="85" w:type="dxa"/>
              <w:left w:w="95" w:type="dxa"/>
              <w:bottom w:w="85" w:type="dxa"/>
              <w:right w:w="95" w:type="dxa"/>
            </w:tcMar>
            <w:vAlign w:val="center"/>
          </w:tcPr>
          <w:p w14:paraId="027E59D8" w14:textId="77777777" w:rsidR="00AC1B78" w:rsidRDefault="002C0F08">
            <w:pPr>
              <w:spacing w:after="0" w:line="245" w:lineRule="auto"/>
              <w:rPr>
                <w:rFonts w:hint="eastAsia"/>
              </w:rPr>
            </w:pPr>
            <w:r>
              <w:rPr>
                <w:color w:val="1F2933"/>
                <w:sz w:val="16"/>
              </w:rPr>
              <w:t>BBT-C07</w:t>
            </w:r>
          </w:p>
        </w:tc>
        <w:tc>
          <w:tcPr>
            <w:tcW w:w="7488" w:type="dxa"/>
            <w:tcMar>
              <w:top w:w="85" w:type="dxa"/>
              <w:left w:w="95" w:type="dxa"/>
              <w:bottom w:w="85" w:type="dxa"/>
              <w:right w:w="95" w:type="dxa"/>
            </w:tcMar>
            <w:vAlign w:val="center"/>
          </w:tcPr>
          <w:p w14:paraId="4449667F" w14:textId="77777777" w:rsidR="00AC1B78" w:rsidRDefault="002C0F08">
            <w:pPr>
              <w:spacing w:after="0" w:line="245" w:lineRule="auto"/>
              <w:rPr>
                <w:rFonts w:hint="eastAsia"/>
              </w:rPr>
            </w:pPr>
            <w:r>
              <w:rPr>
                <w:color w:val="1F2933"/>
                <w:sz w:val="16"/>
              </w:rPr>
              <w:t>Information with zero applicability to the active context SHALL NOT influence an answer merely because it is authoritative elsewhere.</w:t>
            </w:r>
          </w:p>
        </w:tc>
      </w:tr>
      <w:tr w:rsidR="00AC1B78" w14:paraId="0698A87E" w14:textId="77777777">
        <w:trPr>
          <w:jc w:val="center"/>
        </w:trPr>
        <w:tc>
          <w:tcPr>
            <w:tcW w:w="1296" w:type="dxa"/>
            <w:shd w:val="clear" w:color="auto" w:fill="F7F9FB"/>
            <w:tcMar>
              <w:top w:w="85" w:type="dxa"/>
              <w:left w:w="95" w:type="dxa"/>
              <w:bottom w:w="85" w:type="dxa"/>
              <w:right w:w="95" w:type="dxa"/>
            </w:tcMar>
            <w:vAlign w:val="center"/>
          </w:tcPr>
          <w:p w14:paraId="175EA68B" w14:textId="77777777" w:rsidR="00AC1B78" w:rsidRDefault="002C0F08">
            <w:pPr>
              <w:spacing w:after="0" w:line="245" w:lineRule="auto"/>
              <w:rPr>
                <w:rFonts w:hint="eastAsia"/>
              </w:rPr>
            </w:pPr>
            <w:r>
              <w:rPr>
                <w:color w:val="1F2933"/>
                <w:sz w:val="16"/>
              </w:rPr>
              <w:t>BBT-C08</w:t>
            </w:r>
          </w:p>
        </w:tc>
        <w:tc>
          <w:tcPr>
            <w:tcW w:w="7488" w:type="dxa"/>
            <w:shd w:val="clear" w:color="auto" w:fill="F7F9FB"/>
            <w:tcMar>
              <w:top w:w="85" w:type="dxa"/>
              <w:left w:w="95" w:type="dxa"/>
              <w:bottom w:w="85" w:type="dxa"/>
              <w:right w:w="95" w:type="dxa"/>
            </w:tcMar>
            <w:vAlign w:val="center"/>
          </w:tcPr>
          <w:p w14:paraId="2527E569" w14:textId="77777777" w:rsidR="00AC1B78" w:rsidRDefault="002C0F08">
            <w:pPr>
              <w:spacing w:after="0" w:line="245" w:lineRule="auto"/>
              <w:rPr>
                <w:rFonts w:hint="eastAsia"/>
              </w:rPr>
            </w:pPr>
            <w:r>
              <w:rPr>
                <w:color w:val="1F2933"/>
                <w:sz w:val="16"/>
              </w:rPr>
              <w:t>Permission filtering SHALL occur before hidden routes, counts, source names, or ambiguity information are disclosed.</w:t>
            </w:r>
          </w:p>
        </w:tc>
      </w:tr>
      <w:tr w:rsidR="00AC1B78" w14:paraId="65FE7BFE" w14:textId="77777777">
        <w:trPr>
          <w:jc w:val="center"/>
        </w:trPr>
        <w:tc>
          <w:tcPr>
            <w:tcW w:w="1296" w:type="dxa"/>
            <w:tcMar>
              <w:top w:w="85" w:type="dxa"/>
              <w:left w:w="95" w:type="dxa"/>
              <w:bottom w:w="85" w:type="dxa"/>
              <w:right w:w="95" w:type="dxa"/>
            </w:tcMar>
            <w:vAlign w:val="center"/>
          </w:tcPr>
          <w:p w14:paraId="298497DB" w14:textId="77777777" w:rsidR="00AC1B78" w:rsidRDefault="002C0F08">
            <w:pPr>
              <w:spacing w:after="0" w:line="245" w:lineRule="auto"/>
              <w:rPr>
                <w:rFonts w:hint="eastAsia"/>
              </w:rPr>
            </w:pPr>
            <w:r>
              <w:rPr>
                <w:color w:val="1F2933"/>
                <w:sz w:val="16"/>
              </w:rPr>
              <w:t>BBT-C09</w:t>
            </w:r>
          </w:p>
        </w:tc>
        <w:tc>
          <w:tcPr>
            <w:tcW w:w="7488" w:type="dxa"/>
            <w:tcMar>
              <w:top w:w="85" w:type="dxa"/>
              <w:left w:w="95" w:type="dxa"/>
              <w:bottom w:w="85" w:type="dxa"/>
              <w:right w:w="95" w:type="dxa"/>
            </w:tcMar>
            <w:vAlign w:val="center"/>
          </w:tcPr>
          <w:p w14:paraId="5EC27B3B" w14:textId="77777777" w:rsidR="00AC1B78" w:rsidRDefault="002C0F08">
            <w:pPr>
              <w:spacing w:after="0" w:line="245" w:lineRule="auto"/>
              <w:rPr>
                <w:rFonts w:hint="eastAsia"/>
              </w:rPr>
            </w:pPr>
            <w:r>
              <w:rPr>
                <w:color w:val="1F2933"/>
                <w:sz w:val="16"/>
              </w:rPr>
              <w:t>Exact authorized SOLAR resolution SHALL outrank lower-authority similarity or broad semantic routing for the same lexical span.</w:t>
            </w:r>
          </w:p>
        </w:tc>
      </w:tr>
      <w:tr w:rsidR="00AC1B78" w14:paraId="7559B810" w14:textId="77777777">
        <w:trPr>
          <w:jc w:val="center"/>
        </w:trPr>
        <w:tc>
          <w:tcPr>
            <w:tcW w:w="1296" w:type="dxa"/>
            <w:shd w:val="clear" w:color="auto" w:fill="F7F9FB"/>
            <w:tcMar>
              <w:top w:w="85" w:type="dxa"/>
              <w:left w:w="95" w:type="dxa"/>
              <w:bottom w:w="85" w:type="dxa"/>
              <w:right w:w="95" w:type="dxa"/>
            </w:tcMar>
            <w:vAlign w:val="center"/>
          </w:tcPr>
          <w:p w14:paraId="6EE7BF40" w14:textId="77777777" w:rsidR="00AC1B78" w:rsidRDefault="002C0F08">
            <w:pPr>
              <w:spacing w:after="0" w:line="245" w:lineRule="auto"/>
              <w:rPr>
                <w:rFonts w:hint="eastAsia"/>
              </w:rPr>
            </w:pPr>
            <w:r>
              <w:rPr>
                <w:color w:val="1F2933"/>
                <w:sz w:val="16"/>
              </w:rPr>
              <w:t>BBT-C10</w:t>
            </w:r>
          </w:p>
        </w:tc>
        <w:tc>
          <w:tcPr>
            <w:tcW w:w="7488" w:type="dxa"/>
            <w:shd w:val="clear" w:color="auto" w:fill="F7F9FB"/>
            <w:tcMar>
              <w:top w:w="85" w:type="dxa"/>
              <w:left w:w="95" w:type="dxa"/>
              <w:bottom w:w="85" w:type="dxa"/>
              <w:right w:w="95" w:type="dxa"/>
            </w:tcMar>
            <w:vAlign w:val="center"/>
          </w:tcPr>
          <w:p w14:paraId="4BA0DD61" w14:textId="77777777" w:rsidR="00AC1B78" w:rsidRDefault="002C0F08">
            <w:pPr>
              <w:spacing w:after="0" w:line="245" w:lineRule="auto"/>
              <w:rPr>
                <w:rFonts w:hint="eastAsia"/>
              </w:rPr>
            </w:pPr>
            <w:r>
              <w:rPr>
                <w:color w:val="1F2933"/>
                <w:sz w:val="16"/>
              </w:rPr>
              <w:t>00 and GROOVE metadata MAY guide retrieval but SHALL NOT silently replace required source inspection for consequential factual claims.</w:t>
            </w:r>
          </w:p>
        </w:tc>
      </w:tr>
      <w:tr w:rsidR="00AC1B78" w14:paraId="038B5870" w14:textId="77777777">
        <w:trPr>
          <w:jc w:val="center"/>
        </w:trPr>
        <w:tc>
          <w:tcPr>
            <w:tcW w:w="1296" w:type="dxa"/>
            <w:tcMar>
              <w:top w:w="85" w:type="dxa"/>
              <w:left w:w="95" w:type="dxa"/>
              <w:bottom w:w="85" w:type="dxa"/>
              <w:right w:w="95" w:type="dxa"/>
            </w:tcMar>
            <w:vAlign w:val="center"/>
          </w:tcPr>
          <w:p w14:paraId="0DF73840" w14:textId="77777777" w:rsidR="00AC1B78" w:rsidRDefault="002C0F08">
            <w:pPr>
              <w:spacing w:after="0" w:line="245" w:lineRule="auto"/>
              <w:rPr>
                <w:rFonts w:hint="eastAsia"/>
              </w:rPr>
            </w:pPr>
            <w:r>
              <w:rPr>
                <w:color w:val="1F2933"/>
                <w:sz w:val="16"/>
              </w:rPr>
              <w:t>BBT-C11</w:t>
            </w:r>
          </w:p>
        </w:tc>
        <w:tc>
          <w:tcPr>
            <w:tcW w:w="7488" w:type="dxa"/>
            <w:tcMar>
              <w:top w:w="85" w:type="dxa"/>
              <w:left w:w="95" w:type="dxa"/>
              <w:bottom w:w="85" w:type="dxa"/>
              <w:right w:w="95" w:type="dxa"/>
            </w:tcMar>
            <w:vAlign w:val="center"/>
          </w:tcPr>
          <w:p w14:paraId="60359B15" w14:textId="77777777" w:rsidR="00AC1B78" w:rsidRDefault="002C0F08">
            <w:pPr>
              <w:spacing w:after="0" w:line="245" w:lineRule="auto"/>
              <w:rPr>
                <w:rFonts w:hint="eastAsia"/>
              </w:rPr>
            </w:pPr>
            <w:r>
              <w:rPr>
                <w:color w:val="1F2933"/>
                <w:sz w:val="16"/>
              </w:rPr>
              <w:t>The search runtime SHOULD expose or retain the active semantic frontier and branch status.</w:t>
            </w:r>
          </w:p>
        </w:tc>
      </w:tr>
      <w:tr w:rsidR="00AC1B78" w14:paraId="40C12EE9" w14:textId="77777777">
        <w:trPr>
          <w:jc w:val="center"/>
        </w:trPr>
        <w:tc>
          <w:tcPr>
            <w:tcW w:w="1296" w:type="dxa"/>
            <w:shd w:val="clear" w:color="auto" w:fill="F7F9FB"/>
            <w:tcMar>
              <w:top w:w="85" w:type="dxa"/>
              <w:left w:w="95" w:type="dxa"/>
              <w:bottom w:w="85" w:type="dxa"/>
              <w:right w:w="95" w:type="dxa"/>
            </w:tcMar>
            <w:vAlign w:val="center"/>
          </w:tcPr>
          <w:p w14:paraId="13CC7211" w14:textId="77777777" w:rsidR="00AC1B78" w:rsidRDefault="002C0F08">
            <w:pPr>
              <w:spacing w:after="0" w:line="245" w:lineRule="auto"/>
              <w:rPr>
                <w:rFonts w:hint="eastAsia"/>
              </w:rPr>
            </w:pPr>
            <w:r>
              <w:rPr>
                <w:color w:val="1F2933"/>
                <w:sz w:val="16"/>
              </w:rPr>
              <w:t>BBT-C12</w:t>
            </w:r>
          </w:p>
        </w:tc>
        <w:tc>
          <w:tcPr>
            <w:tcW w:w="7488" w:type="dxa"/>
            <w:shd w:val="clear" w:color="auto" w:fill="F7F9FB"/>
            <w:tcMar>
              <w:top w:w="85" w:type="dxa"/>
              <w:left w:w="95" w:type="dxa"/>
              <w:bottom w:w="85" w:type="dxa"/>
              <w:right w:w="95" w:type="dxa"/>
            </w:tcMar>
            <w:vAlign w:val="center"/>
          </w:tcPr>
          <w:p w14:paraId="2540C48D" w14:textId="77777777" w:rsidR="00AC1B78" w:rsidRDefault="002C0F08">
            <w:pPr>
              <w:spacing w:after="0" w:line="245" w:lineRule="auto"/>
              <w:rPr>
                <w:rFonts w:hint="eastAsia"/>
              </w:rPr>
            </w:pPr>
            <w:r>
              <w:rPr>
                <w:color w:val="1F2933"/>
                <w:sz w:val="16"/>
              </w:rPr>
              <w:t>Search budgets SHOULD be configurable by task or profile.</w:t>
            </w:r>
          </w:p>
        </w:tc>
      </w:tr>
      <w:tr w:rsidR="00AC1B78" w14:paraId="0A4F0683" w14:textId="77777777">
        <w:trPr>
          <w:jc w:val="center"/>
        </w:trPr>
        <w:tc>
          <w:tcPr>
            <w:tcW w:w="1296" w:type="dxa"/>
            <w:tcMar>
              <w:top w:w="85" w:type="dxa"/>
              <w:left w:w="95" w:type="dxa"/>
              <w:bottom w:w="85" w:type="dxa"/>
              <w:right w:w="95" w:type="dxa"/>
            </w:tcMar>
            <w:vAlign w:val="center"/>
          </w:tcPr>
          <w:p w14:paraId="4E318ABE" w14:textId="77777777" w:rsidR="00AC1B78" w:rsidRDefault="002C0F08">
            <w:pPr>
              <w:spacing w:after="0" w:line="245" w:lineRule="auto"/>
              <w:rPr>
                <w:rFonts w:hint="eastAsia"/>
              </w:rPr>
            </w:pPr>
            <w:r>
              <w:rPr>
                <w:color w:val="1F2933"/>
                <w:sz w:val="16"/>
              </w:rPr>
              <w:t>BBT-C13</w:t>
            </w:r>
          </w:p>
        </w:tc>
        <w:tc>
          <w:tcPr>
            <w:tcW w:w="7488" w:type="dxa"/>
            <w:tcMar>
              <w:top w:w="85" w:type="dxa"/>
              <w:left w:w="95" w:type="dxa"/>
              <w:bottom w:w="85" w:type="dxa"/>
              <w:right w:w="95" w:type="dxa"/>
            </w:tcMar>
            <w:vAlign w:val="center"/>
          </w:tcPr>
          <w:p w14:paraId="5DA47CA7" w14:textId="77777777" w:rsidR="00AC1B78" w:rsidRDefault="002C0F08">
            <w:pPr>
              <w:spacing w:after="0" w:line="245" w:lineRule="auto"/>
              <w:rPr>
                <w:rFonts w:hint="eastAsia"/>
              </w:rPr>
            </w:pPr>
            <w:r>
              <w:rPr>
                <w:color w:val="1F2933"/>
                <w:sz w:val="16"/>
              </w:rPr>
              <w:t>The runtime SHOULD preserve a route trace sufficient to identify active branches, dropped branches, selected 00 bundles, and reopened sources.</w:t>
            </w:r>
          </w:p>
        </w:tc>
      </w:tr>
      <w:tr w:rsidR="00AC1B78" w14:paraId="32142080" w14:textId="77777777">
        <w:trPr>
          <w:jc w:val="center"/>
        </w:trPr>
        <w:tc>
          <w:tcPr>
            <w:tcW w:w="1296" w:type="dxa"/>
            <w:shd w:val="clear" w:color="auto" w:fill="F7F9FB"/>
            <w:tcMar>
              <w:top w:w="85" w:type="dxa"/>
              <w:left w:w="95" w:type="dxa"/>
              <w:bottom w:w="85" w:type="dxa"/>
              <w:right w:w="95" w:type="dxa"/>
            </w:tcMar>
            <w:vAlign w:val="center"/>
          </w:tcPr>
          <w:p w14:paraId="14B97C06" w14:textId="77777777" w:rsidR="00AC1B78" w:rsidRDefault="002C0F08">
            <w:pPr>
              <w:spacing w:after="0" w:line="245" w:lineRule="auto"/>
              <w:rPr>
                <w:rFonts w:hint="eastAsia"/>
              </w:rPr>
            </w:pPr>
            <w:r>
              <w:rPr>
                <w:color w:val="1F2933"/>
                <w:sz w:val="16"/>
              </w:rPr>
              <w:t>BBT-C14</w:t>
            </w:r>
          </w:p>
        </w:tc>
        <w:tc>
          <w:tcPr>
            <w:tcW w:w="7488" w:type="dxa"/>
            <w:shd w:val="clear" w:color="auto" w:fill="F7F9FB"/>
            <w:tcMar>
              <w:top w:w="85" w:type="dxa"/>
              <w:left w:w="95" w:type="dxa"/>
              <w:bottom w:w="85" w:type="dxa"/>
              <w:right w:w="95" w:type="dxa"/>
            </w:tcMar>
            <w:vAlign w:val="center"/>
          </w:tcPr>
          <w:p w14:paraId="2AD7C102" w14:textId="77777777" w:rsidR="00AC1B78" w:rsidRDefault="002C0F08">
            <w:pPr>
              <w:spacing w:after="0" w:line="245" w:lineRule="auto"/>
              <w:rPr>
                <w:rFonts w:hint="eastAsia"/>
              </w:rPr>
            </w:pPr>
            <w:r>
              <w:rPr>
                <w:color w:val="1F2933"/>
                <w:sz w:val="16"/>
              </w:rPr>
              <w:t>Cross-domain intersections SHALL preserve the identities of their parent branches rather than flattening them into an unexplained merged label.</w:t>
            </w:r>
          </w:p>
        </w:tc>
      </w:tr>
      <w:tr w:rsidR="00AC1B78" w14:paraId="1A5C368A" w14:textId="77777777">
        <w:trPr>
          <w:jc w:val="center"/>
        </w:trPr>
        <w:tc>
          <w:tcPr>
            <w:tcW w:w="1296" w:type="dxa"/>
            <w:tcMar>
              <w:top w:w="85" w:type="dxa"/>
              <w:left w:w="95" w:type="dxa"/>
              <w:bottom w:w="85" w:type="dxa"/>
              <w:right w:w="95" w:type="dxa"/>
            </w:tcMar>
            <w:vAlign w:val="center"/>
          </w:tcPr>
          <w:p w14:paraId="492F9FDF" w14:textId="77777777" w:rsidR="00AC1B78" w:rsidRDefault="002C0F08">
            <w:pPr>
              <w:spacing w:after="0" w:line="245" w:lineRule="auto"/>
              <w:rPr>
                <w:rFonts w:hint="eastAsia"/>
              </w:rPr>
            </w:pPr>
            <w:r>
              <w:rPr>
                <w:color w:val="1F2933"/>
                <w:sz w:val="16"/>
              </w:rPr>
              <w:t>BBT-C15</w:t>
            </w:r>
          </w:p>
        </w:tc>
        <w:tc>
          <w:tcPr>
            <w:tcW w:w="7488" w:type="dxa"/>
            <w:tcMar>
              <w:top w:w="85" w:type="dxa"/>
              <w:left w:w="95" w:type="dxa"/>
              <w:bottom w:w="85" w:type="dxa"/>
              <w:right w:w="95" w:type="dxa"/>
            </w:tcMar>
            <w:vAlign w:val="center"/>
          </w:tcPr>
          <w:p w14:paraId="431511E4" w14:textId="77777777" w:rsidR="00AC1B78" w:rsidRDefault="002C0F08">
            <w:pPr>
              <w:spacing w:after="0" w:line="245" w:lineRule="auto"/>
              <w:rPr>
                <w:rFonts w:hint="eastAsia"/>
              </w:rPr>
            </w:pPr>
            <w:r>
              <w:rPr>
                <w:color w:val="1F2933"/>
                <w:sz w:val="16"/>
              </w:rPr>
              <w:t>Composite internal ranking MAY be used, but major decision dimensions SHOULD remain inspectable.</w:t>
            </w:r>
          </w:p>
        </w:tc>
      </w:tr>
      <w:tr w:rsidR="00AC1B78" w14:paraId="2B19291F" w14:textId="77777777">
        <w:trPr>
          <w:jc w:val="center"/>
        </w:trPr>
        <w:tc>
          <w:tcPr>
            <w:tcW w:w="1296" w:type="dxa"/>
            <w:shd w:val="clear" w:color="auto" w:fill="F7F9FB"/>
            <w:tcMar>
              <w:top w:w="85" w:type="dxa"/>
              <w:left w:w="95" w:type="dxa"/>
              <w:bottom w:w="85" w:type="dxa"/>
              <w:right w:w="95" w:type="dxa"/>
            </w:tcMar>
            <w:vAlign w:val="center"/>
          </w:tcPr>
          <w:p w14:paraId="5EA51663" w14:textId="77777777" w:rsidR="00AC1B78" w:rsidRDefault="002C0F08">
            <w:pPr>
              <w:spacing w:after="0" w:line="245" w:lineRule="auto"/>
              <w:rPr>
                <w:rFonts w:hint="eastAsia"/>
              </w:rPr>
            </w:pPr>
            <w:r>
              <w:rPr>
                <w:color w:val="1F2933"/>
                <w:sz w:val="16"/>
              </w:rPr>
              <w:t>BBT-C16</w:t>
            </w:r>
          </w:p>
        </w:tc>
        <w:tc>
          <w:tcPr>
            <w:tcW w:w="7488" w:type="dxa"/>
            <w:shd w:val="clear" w:color="auto" w:fill="F7F9FB"/>
            <w:tcMar>
              <w:top w:w="85" w:type="dxa"/>
              <w:left w:w="95" w:type="dxa"/>
              <w:bottom w:w="85" w:type="dxa"/>
              <w:right w:w="95" w:type="dxa"/>
            </w:tcMar>
            <w:vAlign w:val="center"/>
          </w:tcPr>
          <w:p w14:paraId="7E58AE06" w14:textId="77777777" w:rsidR="00AC1B78" w:rsidRDefault="002C0F08">
            <w:pPr>
              <w:spacing w:after="0" w:line="245" w:lineRule="auto"/>
              <w:rPr>
                <w:rFonts w:hint="eastAsia"/>
              </w:rPr>
            </w:pPr>
            <w:r>
              <w:rPr>
                <w:color w:val="1F2933"/>
                <w:sz w:val="16"/>
              </w:rPr>
              <w:t>Saved query traces or improvement candidates SHALL NOT automatically mutate canonical Routing SKs, SOLAR, BIGFOOT, Models, or Rules.</w:t>
            </w:r>
          </w:p>
        </w:tc>
      </w:tr>
      <w:tr w:rsidR="00AC1B78" w14:paraId="679105E0" w14:textId="77777777">
        <w:trPr>
          <w:jc w:val="center"/>
        </w:trPr>
        <w:tc>
          <w:tcPr>
            <w:tcW w:w="1296" w:type="dxa"/>
            <w:tcMar>
              <w:top w:w="85" w:type="dxa"/>
              <w:left w:w="95" w:type="dxa"/>
              <w:bottom w:w="85" w:type="dxa"/>
              <w:right w:w="95" w:type="dxa"/>
            </w:tcMar>
            <w:vAlign w:val="center"/>
          </w:tcPr>
          <w:p w14:paraId="7F4B575C" w14:textId="77777777" w:rsidR="00AC1B78" w:rsidRDefault="002C0F08">
            <w:pPr>
              <w:spacing w:after="0" w:line="245" w:lineRule="auto"/>
              <w:rPr>
                <w:rFonts w:hint="eastAsia"/>
              </w:rPr>
            </w:pPr>
            <w:r>
              <w:rPr>
                <w:color w:val="1F2933"/>
                <w:sz w:val="16"/>
              </w:rPr>
              <w:t>BBT-C17</w:t>
            </w:r>
          </w:p>
        </w:tc>
        <w:tc>
          <w:tcPr>
            <w:tcW w:w="7488" w:type="dxa"/>
            <w:tcMar>
              <w:top w:w="85" w:type="dxa"/>
              <w:left w:w="95" w:type="dxa"/>
              <w:bottom w:w="85" w:type="dxa"/>
              <w:right w:w="95" w:type="dxa"/>
            </w:tcMar>
            <w:vAlign w:val="center"/>
          </w:tcPr>
          <w:p w14:paraId="0863611B" w14:textId="77777777" w:rsidR="00AC1B78" w:rsidRDefault="002C0F08">
            <w:pPr>
              <w:spacing w:after="0" w:line="245" w:lineRule="auto"/>
              <w:rPr>
                <w:rFonts w:hint="eastAsia"/>
              </w:rPr>
            </w:pPr>
            <w:r>
              <w:rPr>
                <w:color w:val="1F2933"/>
                <w:sz w:val="16"/>
              </w:rPr>
              <w:t>Branch-conditioned GROOVE descriptions SHOULD identify their source Entry and semantic branch.</w:t>
            </w:r>
          </w:p>
        </w:tc>
      </w:tr>
      <w:tr w:rsidR="00AC1B78" w14:paraId="236E4AFB" w14:textId="77777777">
        <w:trPr>
          <w:jc w:val="center"/>
        </w:trPr>
        <w:tc>
          <w:tcPr>
            <w:tcW w:w="1296" w:type="dxa"/>
            <w:shd w:val="clear" w:color="auto" w:fill="F7F9FB"/>
            <w:tcMar>
              <w:top w:w="85" w:type="dxa"/>
              <w:left w:w="95" w:type="dxa"/>
              <w:bottom w:w="85" w:type="dxa"/>
              <w:right w:w="95" w:type="dxa"/>
            </w:tcMar>
            <w:vAlign w:val="center"/>
          </w:tcPr>
          <w:p w14:paraId="419B3DA3" w14:textId="77777777" w:rsidR="00AC1B78" w:rsidRDefault="002C0F08">
            <w:pPr>
              <w:spacing w:after="0" w:line="245" w:lineRule="auto"/>
              <w:rPr>
                <w:rFonts w:hint="eastAsia"/>
              </w:rPr>
            </w:pPr>
            <w:r>
              <w:rPr>
                <w:color w:val="1F2933"/>
                <w:sz w:val="16"/>
              </w:rPr>
              <w:t>BBT-C18</w:t>
            </w:r>
          </w:p>
        </w:tc>
        <w:tc>
          <w:tcPr>
            <w:tcW w:w="7488" w:type="dxa"/>
            <w:shd w:val="clear" w:color="auto" w:fill="F7F9FB"/>
            <w:tcMar>
              <w:top w:w="85" w:type="dxa"/>
              <w:left w:w="95" w:type="dxa"/>
              <w:bottom w:w="85" w:type="dxa"/>
              <w:right w:w="95" w:type="dxa"/>
            </w:tcMar>
            <w:vAlign w:val="center"/>
          </w:tcPr>
          <w:p w14:paraId="7B987931" w14:textId="77777777" w:rsidR="00AC1B78" w:rsidRDefault="002C0F08">
            <w:pPr>
              <w:spacing w:after="0" w:line="245" w:lineRule="auto"/>
              <w:rPr>
                <w:rFonts w:hint="eastAsia"/>
              </w:rPr>
            </w:pPr>
            <w:r>
              <w:rPr>
                <w:color w:val="1F2933"/>
                <w:sz w:val="16"/>
              </w:rPr>
              <w:t>The implementation SHALL provide a path from selected GROOVE metadata back to the original Observable Entry where access permits.</w:t>
            </w:r>
          </w:p>
        </w:tc>
      </w:tr>
      <w:tr w:rsidR="00AC1B78" w14:paraId="5E440F25" w14:textId="77777777">
        <w:trPr>
          <w:jc w:val="center"/>
        </w:trPr>
        <w:tc>
          <w:tcPr>
            <w:tcW w:w="1296" w:type="dxa"/>
            <w:tcMar>
              <w:top w:w="85" w:type="dxa"/>
              <w:left w:w="95" w:type="dxa"/>
              <w:bottom w:w="85" w:type="dxa"/>
              <w:right w:w="95" w:type="dxa"/>
            </w:tcMar>
            <w:vAlign w:val="center"/>
          </w:tcPr>
          <w:p w14:paraId="593F5487" w14:textId="77777777" w:rsidR="00AC1B78" w:rsidRDefault="002C0F08">
            <w:pPr>
              <w:spacing w:after="0" w:line="245" w:lineRule="auto"/>
              <w:rPr>
                <w:rFonts w:hint="eastAsia"/>
              </w:rPr>
            </w:pPr>
            <w:r>
              <w:rPr>
                <w:color w:val="1F2933"/>
                <w:sz w:val="16"/>
              </w:rPr>
              <w:t>BBT-C19</w:t>
            </w:r>
          </w:p>
        </w:tc>
        <w:tc>
          <w:tcPr>
            <w:tcW w:w="7488" w:type="dxa"/>
            <w:tcMar>
              <w:top w:w="85" w:type="dxa"/>
              <w:left w:w="95" w:type="dxa"/>
              <w:bottom w:w="85" w:type="dxa"/>
              <w:right w:w="95" w:type="dxa"/>
            </w:tcMar>
            <w:vAlign w:val="center"/>
          </w:tcPr>
          <w:p w14:paraId="6D9A949C" w14:textId="77777777" w:rsidR="00AC1B78" w:rsidRDefault="002C0F08">
            <w:pPr>
              <w:spacing w:after="0" w:line="245" w:lineRule="auto"/>
              <w:rPr>
                <w:rFonts w:hint="eastAsia"/>
              </w:rPr>
            </w:pPr>
            <w:r>
              <w:rPr>
                <w:color w:val="1F2933"/>
                <w:sz w:val="16"/>
              </w:rPr>
              <w:t>Search execution SHOULD permit direct semantic-target retrieval without opening literature when a Model, Operator, Rule, or exact target already satisfies the intent.</w:t>
            </w:r>
          </w:p>
        </w:tc>
      </w:tr>
      <w:tr w:rsidR="00AC1B78" w14:paraId="00C48311" w14:textId="77777777">
        <w:trPr>
          <w:jc w:val="center"/>
        </w:trPr>
        <w:tc>
          <w:tcPr>
            <w:tcW w:w="1296" w:type="dxa"/>
            <w:shd w:val="clear" w:color="auto" w:fill="F7F9FB"/>
            <w:tcMar>
              <w:top w:w="85" w:type="dxa"/>
              <w:left w:w="95" w:type="dxa"/>
              <w:bottom w:w="85" w:type="dxa"/>
              <w:right w:w="95" w:type="dxa"/>
            </w:tcMar>
            <w:vAlign w:val="center"/>
          </w:tcPr>
          <w:p w14:paraId="7405DCA0" w14:textId="77777777" w:rsidR="00AC1B78" w:rsidRDefault="002C0F08">
            <w:pPr>
              <w:spacing w:after="0" w:line="245" w:lineRule="auto"/>
              <w:rPr>
                <w:rFonts w:hint="eastAsia"/>
              </w:rPr>
            </w:pPr>
            <w:r>
              <w:rPr>
                <w:color w:val="1F2933"/>
                <w:sz w:val="16"/>
              </w:rPr>
              <w:t>BBT-C20</w:t>
            </w:r>
          </w:p>
        </w:tc>
        <w:tc>
          <w:tcPr>
            <w:tcW w:w="7488" w:type="dxa"/>
            <w:shd w:val="clear" w:color="auto" w:fill="F7F9FB"/>
            <w:tcMar>
              <w:top w:w="85" w:type="dxa"/>
              <w:left w:w="95" w:type="dxa"/>
              <w:bottom w:w="85" w:type="dxa"/>
              <w:right w:w="95" w:type="dxa"/>
            </w:tcMar>
            <w:vAlign w:val="center"/>
          </w:tcPr>
          <w:p w14:paraId="1FEDCC54" w14:textId="77777777" w:rsidR="00AC1B78" w:rsidRDefault="002C0F08">
            <w:pPr>
              <w:spacing w:after="0" w:line="245" w:lineRule="auto"/>
              <w:rPr>
                <w:rFonts w:hint="eastAsia"/>
              </w:rPr>
            </w:pPr>
            <w:r>
              <w:rPr>
                <w:color w:val="1F2933"/>
                <w:sz w:val="16"/>
              </w:rPr>
              <w:t>The architecture SHALL permit unresolved or ambiguous outcomes when semantic support is insufficient.</w:t>
            </w:r>
          </w:p>
        </w:tc>
      </w:tr>
    </w:tbl>
    <w:p w14:paraId="0DE4E0C5" w14:textId="77777777" w:rsidR="00AC1B78" w:rsidRDefault="00AC1B78">
      <w:pPr>
        <w:spacing w:after="40"/>
        <w:rPr>
          <w:rFonts w:hint="eastAsia"/>
        </w:rPr>
      </w:pPr>
    </w:p>
    <w:p w14:paraId="208FA4E2" w14:textId="77777777" w:rsidR="00AC1B78" w:rsidRDefault="002C0F08">
      <w:pPr>
        <w:pStyle w:val="Heading1"/>
        <w:spacing w:before="200" w:after="100" w:line="240" w:lineRule="auto"/>
      </w:pPr>
      <w:r>
        <w:rPr>
          <w:rFonts w:ascii="Carlito" w:hAnsi="Carlito"/>
        </w:rPr>
        <w:t>51. Implementation Roadmap and Open Questions</w:t>
      </w:r>
    </w:p>
    <w:tbl>
      <w:tblPr>
        <w:tblW w:w="0" w:type="auto"/>
        <w:jc w:val="center"/>
        <w:tblLayout w:type="fixed"/>
        <w:tblLook w:val="04A0" w:firstRow="1" w:lastRow="0" w:firstColumn="1" w:lastColumn="0" w:noHBand="0" w:noVBand="1"/>
      </w:tblPr>
      <w:tblGrid>
        <w:gridCol w:w="3351"/>
        <w:gridCol w:w="3816"/>
        <w:gridCol w:w="3351"/>
      </w:tblGrid>
      <w:tr w:rsidR="00AC1B78" w14:paraId="7C8C2109" w14:textId="77777777">
        <w:trPr>
          <w:tblHeader/>
          <w:jc w:val="center"/>
        </w:trPr>
        <w:tc>
          <w:tcPr>
            <w:tcW w:w="3351" w:type="dxa"/>
            <w:shd w:val="clear" w:color="auto" w:fill="17324D"/>
            <w:tcMar>
              <w:top w:w="90" w:type="dxa"/>
              <w:left w:w="100" w:type="dxa"/>
              <w:bottom w:w="90" w:type="dxa"/>
              <w:right w:w="100" w:type="dxa"/>
            </w:tcMar>
            <w:vAlign w:val="center"/>
          </w:tcPr>
          <w:p w14:paraId="41B543BC" w14:textId="77777777" w:rsidR="00AC1B78" w:rsidRDefault="002C0F08">
            <w:pPr>
              <w:spacing w:after="0" w:line="240" w:lineRule="auto"/>
              <w:jc w:val="center"/>
              <w:rPr>
                <w:rFonts w:hint="eastAsia"/>
              </w:rPr>
            </w:pPr>
            <w:r>
              <w:rPr>
                <w:b/>
                <w:color w:val="FFFFFF"/>
                <w:sz w:val="17"/>
              </w:rPr>
              <w:t>Phase</w:t>
            </w:r>
          </w:p>
        </w:tc>
        <w:tc>
          <w:tcPr>
            <w:tcW w:w="3351" w:type="dxa"/>
            <w:shd w:val="clear" w:color="auto" w:fill="17324D"/>
            <w:tcMar>
              <w:top w:w="90" w:type="dxa"/>
              <w:left w:w="100" w:type="dxa"/>
              <w:bottom w:w="90" w:type="dxa"/>
              <w:right w:w="100" w:type="dxa"/>
            </w:tcMar>
            <w:vAlign w:val="center"/>
          </w:tcPr>
          <w:p w14:paraId="61F46C62" w14:textId="77777777" w:rsidR="00AC1B78" w:rsidRDefault="002C0F08">
            <w:pPr>
              <w:spacing w:after="0" w:line="240" w:lineRule="auto"/>
              <w:jc w:val="center"/>
              <w:rPr>
                <w:rFonts w:hint="eastAsia"/>
              </w:rPr>
            </w:pPr>
            <w:r>
              <w:rPr>
                <w:b/>
                <w:color w:val="FFFFFF"/>
                <w:sz w:val="17"/>
              </w:rPr>
              <w:t>Build focus</w:t>
            </w:r>
          </w:p>
        </w:tc>
        <w:tc>
          <w:tcPr>
            <w:tcW w:w="3351" w:type="dxa"/>
            <w:shd w:val="clear" w:color="auto" w:fill="17324D"/>
            <w:tcMar>
              <w:top w:w="90" w:type="dxa"/>
              <w:left w:w="100" w:type="dxa"/>
              <w:bottom w:w="90" w:type="dxa"/>
              <w:right w:w="100" w:type="dxa"/>
            </w:tcMar>
            <w:vAlign w:val="center"/>
          </w:tcPr>
          <w:p w14:paraId="78EECF1A" w14:textId="77777777" w:rsidR="00AC1B78" w:rsidRDefault="002C0F08">
            <w:pPr>
              <w:spacing w:after="0" w:line="240" w:lineRule="auto"/>
              <w:jc w:val="center"/>
              <w:rPr>
                <w:rFonts w:hint="eastAsia"/>
              </w:rPr>
            </w:pPr>
            <w:r>
              <w:rPr>
                <w:b/>
                <w:color w:val="FFFFFF"/>
                <w:sz w:val="17"/>
              </w:rPr>
              <w:t>Exit criterion</w:t>
            </w:r>
          </w:p>
        </w:tc>
      </w:tr>
      <w:tr w:rsidR="00AC1B78" w14:paraId="7C502BA4" w14:textId="77777777">
        <w:trPr>
          <w:jc w:val="center"/>
        </w:trPr>
        <w:tc>
          <w:tcPr>
            <w:tcW w:w="1584" w:type="dxa"/>
            <w:tcMar>
              <w:top w:w="85" w:type="dxa"/>
              <w:left w:w="95" w:type="dxa"/>
              <w:bottom w:w="85" w:type="dxa"/>
              <w:right w:w="95" w:type="dxa"/>
            </w:tcMar>
            <w:vAlign w:val="center"/>
          </w:tcPr>
          <w:p w14:paraId="26DC5B92" w14:textId="77777777" w:rsidR="00AC1B78" w:rsidRDefault="002C0F08">
            <w:pPr>
              <w:spacing w:after="0" w:line="245" w:lineRule="auto"/>
              <w:rPr>
                <w:rFonts w:hint="eastAsia"/>
              </w:rPr>
            </w:pPr>
            <w:r>
              <w:rPr>
                <w:color w:val="1F2933"/>
                <w:sz w:val="16"/>
              </w:rPr>
              <w:t>1 - Global routing</w:t>
            </w:r>
          </w:p>
        </w:tc>
        <w:tc>
          <w:tcPr>
            <w:tcW w:w="3816" w:type="dxa"/>
            <w:tcMar>
              <w:top w:w="85" w:type="dxa"/>
              <w:left w:w="95" w:type="dxa"/>
              <w:bottom w:w="85" w:type="dxa"/>
              <w:right w:w="95" w:type="dxa"/>
            </w:tcMar>
            <w:vAlign w:val="center"/>
          </w:tcPr>
          <w:p w14:paraId="6EB1A8E8" w14:textId="77777777" w:rsidR="00AC1B78" w:rsidRDefault="002C0F08">
            <w:pPr>
              <w:spacing w:after="0" w:line="245" w:lineRule="auto"/>
              <w:rPr>
                <w:rFonts w:hint="eastAsia"/>
              </w:rPr>
            </w:pPr>
            <w:r>
              <w:rPr>
                <w:color w:val="1F2933"/>
                <w:sz w:val="16"/>
              </w:rPr>
              <w:t>Prototype SUBJECT / INTENT / CONTEXT Routing SKs and Global 000.</w:t>
            </w:r>
          </w:p>
        </w:tc>
        <w:tc>
          <w:tcPr>
            <w:tcW w:w="3240" w:type="dxa"/>
            <w:tcMar>
              <w:top w:w="85" w:type="dxa"/>
              <w:left w:w="95" w:type="dxa"/>
              <w:bottom w:w="85" w:type="dxa"/>
              <w:right w:w="95" w:type="dxa"/>
            </w:tcMar>
            <w:vAlign w:val="center"/>
          </w:tcPr>
          <w:p w14:paraId="30A9C751" w14:textId="77777777" w:rsidR="00AC1B78" w:rsidRDefault="002C0F08">
            <w:pPr>
              <w:spacing w:after="0" w:line="245" w:lineRule="auto"/>
              <w:rPr>
                <w:rFonts w:hint="eastAsia"/>
              </w:rPr>
            </w:pPr>
            <w:r>
              <w:rPr>
                <w:color w:val="1F2933"/>
                <w:sz w:val="16"/>
              </w:rPr>
              <w:t>Queries produce inspectable multifactor route states.</w:t>
            </w:r>
          </w:p>
        </w:tc>
      </w:tr>
      <w:tr w:rsidR="00AC1B78" w14:paraId="11714B43" w14:textId="77777777">
        <w:trPr>
          <w:jc w:val="center"/>
        </w:trPr>
        <w:tc>
          <w:tcPr>
            <w:tcW w:w="1584" w:type="dxa"/>
            <w:shd w:val="clear" w:color="auto" w:fill="F7F9FB"/>
            <w:tcMar>
              <w:top w:w="85" w:type="dxa"/>
              <w:left w:w="95" w:type="dxa"/>
              <w:bottom w:w="85" w:type="dxa"/>
              <w:right w:w="95" w:type="dxa"/>
            </w:tcMar>
            <w:vAlign w:val="center"/>
          </w:tcPr>
          <w:p w14:paraId="2AA71BC7" w14:textId="77777777" w:rsidR="00AC1B78" w:rsidRDefault="002C0F08">
            <w:pPr>
              <w:spacing w:after="0" w:line="245" w:lineRule="auto"/>
              <w:rPr>
                <w:rFonts w:hint="eastAsia"/>
              </w:rPr>
            </w:pPr>
            <w:r>
              <w:rPr>
                <w:color w:val="1F2933"/>
                <w:sz w:val="16"/>
              </w:rPr>
              <w:t>2 - Fade</w:t>
            </w:r>
          </w:p>
        </w:tc>
        <w:tc>
          <w:tcPr>
            <w:tcW w:w="3816" w:type="dxa"/>
            <w:shd w:val="clear" w:color="auto" w:fill="F7F9FB"/>
            <w:tcMar>
              <w:top w:w="85" w:type="dxa"/>
              <w:left w:w="95" w:type="dxa"/>
              <w:bottom w:w="85" w:type="dxa"/>
              <w:right w:w="95" w:type="dxa"/>
            </w:tcMar>
            <w:vAlign w:val="center"/>
          </w:tcPr>
          <w:p w14:paraId="67E17C07" w14:textId="77777777" w:rsidR="00AC1B78" w:rsidRDefault="002C0F08">
            <w:pPr>
              <w:spacing w:after="0" w:line="245" w:lineRule="auto"/>
              <w:rPr>
                <w:rFonts w:hint="eastAsia"/>
              </w:rPr>
            </w:pPr>
            <w:r>
              <w:rPr>
                <w:color w:val="1F2933"/>
                <w:sz w:val="16"/>
              </w:rPr>
              <w:t>Add relevance re-evaluation, thresholds, active frontier, and budgets.</w:t>
            </w:r>
          </w:p>
        </w:tc>
        <w:tc>
          <w:tcPr>
            <w:tcW w:w="3240" w:type="dxa"/>
            <w:shd w:val="clear" w:color="auto" w:fill="F7F9FB"/>
            <w:tcMar>
              <w:top w:w="85" w:type="dxa"/>
              <w:left w:w="95" w:type="dxa"/>
              <w:bottom w:w="85" w:type="dxa"/>
              <w:right w:w="95" w:type="dxa"/>
            </w:tcMar>
            <w:vAlign w:val="center"/>
          </w:tcPr>
          <w:p w14:paraId="50601779" w14:textId="77777777" w:rsidR="00AC1B78" w:rsidRDefault="002C0F08">
            <w:pPr>
              <w:spacing w:after="0" w:line="245" w:lineRule="auto"/>
              <w:rPr>
                <w:rFonts w:hint="eastAsia"/>
              </w:rPr>
            </w:pPr>
            <w:r>
              <w:rPr>
                <w:color w:val="1F2933"/>
                <w:sz w:val="16"/>
              </w:rPr>
              <w:t>Low-value branches stop expanding without losing traceability.</w:t>
            </w:r>
          </w:p>
        </w:tc>
      </w:tr>
      <w:tr w:rsidR="00AC1B78" w14:paraId="5A86B06B" w14:textId="77777777">
        <w:trPr>
          <w:jc w:val="center"/>
        </w:trPr>
        <w:tc>
          <w:tcPr>
            <w:tcW w:w="1584" w:type="dxa"/>
            <w:tcMar>
              <w:top w:w="85" w:type="dxa"/>
              <w:left w:w="95" w:type="dxa"/>
              <w:bottom w:w="85" w:type="dxa"/>
              <w:right w:w="95" w:type="dxa"/>
            </w:tcMar>
            <w:vAlign w:val="center"/>
          </w:tcPr>
          <w:p w14:paraId="4260F5B3" w14:textId="77777777" w:rsidR="00AC1B78" w:rsidRDefault="002C0F08">
            <w:pPr>
              <w:spacing w:after="0" w:line="245" w:lineRule="auto"/>
              <w:rPr>
                <w:rFonts w:hint="eastAsia"/>
              </w:rPr>
            </w:pPr>
            <w:r>
              <w:rPr>
                <w:color w:val="1F2933"/>
                <w:sz w:val="16"/>
              </w:rPr>
              <w:t>3 - 00 integration</w:t>
            </w:r>
          </w:p>
        </w:tc>
        <w:tc>
          <w:tcPr>
            <w:tcW w:w="3816" w:type="dxa"/>
            <w:tcMar>
              <w:top w:w="85" w:type="dxa"/>
              <w:left w:w="95" w:type="dxa"/>
              <w:bottom w:w="85" w:type="dxa"/>
              <w:right w:w="95" w:type="dxa"/>
            </w:tcMar>
            <w:vAlign w:val="center"/>
          </w:tcPr>
          <w:p w14:paraId="1CBE9BE3" w14:textId="77777777" w:rsidR="00AC1B78" w:rsidRDefault="002C0F08">
            <w:pPr>
              <w:spacing w:after="0" w:line="245" w:lineRule="auto"/>
              <w:rPr>
                <w:rFonts w:hint="eastAsia"/>
              </w:rPr>
            </w:pPr>
            <w:r>
              <w:rPr>
                <w:color w:val="1F2933"/>
                <w:sz w:val="16"/>
              </w:rPr>
              <w:t>Connect domain 000 routes to local GROOVE manifests and saved projections.</w:t>
            </w:r>
          </w:p>
        </w:tc>
        <w:tc>
          <w:tcPr>
            <w:tcW w:w="3240" w:type="dxa"/>
            <w:tcMar>
              <w:top w:w="85" w:type="dxa"/>
              <w:left w:w="95" w:type="dxa"/>
              <w:bottom w:w="85" w:type="dxa"/>
              <w:right w:w="95" w:type="dxa"/>
            </w:tcMar>
            <w:vAlign w:val="center"/>
          </w:tcPr>
          <w:p w14:paraId="576F0E5B" w14:textId="77777777" w:rsidR="00AC1B78" w:rsidRDefault="002C0F08">
            <w:pPr>
              <w:spacing w:after="0" w:line="245" w:lineRule="auto"/>
              <w:rPr>
                <w:rFonts w:hint="eastAsia"/>
              </w:rPr>
            </w:pPr>
            <w:r>
              <w:rPr>
                <w:color w:val="1F2933"/>
                <w:sz w:val="16"/>
              </w:rPr>
              <w:t>Queries reach bounded source neighborhoods before text retrieval.</w:t>
            </w:r>
          </w:p>
        </w:tc>
      </w:tr>
      <w:tr w:rsidR="00AC1B78" w14:paraId="409B1DBA" w14:textId="77777777">
        <w:trPr>
          <w:jc w:val="center"/>
        </w:trPr>
        <w:tc>
          <w:tcPr>
            <w:tcW w:w="1584" w:type="dxa"/>
            <w:shd w:val="clear" w:color="auto" w:fill="F7F9FB"/>
            <w:tcMar>
              <w:top w:w="85" w:type="dxa"/>
              <w:left w:w="95" w:type="dxa"/>
              <w:bottom w:w="85" w:type="dxa"/>
              <w:right w:w="95" w:type="dxa"/>
            </w:tcMar>
            <w:vAlign w:val="center"/>
          </w:tcPr>
          <w:p w14:paraId="7C2AE045" w14:textId="77777777" w:rsidR="00AC1B78" w:rsidRDefault="002C0F08">
            <w:pPr>
              <w:spacing w:after="0" w:line="245" w:lineRule="auto"/>
              <w:rPr>
                <w:rFonts w:hint="eastAsia"/>
              </w:rPr>
            </w:pPr>
            <w:r>
              <w:rPr>
                <w:color w:val="1F2933"/>
                <w:sz w:val="16"/>
              </w:rPr>
              <w:t>4 - Authority</w:t>
            </w:r>
          </w:p>
        </w:tc>
        <w:tc>
          <w:tcPr>
            <w:tcW w:w="3816" w:type="dxa"/>
            <w:shd w:val="clear" w:color="auto" w:fill="F7F9FB"/>
            <w:tcMar>
              <w:top w:w="85" w:type="dxa"/>
              <w:left w:w="95" w:type="dxa"/>
              <w:bottom w:w="85" w:type="dxa"/>
              <w:right w:w="95" w:type="dxa"/>
            </w:tcMar>
            <w:vAlign w:val="center"/>
          </w:tcPr>
          <w:p w14:paraId="13EAAA62" w14:textId="77777777" w:rsidR="00AC1B78" w:rsidRDefault="002C0F08">
            <w:pPr>
              <w:spacing w:after="0" w:line="245" w:lineRule="auto"/>
              <w:rPr>
                <w:rFonts w:hint="eastAsia"/>
              </w:rPr>
            </w:pPr>
            <w:r>
              <w:rPr>
                <w:color w:val="1F2933"/>
                <w:sz w:val="16"/>
              </w:rPr>
              <w:t>Add authority, applicability, epistemic status, and permission behavior.</w:t>
            </w:r>
          </w:p>
        </w:tc>
        <w:tc>
          <w:tcPr>
            <w:tcW w:w="3240" w:type="dxa"/>
            <w:shd w:val="clear" w:color="auto" w:fill="F7F9FB"/>
            <w:tcMar>
              <w:top w:w="85" w:type="dxa"/>
              <w:left w:w="95" w:type="dxa"/>
              <w:bottom w:w="85" w:type="dxa"/>
              <w:right w:w="95" w:type="dxa"/>
            </w:tcMar>
            <w:vAlign w:val="center"/>
          </w:tcPr>
          <w:p w14:paraId="2C973A0F" w14:textId="77777777" w:rsidR="00AC1B78" w:rsidRDefault="002C0F08">
            <w:pPr>
              <w:spacing w:after="0" w:line="245" w:lineRule="auto"/>
              <w:rPr>
                <w:rFonts w:hint="eastAsia"/>
              </w:rPr>
            </w:pPr>
            <w:r>
              <w:rPr>
                <w:color w:val="1F2933"/>
                <w:sz w:val="16"/>
              </w:rPr>
              <w:t>Company/game/CIRCLE/FASK boundary fixtures pass.</w:t>
            </w:r>
          </w:p>
        </w:tc>
      </w:tr>
      <w:tr w:rsidR="00AC1B78" w14:paraId="1BF52654" w14:textId="77777777">
        <w:trPr>
          <w:jc w:val="center"/>
        </w:trPr>
        <w:tc>
          <w:tcPr>
            <w:tcW w:w="1584" w:type="dxa"/>
            <w:tcMar>
              <w:top w:w="85" w:type="dxa"/>
              <w:left w:w="95" w:type="dxa"/>
              <w:bottom w:w="85" w:type="dxa"/>
              <w:right w:w="95" w:type="dxa"/>
            </w:tcMar>
            <w:vAlign w:val="center"/>
          </w:tcPr>
          <w:p w14:paraId="19D03EF7" w14:textId="77777777" w:rsidR="00AC1B78" w:rsidRDefault="002C0F08">
            <w:pPr>
              <w:spacing w:after="0" w:line="245" w:lineRule="auto"/>
              <w:rPr>
                <w:rFonts w:hint="eastAsia"/>
              </w:rPr>
            </w:pPr>
            <w:r>
              <w:rPr>
                <w:color w:val="1F2933"/>
                <w:sz w:val="16"/>
              </w:rPr>
              <w:t>5 - Token funnel</w:t>
            </w:r>
          </w:p>
        </w:tc>
        <w:tc>
          <w:tcPr>
            <w:tcW w:w="3816" w:type="dxa"/>
            <w:tcMar>
              <w:top w:w="85" w:type="dxa"/>
              <w:left w:w="95" w:type="dxa"/>
              <w:bottom w:w="85" w:type="dxa"/>
              <w:right w:w="95" w:type="dxa"/>
            </w:tcMar>
            <w:vAlign w:val="center"/>
          </w:tcPr>
          <w:p w14:paraId="650C4DC3" w14:textId="77777777" w:rsidR="00AC1B78" w:rsidRDefault="002C0F08">
            <w:pPr>
              <w:spacing w:after="0" w:line="245" w:lineRule="auto"/>
              <w:rPr>
                <w:rFonts w:hint="eastAsia"/>
              </w:rPr>
            </w:pPr>
            <w:r>
              <w:rPr>
                <w:color w:val="1F2933"/>
                <w:sz w:val="16"/>
              </w:rPr>
              <w:t>Add branch descriptions, source ranking, selective reopen, and token budget monitoring.</w:t>
            </w:r>
          </w:p>
        </w:tc>
        <w:tc>
          <w:tcPr>
            <w:tcW w:w="3240" w:type="dxa"/>
            <w:tcMar>
              <w:top w:w="85" w:type="dxa"/>
              <w:left w:w="95" w:type="dxa"/>
              <w:bottom w:w="85" w:type="dxa"/>
              <w:right w:w="95" w:type="dxa"/>
            </w:tcMar>
            <w:vAlign w:val="center"/>
          </w:tcPr>
          <w:p w14:paraId="24102F59" w14:textId="77777777" w:rsidR="00AC1B78" w:rsidRDefault="002C0F08">
            <w:pPr>
              <w:spacing w:after="0" w:line="245" w:lineRule="auto"/>
              <w:rPr>
                <w:rFonts w:hint="eastAsia"/>
              </w:rPr>
            </w:pPr>
            <w:r>
              <w:rPr>
                <w:color w:val="1F2933"/>
                <w:sz w:val="16"/>
              </w:rPr>
              <w:t>Search can demonstrate measurable semantic reduction before source reading.</w:t>
            </w:r>
          </w:p>
        </w:tc>
      </w:tr>
      <w:tr w:rsidR="00AC1B78" w14:paraId="4532F4A2" w14:textId="77777777">
        <w:trPr>
          <w:jc w:val="center"/>
        </w:trPr>
        <w:tc>
          <w:tcPr>
            <w:tcW w:w="1584" w:type="dxa"/>
            <w:shd w:val="clear" w:color="auto" w:fill="F7F9FB"/>
            <w:tcMar>
              <w:top w:w="85" w:type="dxa"/>
              <w:left w:w="95" w:type="dxa"/>
              <w:bottom w:w="85" w:type="dxa"/>
              <w:right w:w="95" w:type="dxa"/>
            </w:tcMar>
            <w:vAlign w:val="center"/>
          </w:tcPr>
          <w:p w14:paraId="26CC1273" w14:textId="77777777" w:rsidR="00AC1B78" w:rsidRDefault="002C0F08">
            <w:pPr>
              <w:spacing w:after="0" w:line="245" w:lineRule="auto"/>
              <w:rPr>
                <w:rFonts w:hint="eastAsia"/>
              </w:rPr>
            </w:pPr>
            <w:r>
              <w:rPr>
                <w:color w:val="1F2933"/>
                <w:sz w:val="16"/>
              </w:rPr>
              <w:t>6 - Accretion</w:t>
            </w:r>
          </w:p>
        </w:tc>
        <w:tc>
          <w:tcPr>
            <w:tcW w:w="3816" w:type="dxa"/>
            <w:shd w:val="clear" w:color="auto" w:fill="F7F9FB"/>
            <w:tcMar>
              <w:top w:w="85" w:type="dxa"/>
              <w:left w:w="95" w:type="dxa"/>
              <w:bottom w:w="85" w:type="dxa"/>
              <w:right w:w="95" w:type="dxa"/>
            </w:tcMar>
            <w:vAlign w:val="center"/>
          </w:tcPr>
          <w:p w14:paraId="7DEC8683" w14:textId="77777777" w:rsidR="00AC1B78" w:rsidRDefault="002C0F08">
            <w:pPr>
              <w:spacing w:after="0" w:line="245" w:lineRule="auto"/>
              <w:rPr>
                <w:rFonts w:hint="eastAsia"/>
              </w:rPr>
            </w:pPr>
            <w:r>
              <w:rPr>
                <w:color w:val="1F2933"/>
                <w:sz w:val="16"/>
              </w:rPr>
              <w:t>Save high-value route traces and candidate intersection profiles.</w:t>
            </w:r>
          </w:p>
        </w:tc>
        <w:tc>
          <w:tcPr>
            <w:tcW w:w="3240" w:type="dxa"/>
            <w:shd w:val="clear" w:color="auto" w:fill="F7F9FB"/>
            <w:tcMar>
              <w:top w:w="85" w:type="dxa"/>
              <w:left w:w="95" w:type="dxa"/>
              <w:bottom w:w="85" w:type="dxa"/>
              <w:right w:w="95" w:type="dxa"/>
            </w:tcMar>
            <w:vAlign w:val="center"/>
          </w:tcPr>
          <w:p w14:paraId="75F14D64" w14:textId="77777777" w:rsidR="00AC1B78" w:rsidRDefault="002C0F08">
            <w:pPr>
              <w:spacing w:after="0" w:line="245" w:lineRule="auto"/>
              <w:rPr>
                <w:rFonts w:hint="eastAsia"/>
              </w:rPr>
            </w:pPr>
            <w:r>
              <w:rPr>
                <w:color w:val="1F2933"/>
                <w:sz w:val="16"/>
              </w:rPr>
              <w:t>Repeated query families reuse prior semantic work without mutating canon.</w:t>
            </w:r>
          </w:p>
        </w:tc>
      </w:tr>
      <w:tr w:rsidR="00AC1B78" w14:paraId="087AB295" w14:textId="77777777">
        <w:trPr>
          <w:jc w:val="center"/>
        </w:trPr>
        <w:tc>
          <w:tcPr>
            <w:tcW w:w="1584" w:type="dxa"/>
            <w:tcMar>
              <w:top w:w="85" w:type="dxa"/>
              <w:left w:w="95" w:type="dxa"/>
              <w:bottom w:w="85" w:type="dxa"/>
              <w:right w:w="95" w:type="dxa"/>
            </w:tcMar>
            <w:vAlign w:val="center"/>
          </w:tcPr>
          <w:p w14:paraId="4EDFB5B4" w14:textId="77777777" w:rsidR="00AC1B78" w:rsidRDefault="002C0F08">
            <w:pPr>
              <w:spacing w:after="0" w:line="245" w:lineRule="auto"/>
              <w:rPr>
                <w:rFonts w:hint="eastAsia"/>
              </w:rPr>
            </w:pPr>
            <w:r>
              <w:rPr>
                <w:color w:val="1F2933"/>
                <w:sz w:val="16"/>
              </w:rPr>
              <w:t>7 - Comparative testing</w:t>
            </w:r>
          </w:p>
        </w:tc>
        <w:tc>
          <w:tcPr>
            <w:tcW w:w="3816" w:type="dxa"/>
            <w:tcMar>
              <w:top w:w="85" w:type="dxa"/>
              <w:left w:w="95" w:type="dxa"/>
              <w:bottom w:w="85" w:type="dxa"/>
              <w:right w:w="95" w:type="dxa"/>
            </w:tcMar>
            <w:vAlign w:val="center"/>
          </w:tcPr>
          <w:p w14:paraId="774AA5D6" w14:textId="77777777" w:rsidR="00AC1B78" w:rsidRDefault="002C0F08">
            <w:pPr>
              <w:spacing w:after="0" w:line="245" w:lineRule="auto"/>
              <w:rPr>
                <w:rFonts w:hint="eastAsia"/>
              </w:rPr>
            </w:pPr>
            <w:r>
              <w:rPr>
                <w:color w:val="1F2933"/>
                <w:sz w:val="16"/>
              </w:rPr>
              <w:t>Compare against token-first and ordinary hybrid retrieval baselines.</w:t>
            </w:r>
          </w:p>
        </w:tc>
        <w:tc>
          <w:tcPr>
            <w:tcW w:w="3240" w:type="dxa"/>
            <w:tcMar>
              <w:top w:w="85" w:type="dxa"/>
              <w:left w:w="95" w:type="dxa"/>
              <w:bottom w:w="85" w:type="dxa"/>
              <w:right w:w="95" w:type="dxa"/>
            </w:tcMar>
            <w:vAlign w:val="center"/>
          </w:tcPr>
          <w:p w14:paraId="05C8EEB8" w14:textId="77777777" w:rsidR="00AC1B78" w:rsidRDefault="002C0F08">
            <w:pPr>
              <w:spacing w:after="0" w:line="245" w:lineRule="auto"/>
              <w:rPr>
                <w:rFonts w:hint="eastAsia"/>
              </w:rPr>
            </w:pPr>
            <w:r>
              <w:rPr>
                <w:color w:val="1F2933"/>
                <w:sz w:val="16"/>
              </w:rPr>
              <w:t>Quality, cost, latency, recall, and explainability can be evaluated empirically.</w:t>
            </w:r>
          </w:p>
        </w:tc>
      </w:tr>
    </w:tbl>
    <w:p w14:paraId="6621B845" w14:textId="77777777" w:rsidR="00AC1B78" w:rsidRDefault="00AC1B78">
      <w:pPr>
        <w:spacing w:after="40"/>
        <w:rPr>
          <w:rFonts w:hint="eastAsia"/>
        </w:rPr>
      </w:pPr>
    </w:p>
    <w:p w14:paraId="36A72D79" w14:textId="77777777" w:rsidR="00AC1B78" w:rsidRDefault="002C0F08">
      <w:pPr>
        <w:spacing w:after="120" w:line="259" w:lineRule="auto"/>
        <w:rPr>
          <w:rFonts w:hint="eastAsia"/>
        </w:rPr>
      </w:pPr>
      <w:r>
        <w:rPr>
          <w:color w:val="1F2933"/>
        </w:rPr>
        <w:t>Open design questions include how many top-level Routing SKs should operate in parallel, when to prefer a 16-bit versus 64-bit routing surface, how to calibrate relevance across different router families, how to set authority defaults without implying universal truth, how to represent jurisdiction and time-bound applicability, how much route-trace data should persist, and which search patterns genuinely earn new intersection profiles or specialized Routing SKs.</w:t>
      </w:r>
    </w:p>
    <w:p w14:paraId="46883ED8" w14:textId="77777777" w:rsidR="00AC1B78" w:rsidRDefault="002C0F08">
      <w:pPr>
        <w:keepNext/>
        <w:spacing w:before="80" w:after="60" w:line="240" w:lineRule="auto"/>
        <w:jc w:val="center"/>
        <w:rPr>
          <w:rFonts w:hint="eastAsia"/>
        </w:rPr>
      </w:pPr>
      <w:r>
        <w:rPr>
          <w:noProof/>
        </w:rPr>
        <w:drawing>
          <wp:inline distT="0" distB="0" distL="0" distR="0" wp14:anchorId="5139806A" wp14:editId="26003648">
            <wp:extent cx="5166360" cy="2753861"/>
            <wp:effectExtent l="0" t="0" r="0" b="0"/>
            <wp:docPr id="15" name="Picture 15" descr="The lifecycle routes a query through SOLAR, parallel semantic measurements, multifactor factorization, active-frontier pruning, 000 and 00 navigation, GROOVE projections, selective source reading, and final token reasoning. A saved trace can feed future routing improvement without mutating canonical structures automatically." title="Figure 15: Bits Before Tokens Search Lif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full_lifecycle.png"/>
                    <pic:cNvPicPr/>
                  </pic:nvPicPr>
                  <pic:blipFill>
                    <a:blip r:embed="rId22"/>
                    <a:stretch>
                      <a:fillRect/>
                    </a:stretch>
                  </pic:blipFill>
                  <pic:spPr>
                    <a:xfrm>
                      <a:off x="0" y="0"/>
                      <a:ext cx="5166360" cy="2753861"/>
                    </a:xfrm>
                    <a:prstGeom prst="rect">
                      <a:avLst/>
                    </a:prstGeom>
                  </pic:spPr>
                </pic:pic>
              </a:graphicData>
            </a:graphic>
          </wp:inline>
        </w:drawing>
      </w:r>
    </w:p>
    <w:p w14:paraId="73DFADAC" w14:textId="77777777" w:rsidR="00AC1B78" w:rsidRDefault="002C0F08">
      <w:pPr>
        <w:keepLines/>
        <w:spacing w:after="160" w:line="245" w:lineRule="auto"/>
        <w:rPr>
          <w:rFonts w:hint="eastAsia"/>
        </w:rPr>
      </w:pPr>
      <w:r>
        <w:rPr>
          <w:b/>
          <w:color w:val="17324D"/>
          <w:sz w:val="17"/>
        </w:rPr>
        <w:t xml:space="preserve">Figure 15. Bits Before Tokens Search Lifecycle. </w:t>
      </w:r>
      <w:r>
        <w:rPr>
          <w:color w:val="6B7785"/>
          <w:sz w:val="17"/>
        </w:rPr>
        <w:t>The lifecycle routes a query through SOLAR, parallel semantic measurements, multifactor factorization, active-frontier pruning, 000 and 00 navigation, GROOVE projections, selective source reading, and final token reasoning. A saved trace can feed future routing improvement without mutating canonical structures automatically.</w:t>
      </w:r>
    </w:p>
    <w:p w14:paraId="67168B14" w14:textId="77777777" w:rsidR="00AC1B78" w:rsidRDefault="002C0F08">
      <w:pPr>
        <w:pStyle w:val="Heading1"/>
        <w:spacing w:before="200" w:after="100" w:line="240" w:lineRule="auto"/>
      </w:pPr>
      <w:r>
        <w:rPr>
          <w:rFonts w:ascii="Carlito" w:hAnsi="Carlito"/>
        </w:rPr>
        <w:t>Conclusion</w:t>
      </w:r>
    </w:p>
    <w:p w14:paraId="66E2782C" w14:textId="77777777" w:rsidR="00AC1B78" w:rsidRDefault="002C0F08">
      <w:pPr>
        <w:spacing w:after="120" w:line="259" w:lineRule="auto"/>
        <w:rPr>
          <w:rFonts w:hint="eastAsia"/>
        </w:rPr>
      </w:pPr>
      <w:r>
        <w:rPr>
          <w:color w:val="1F2933"/>
        </w:rPr>
        <w:t>Bits Before Tokens treats semantic structure as an attention-allocation system. The architecture assumes that a mature knowledge environment should not repeatedly ask an LLM to rediscover its own domain boundaries from prose. Small Routing SKs can cover large semantic territory through recursive composition. GROOVE can preserve document-level semantic work. 000 and 00 can make the corpus navigable. Semantic Fade can remove irrelevant branches early. Authority and applicability can keep company standards, ga</w:t>
      </w:r>
      <w:r>
        <w:rPr>
          <w:color w:val="1F2933"/>
        </w:rPr>
        <w:t>me laws, scientific literature, experimental structures, and speculative FASKs in their proper contexts.</w:t>
      </w:r>
    </w:p>
    <w:p w14:paraId="19291E22" w14:textId="77777777" w:rsidR="00AC1B78" w:rsidRDefault="002C0F08">
      <w:pPr>
        <w:spacing w:after="120" w:line="259" w:lineRule="auto"/>
        <w:rPr>
          <w:rFonts w:hint="eastAsia"/>
        </w:rPr>
      </w:pPr>
      <w:r>
        <w:rPr>
          <w:color w:val="1F2933"/>
        </w:rPr>
        <w:t>The resulting search process remains language-friendly at entry and source-grounded at the end, but much of the middle is handled by compact semantic state. This does not eliminate tokens. It allocates them. It does not replace reasoning. It decides where reasoning is worth spending. The practical design principle is therefore simple: spend Bits before tokens.</w:t>
      </w:r>
    </w:p>
    <w:p w14:paraId="5975B247" w14:textId="77777777" w:rsidR="00AC1B78" w:rsidRDefault="002C0F08">
      <w:pPr>
        <w:pStyle w:val="Heading1"/>
        <w:pageBreakBefore/>
        <w:spacing w:before="200" w:after="100" w:line="240" w:lineRule="auto"/>
      </w:pPr>
      <w:r>
        <w:rPr>
          <w:rFonts w:ascii="Carlito" w:hAnsi="Carlito"/>
        </w:rPr>
        <w:t>Glossary</w:t>
      </w:r>
    </w:p>
    <w:tbl>
      <w:tblPr>
        <w:tblW w:w="0" w:type="auto"/>
        <w:jc w:val="center"/>
        <w:tblLayout w:type="fixed"/>
        <w:tblLook w:val="04A0" w:firstRow="1" w:lastRow="0" w:firstColumn="1" w:lastColumn="0" w:noHBand="0" w:noVBand="1"/>
      </w:tblPr>
      <w:tblGrid>
        <w:gridCol w:w="5026"/>
        <w:gridCol w:w="6552"/>
      </w:tblGrid>
      <w:tr w:rsidR="00AC1B78" w14:paraId="1DED35F6" w14:textId="77777777">
        <w:trPr>
          <w:tblHeader/>
          <w:jc w:val="center"/>
        </w:trPr>
        <w:tc>
          <w:tcPr>
            <w:tcW w:w="5026" w:type="dxa"/>
            <w:shd w:val="clear" w:color="auto" w:fill="17324D"/>
            <w:tcMar>
              <w:top w:w="90" w:type="dxa"/>
              <w:left w:w="100" w:type="dxa"/>
              <w:bottom w:w="90" w:type="dxa"/>
              <w:right w:w="100" w:type="dxa"/>
            </w:tcMar>
            <w:vAlign w:val="center"/>
          </w:tcPr>
          <w:p w14:paraId="134522EA" w14:textId="77777777" w:rsidR="00AC1B78" w:rsidRDefault="002C0F08">
            <w:pPr>
              <w:spacing w:after="0" w:line="240" w:lineRule="auto"/>
              <w:jc w:val="center"/>
              <w:rPr>
                <w:rFonts w:hint="eastAsia"/>
              </w:rPr>
            </w:pPr>
            <w:r>
              <w:rPr>
                <w:b/>
                <w:color w:val="FFFFFF"/>
                <w:sz w:val="17"/>
              </w:rPr>
              <w:t>Term</w:t>
            </w:r>
          </w:p>
        </w:tc>
        <w:tc>
          <w:tcPr>
            <w:tcW w:w="5026" w:type="dxa"/>
            <w:shd w:val="clear" w:color="auto" w:fill="17324D"/>
            <w:tcMar>
              <w:top w:w="90" w:type="dxa"/>
              <w:left w:w="100" w:type="dxa"/>
              <w:bottom w:w="90" w:type="dxa"/>
              <w:right w:w="100" w:type="dxa"/>
            </w:tcMar>
            <w:vAlign w:val="center"/>
          </w:tcPr>
          <w:p w14:paraId="5E592BAB" w14:textId="77777777" w:rsidR="00AC1B78" w:rsidRDefault="002C0F08">
            <w:pPr>
              <w:spacing w:after="0" w:line="240" w:lineRule="auto"/>
              <w:jc w:val="center"/>
              <w:rPr>
                <w:rFonts w:hint="eastAsia"/>
              </w:rPr>
            </w:pPr>
            <w:r>
              <w:rPr>
                <w:b/>
                <w:color w:val="FFFFFF"/>
                <w:sz w:val="17"/>
              </w:rPr>
              <w:t>Definition</w:t>
            </w:r>
          </w:p>
        </w:tc>
      </w:tr>
      <w:tr w:rsidR="00AC1B78" w14:paraId="3E6E26E0" w14:textId="77777777">
        <w:trPr>
          <w:jc w:val="center"/>
        </w:trPr>
        <w:tc>
          <w:tcPr>
            <w:tcW w:w="2232" w:type="dxa"/>
            <w:tcMar>
              <w:top w:w="85" w:type="dxa"/>
              <w:left w:w="95" w:type="dxa"/>
              <w:bottom w:w="85" w:type="dxa"/>
              <w:right w:w="95" w:type="dxa"/>
            </w:tcMar>
            <w:vAlign w:val="center"/>
          </w:tcPr>
          <w:p w14:paraId="303BD4FE" w14:textId="77777777" w:rsidR="00AC1B78" w:rsidRDefault="002C0F08">
            <w:pPr>
              <w:spacing w:after="0" w:line="245" w:lineRule="auto"/>
              <w:rPr>
                <w:rFonts w:hint="eastAsia"/>
              </w:rPr>
            </w:pPr>
            <w:r>
              <w:rPr>
                <w:color w:val="1F2933"/>
                <w:sz w:val="16"/>
              </w:rPr>
              <w:t>000</w:t>
            </w:r>
          </w:p>
        </w:tc>
        <w:tc>
          <w:tcPr>
            <w:tcW w:w="6552" w:type="dxa"/>
            <w:tcMar>
              <w:top w:w="85" w:type="dxa"/>
              <w:left w:w="95" w:type="dxa"/>
              <w:bottom w:w="85" w:type="dxa"/>
              <w:right w:w="95" w:type="dxa"/>
            </w:tcMar>
            <w:vAlign w:val="center"/>
          </w:tcPr>
          <w:p w14:paraId="0266D7B7" w14:textId="77777777" w:rsidR="00AC1B78" w:rsidRDefault="002C0F08">
            <w:pPr>
              <w:spacing w:after="0" w:line="245" w:lineRule="auto"/>
              <w:rPr>
                <w:rFonts w:hint="eastAsia"/>
              </w:rPr>
            </w:pPr>
            <w:r>
              <w:rPr>
                <w:color w:val="1F2933"/>
                <w:sz w:val="16"/>
              </w:rPr>
              <w:t>A corpus- or domain-level semantic navigation surface that routes users or AI systems toward bounded knowledge neighborhoods.</w:t>
            </w:r>
          </w:p>
        </w:tc>
      </w:tr>
      <w:tr w:rsidR="00AC1B78" w14:paraId="4FE14C57" w14:textId="77777777">
        <w:trPr>
          <w:jc w:val="center"/>
        </w:trPr>
        <w:tc>
          <w:tcPr>
            <w:tcW w:w="2232" w:type="dxa"/>
            <w:shd w:val="clear" w:color="auto" w:fill="F7F9FB"/>
            <w:tcMar>
              <w:top w:w="85" w:type="dxa"/>
              <w:left w:w="95" w:type="dxa"/>
              <w:bottom w:w="85" w:type="dxa"/>
              <w:right w:w="95" w:type="dxa"/>
            </w:tcMar>
            <w:vAlign w:val="center"/>
          </w:tcPr>
          <w:p w14:paraId="22D63D57" w14:textId="77777777" w:rsidR="00AC1B78" w:rsidRDefault="002C0F08">
            <w:pPr>
              <w:spacing w:after="0" w:line="245" w:lineRule="auto"/>
              <w:rPr>
                <w:rFonts w:hint="eastAsia"/>
              </w:rPr>
            </w:pPr>
            <w:r>
              <w:rPr>
                <w:color w:val="1F2933"/>
                <w:sz w:val="16"/>
              </w:rPr>
              <w:t>00</w:t>
            </w:r>
          </w:p>
        </w:tc>
        <w:tc>
          <w:tcPr>
            <w:tcW w:w="6552" w:type="dxa"/>
            <w:shd w:val="clear" w:color="auto" w:fill="F7F9FB"/>
            <w:tcMar>
              <w:top w:w="85" w:type="dxa"/>
              <w:left w:w="95" w:type="dxa"/>
              <w:bottom w:w="85" w:type="dxa"/>
              <w:right w:w="95" w:type="dxa"/>
            </w:tcMar>
            <w:vAlign w:val="center"/>
          </w:tcPr>
          <w:p w14:paraId="0FFBF48C" w14:textId="77777777" w:rsidR="00AC1B78" w:rsidRDefault="002C0F08">
            <w:pPr>
              <w:spacing w:after="0" w:line="245" w:lineRule="auto"/>
              <w:rPr>
                <w:rFonts w:hint="eastAsia"/>
              </w:rPr>
            </w:pPr>
            <w:r>
              <w:rPr>
                <w:color w:val="1F2933"/>
                <w:sz w:val="16"/>
              </w:rPr>
              <w:t>A local GROOVE manifest or knowledge-bundle map exposing documents, relations, Masters, components, and source locators.</w:t>
            </w:r>
          </w:p>
        </w:tc>
      </w:tr>
      <w:tr w:rsidR="00AC1B78" w14:paraId="4AEFF70F" w14:textId="77777777">
        <w:trPr>
          <w:jc w:val="center"/>
        </w:trPr>
        <w:tc>
          <w:tcPr>
            <w:tcW w:w="2232" w:type="dxa"/>
            <w:tcMar>
              <w:top w:w="85" w:type="dxa"/>
              <w:left w:w="95" w:type="dxa"/>
              <w:bottom w:w="85" w:type="dxa"/>
              <w:right w:w="95" w:type="dxa"/>
            </w:tcMar>
            <w:vAlign w:val="center"/>
          </w:tcPr>
          <w:p w14:paraId="113A8943" w14:textId="77777777" w:rsidR="00AC1B78" w:rsidRDefault="002C0F08">
            <w:pPr>
              <w:spacing w:after="0" w:line="245" w:lineRule="auto"/>
              <w:rPr>
                <w:rFonts w:hint="eastAsia"/>
              </w:rPr>
            </w:pPr>
            <w:r>
              <w:rPr>
                <w:color w:val="1F2933"/>
                <w:sz w:val="16"/>
              </w:rPr>
              <w:t>Active Semantic Frontier</w:t>
            </w:r>
          </w:p>
        </w:tc>
        <w:tc>
          <w:tcPr>
            <w:tcW w:w="6552" w:type="dxa"/>
            <w:tcMar>
              <w:top w:w="85" w:type="dxa"/>
              <w:left w:w="95" w:type="dxa"/>
              <w:bottom w:w="85" w:type="dxa"/>
              <w:right w:w="95" w:type="dxa"/>
            </w:tcMar>
            <w:vAlign w:val="center"/>
          </w:tcPr>
          <w:p w14:paraId="0DB09926" w14:textId="77777777" w:rsidR="00AC1B78" w:rsidRDefault="002C0F08">
            <w:pPr>
              <w:spacing w:after="0" w:line="245" w:lineRule="auto"/>
              <w:rPr>
                <w:rFonts w:hint="eastAsia"/>
              </w:rPr>
            </w:pPr>
            <w:r>
              <w:rPr>
                <w:color w:val="1F2933"/>
                <w:sz w:val="16"/>
              </w:rPr>
              <w:t>The bounded set of query branches currently eligible for further semantic expansion.</w:t>
            </w:r>
          </w:p>
        </w:tc>
      </w:tr>
      <w:tr w:rsidR="00AC1B78" w14:paraId="63EBE649" w14:textId="77777777">
        <w:trPr>
          <w:jc w:val="center"/>
        </w:trPr>
        <w:tc>
          <w:tcPr>
            <w:tcW w:w="2232" w:type="dxa"/>
            <w:shd w:val="clear" w:color="auto" w:fill="F7F9FB"/>
            <w:tcMar>
              <w:top w:w="85" w:type="dxa"/>
              <w:left w:w="95" w:type="dxa"/>
              <w:bottom w:w="85" w:type="dxa"/>
              <w:right w:w="95" w:type="dxa"/>
            </w:tcMar>
            <w:vAlign w:val="center"/>
          </w:tcPr>
          <w:p w14:paraId="72E5D363" w14:textId="77777777" w:rsidR="00AC1B78" w:rsidRDefault="002C0F08">
            <w:pPr>
              <w:spacing w:after="0" w:line="245" w:lineRule="auto"/>
              <w:rPr>
                <w:rFonts w:hint="eastAsia"/>
              </w:rPr>
            </w:pPr>
            <w:r>
              <w:rPr>
                <w:color w:val="1F2933"/>
                <w:sz w:val="16"/>
              </w:rPr>
              <w:t>Applicability (A)</w:t>
            </w:r>
          </w:p>
        </w:tc>
        <w:tc>
          <w:tcPr>
            <w:tcW w:w="6552" w:type="dxa"/>
            <w:shd w:val="clear" w:color="auto" w:fill="F7F9FB"/>
            <w:tcMar>
              <w:top w:w="85" w:type="dxa"/>
              <w:left w:w="95" w:type="dxa"/>
              <w:bottom w:w="85" w:type="dxa"/>
              <w:right w:w="95" w:type="dxa"/>
            </w:tcMar>
            <w:vAlign w:val="center"/>
          </w:tcPr>
          <w:p w14:paraId="75EB6E1B" w14:textId="77777777" w:rsidR="00AC1B78" w:rsidRDefault="002C0F08">
            <w:pPr>
              <w:spacing w:after="0" w:line="245" w:lineRule="auto"/>
              <w:rPr>
                <w:rFonts w:hint="eastAsia"/>
              </w:rPr>
            </w:pPr>
            <w:r>
              <w:rPr>
                <w:color w:val="1F2933"/>
                <w:sz w:val="16"/>
              </w:rPr>
              <w:t>A contextual measure of whether a source, rule, or semantic structure pertains to the active world, organization, jurisdiction, project, or other scope.</w:t>
            </w:r>
          </w:p>
        </w:tc>
      </w:tr>
      <w:tr w:rsidR="00AC1B78" w14:paraId="21CF1C87" w14:textId="77777777">
        <w:trPr>
          <w:jc w:val="center"/>
        </w:trPr>
        <w:tc>
          <w:tcPr>
            <w:tcW w:w="2232" w:type="dxa"/>
            <w:tcMar>
              <w:top w:w="85" w:type="dxa"/>
              <w:left w:w="95" w:type="dxa"/>
              <w:bottom w:w="85" w:type="dxa"/>
              <w:right w:w="95" w:type="dxa"/>
            </w:tcMar>
            <w:vAlign w:val="center"/>
          </w:tcPr>
          <w:p w14:paraId="6BEE6EAF" w14:textId="77777777" w:rsidR="00AC1B78" w:rsidRDefault="002C0F08">
            <w:pPr>
              <w:spacing w:after="0" w:line="245" w:lineRule="auto"/>
              <w:rPr>
                <w:rFonts w:hint="eastAsia"/>
              </w:rPr>
            </w:pPr>
            <w:r>
              <w:rPr>
                <w:color w:val="1F2933"/>
                <w:sz w:val="16"/>
              </w:rPr>
              <w:t>Authority / Trust (T)</w:t>
            </w:r>
          </w:p>
        </w:tc>
        <w:tc>
          <w:tcPr>
            <w:tcW w:w="6552" w:type="dxa"/>
            <w:tcMar>
              <w:top w:w="85" w:type="dxa"/>
              <w:left w:w="95" w:type="dxa"/>
              <w:bottom w:w="85" w:type="dxa"/>
              <w:right w:w="95" w:type="dxa"/>
            </w:tcMar>
            <w:vAlign w:val="center"/>
          </w:tcPr>
          <w:p w14:paraId="35192C8E" w14:textId="77777777" w:rsidR="00AC1B78" w:rsidRDefault="002C0F08">
            <w:pPr>
              <w:spacing w:after="0" w:line="245" w:lineRule="auto"/>
              <w:rPr>
                <w:rFonts w:hint="eastAsia"/>
              </w:rPr>
            </w:pPr>
            <w:r>
              <w:rPr>
                <w:color w:val="1F2933"/>
                <w:sz w:val="16"/>
              </w:rPr>
              <w:t>A contextual measure of how strongly a source may establish a specified kind of claim. It is not the same as topical relevance or applicability.</w:t>
            </w:r>
          </w:p>
        </w:tc>
      </w:tr>
      <w:tr w:rsidR="00AC1B78" w14:paraId="0379344D" w14:textId="77777777">
        <w:trPr>
          <w:jc w:val="center"/>
        </w:trPr>
        <w:tc>
          <w:tcPr>
            <w:tcW w:w="2232" w:type="dxa"/>
            <w:shd w:val="clear" w:color="auto" w:fill="F7F9FB"/>
            <w:tcMar>
              <w:top w:w="85" w:type="dxa"/>
              <w:left w:w="95" w:type="dxa"/>
              <w:bottom w:w="85" w:type="dxa"/>
              <w:right w:w="95" w:type="dxa"/>
            </w:tcMar>
            <w:vAlign w:val="center"/>
          </w:tcPr>
          <w:p w14:paraId="218631D3" w14:textId="77777777" w:rsidR="00AC1B78" w:rsidRDefault="002C0F08">
            <w:pPr>
              <w:spacing w:after="0" w:line="245" w:lineRule="auto"/>
              <w:rPr>
                <w:rFonts w:hint="eastAsia"/>
              </w:rPr>
            </w:pPr>
            <w:r>
              <w:rPr>
                <w:color w:val="1F2933"/>
                <w:sz w:val="16"/>
              </w:rPr>
              <w:t>BIGFOOT</w:t>
            </w:r>
          </w:p>
        </w:tc>
        <w:tc>
          <w:tcPr>
            <w:tcW w:w="6552" w:type="dxa"/>
            <w:shd w:val="clear" w:color="auto" w:fill="F7F9FB"/>
            <w:tcMar>
              <w:top w:w="85" w:type="dxa"/>
              <w:left w:w="95" w:type="dxa"/>
              <w:bottom w:w="85" w:type="dxa"/>
              <w:right w:w="95" w:type="dxa"/>
            </w:tcMar>
            <w:vAlign w:val="center"/>
          </w:tcPr>
          <w:p w14:paraId="343229C5" w14:textId="77777777" w:rsidR="00AC1B78" w:rsidRDefault="002C0F08">
            <w:pPr>
              <w:spacing w:after="0" w:line="245" w:lineRule="auto"/>
              <w:rPr>
                <w:rFonts w:hint="eastAsia"/>
              </w:rPr>
            </w:pPr>
            <w:r>
              <w:rPr>
                <w:color w:val="1F2933"/>
                <w:sz w:val="16"/>
              </w:rPr>
              <w:t>The CERBERUS semantic identity spine for stable Bits, BitGroups, BitWords, and Compound BitWords and their explicit composition.</w:t>
            </w:r>
          </w:p>
        </w:tc>
      </w:tr>
      <w:tr w:rsidR="00AC1B78" w14:paraId="219D760A" w14:textId="77777777">
        <w:trPr>
          <w:jc w:val="center"/>
        </w:trPr>
        <w:tc>
          <w:tcPr>
            <w:tcW w:w="2232" w:type="dxa"/>
            <w:tcMar>
              <w:top w:w="85" w:type="dxa"/>
              <w:left w:w="95" w:type="dxa"/>
              <w:bottom w:w="85" w:type="dxa"/>
              <w:right w:w="95" w:type="dxa"/>
            </w:tcMar>
            <w:vAlign w:val="center"/>
          </w:tcPr>
          <w:p w14:paraId="5BD81742" w14:textId="77777777" w:rsidR="00AC1B78" w:rsidRDefault="002C0F08">
            <w:pPr>
              <w:spacing w:after="0" w:line="245" w:lineRule="auto"/>
              <w:rPr>
                <w:rFonts w:hint="eastAsia"/>
              </w:rPr>
            </w:pPr>
            <w:r>
              <w:rPr>
                <w:color w:val="1F2933"/>
                <w:sz w:val="16"/>
              </w:rPr>
              <w:t>Bits Before Tokens</w:t>
            </w:r>
          </w:p>
        </w:tc>
        <w:tc>
          <w:tcPr>
            <w:tcW w:w="6552" w:type="dxa"/>
            <w:tcMar>
              <w:top w:w="85" w:type="dxa"/>
              <w:left w:w="95" w:type="dxa"/>
              <w:bottom w:w="85" w:type="dxa"/>
              <w:right w:w="95" w:type="dxa"/>
            </w:tcMar>
            <w:vAlign w:val="center"/>
          </w:tcPr>
          <w:p w14:paraId="0C011C0A" w14:textId="77777777" w:rsidR="00AC1B78" w:rsidRDefault="002C0F08">
            <w:pPr>
              <w:spacing w:after="0" w:line="245" w:lineRule="auto"/>
              <w:rPr>
                <w:rFonts w:hint="eastAsia"/>
              </w:rPr>
            </w:pPr>
            <w:r>
              <w:rPr>
                <w:color w:val="1F2933"/>
                <w:sz w:val="16"/>
              </w:rPr>
              <w:t>The principle that bounded semantic structure should reduce search scope before large quantities of source-language tokens are consumed.</w:t>
            </w:r>
          </w:p>
        </w:tc>
      </w:tr>
      <w:tr w:rsidR="00AC1B78" w14:paraId="15D9D532" w14:textId="77777777">
        <w:trPr>
          <w:jc w:val="center"/>
        </w:trPr>
        <w:tc>
          <w:tcPr>
            <w:tcW w:w="2232" w:type="dxa"/>
            <w:shd w:val="clear" w:color="auto" w:fill="F7F9FB"/>
            <w:tcMar>
              <w:top w:w="85" w:type="dxa"/>
              <w:left w:w="95" w:type="dxa"/>
              <w:bottom w:w="85" w:type="dxa"/>
              <w:right w:w="95" w:type="dxa"/>
            </w:tcMar>
            <w:vAlign w:val="center"/>
          </w:tcPr>
          <w:p w14:paraId="30C61F45" w14:textId="77777777" w:rsidR="00AC1B78" w:rsidRDefault="002C0F08">
            <w:pPr>
              <w:spacing w:after="0" w:line="245" w:lineRule="auto"/>
              <w:rPr>
                <w:rFonts w:hint="eastAsia"/>
              </w:rPr>
            </w:pPr>
            <w:r>
              <w:rPr>
                <w:color w:val="1F2933"/>
                <w:sz w:val="16"/>
              </w:rPr>
              <w:t>Bounded Semantic Reach</w:t>
            </w:r>
          </w:p>
        </w:tc>
        <w:tc>
          <w:tcPr>
            <w:tcW w:w="6552" w:type="dxa"/>
            <w:shd w:val="clear" w:color="auto" w:fill="F7F9FB"/>
            <w:tcMar>
              <w:top w:w="85" w:type="dxa"/>
              <w:left w:w="95" w:type="dxa"/>
              <w:bottom w:w="85" w:type="dxa"/>
              <w:right w:w="95" w:type="dxa"/>
            </w:tcMar>
            <w:vAlign w:val="center"/>
          </w:tcPr>
          <w:p w14:paraId="3BAA7867" w14:textId="77777777" w:rsidR="00AC1B78" w:rsidRDefault="002C0F08">
            <w:pPr>
              <w:spacing w:after="0" w:line="245" w:lineRule="auto"/>
              <w:rPr>
                <w:rFonts w:hint="eastAsia"/>
              </w:rPr>
            </w:pPr>
            <w:r>
              <w:rPr>
                <w:color w:val="1F2933"/>
                <w:sz w:val="16"/>
              </w:rPr>
              <w:t>Large reachable semantic territory obtained through recursively composed small routing vocabularies.</w:t>
            </w:r>
          </w:p>
        </w:tc>
      </w:tr>
      <w:tr w:rsidR="00AC1B78" w14:paraId="29D1C13F" w14:textId="77777777">
        <w:trPr>
          <w:jc w:val="center"/>
        </w:trPr>
        <w:tc>
          <w:tcPr>
            <w:tcW w:w="2232" w:type="dxa"/>
            <w:tcMar>
              <w:top w:w="85" w:type="dxa"/>
              <w:left w:w="95" w:type="dxa"/>
              <w:bottom w:w="85" w:type="dxa"/>
              <w:right w:w="95" w:type="dxa"/>
            </w:tcMar>
            <w:vAlign w:val="center"/>
          </w:tcPr>
          <w:p w14:paraId="60D4A778" w14:textId="77777777" w:rsidR="00AC1B78" w:rsidRDefault="002C0F08">
            <w:pPr>
              <w:spacing w:after="0" w:line="245" w:lineRule="auto"/>
              <w:rPr>
                <w:rFonts w:hint="eastAsia"/>
              </w:rPr>
            </w:pPr>
            <w:r>
              <w:rPr>
                <w:color w:val="1F2933"/>
                <w:sz w:val="16"/>
              </w:rPr>
              <w:t>Branch-Conditioned Description</w:t>
            </w:r>
          </w:p>
        </w:tc>
        <w:tc>
          <w:tcPr>
            <w:tcW w:w="6552" w:type="dxa"/>
            <w:tcMar>
              <w:top w:w="85" w:type="dxa"/>
              <w:left w:w="95" w:type="dxa"/>
              <w:bottom w:w="85" w:type="dxa"/>
              <w:right w:w="95" w:type="dxa"/>
            </w:tcMar>
            <w:vAlign w:val="center"/>
          </w:tcPr>
          <w:p w14:paraId="59298B4C" w14:textId="77777777" w:rsidR="00AC1B78" w:rsidRDefault="002C0F08">
            <w:pPr>
              <w:spacing w:after="0" w:line="245" w:lineRule="auto"/>
              <w:rPr>
                <w:rFonts w:hint="eastAsia"/>
              </w:rPr>
            </w:pPr>
            <w:r>
              <w:rPr>
                <w:color w:val="1F2933"/>
                <w:sz w:val="16"/>
              </w:rPr>
              <w:t>A compact GROOVE description explaining why one source is relevant inside one specific semantic branch.</w:t>
            </w:r>
          </w:p>
        </w:tc>
      </w:tr>
      <w:tr w:rsidR="00AC1B78" w14:paraId="0C5CCEE7" w14:textId="77777777">
        <w:trPr>
          <w:jc w:val="center"/>
        </w:trPr>
        <w:tc>
          <w:tcPr>
            <w:tcW w:w="2232" w:type="dxa"/>
            <w:shd w:val="clear" w:color="auto" w:fill="F7F9FB"/>
            <w:tcMar>
              <w:top w:w="85" w:type="dxa"/>
              <w:left w:w="95" w:type="dxa"/>
              <w:bottom w:w="85" w:type="dxa"/>
              <w:right w:w="95" w:type="dxa"/>
            </w:tcMar>
            <w:vAlign w:val="center"/>
          </w:tcPr>
          <w:p w14:paraId="6EEF512B" w14:textId="77777777" w:rsidR="00AC1B78" w:rsidRDefault="002C0F08">
            <w:pPr>
              <w:spacing w:after="0" w:line="245" w:lineRule="auto"/>
              <w:rPr>
                <w:rFonts w:hint="eastAsia"/>
              </w:rPr>
            </w:pPr>
            <w:r>
              <w:rPr>
                <w:color w:val="1F2933"/>
                <w:sz w:val="16"/>
              </w:rPr>
              <w:t>CIRCLE</w:t>
            </w:r>
          </w:p>
        </w:tc>
        <w:tc>
          <w:tcPr>
            <w:tcW w:w="6552" w:type="dxa"/>
            <w:shd w:val="clear" w:color="auto" w:fill="F7F9FB"/>
            <w:tcMar>
              <w:top w:w="85" w:type="dxa"/>
              <w:left w:w="95" w:type="dxa"/>
              <w:bottom w:w="85" w:type="dxa"/>
              <w:right w:w="95" w:type="dxa"/>
            </w:tcMar>
            <w:vAlign w:val="center"/>
          </w:tcPr>
          <w:p w14:paraId="6E09E32B" w14:textId="77777777" w:rsidR="00AC1B78" w:rsidRDefault="002C0F08">
            <w:pPr>
              <w:spacing w:after="0" w:line="245" w:lineRule="auto"/>
              <w:rPr>
                <w:rFonts w:hint="eastAsia"/>
              </w:rPr>
            </w:pPr>
            <w:r>
              <w:rPr>
                <w:color w:val="1F2933"/>
                <w:sz w:val="16"/>
              </w:rPr>
              <w:t>Established common knowledge layer in the DRAGON/GROOVE ecosystem.</w:t>
            </w:r>
          </w:p>
        </w:tc>
      </w:tr>
      <w:tr w:rsidR="00AC1B78" w14:paraId="6CEDA374" w14:textId="77777777">
        <w:trPr>
          <w:jc w:val="center"/>
        </w:trPr>
        <w:tc>
          <w:tcPr>
            <w:tcW w:w="2232" w:type="dxa"/>
            <w:tcMar>
              <w:top w:w="85" w:type="dxa"/>
              <w:left w:w="95" w:type="dxa"/>
              <w:bottom w:w="85" w:type="dxa"/>
              <w:right w:w="95" w:type="dxa"/>
            </w:tcMar>
            <w:vAlign w:val="center"/>
          </w:tcPr>
          <w:p w14:paraId="5F7A2525" w14:textId="77777777" w:rsidR="00AC1B78" w:rsidRDefault="002C0F08">
            <w:pPr>
              <w:spacing w:after="0" w:line="245" w:lineRule="auto"/>
              <w:rPr>
                <w:rFonts w:hint="eastAsia"/>
              </w:rPr>
            </w:pPr>
            <w:r>
              <w:rPr>
                <w:color w:val="1F2933"/>
                <w:sz w:val="16"/>
              </w:rPr>
              <w:t>Cross-GROOVE Intersection</w:t>
            </w:r>
          </w:p>
        </w:tc>
        <w:tc>
          <w:tcPr>
            <w:tcW w:w="6552" w:type="dxa"/>
            <w:tcMar>
              <w:top w:w="85" w:type="dxa"/>
              <w:left w:w="95" w:type="dxa"/>
              <w:bottom w:w="85" w:type="dxa"/>
              <w:right w:w="95" w:type="dxa"/>
            </w:tcMar>
            <w:vAlign w:val="center"/>
          </w:tcPr>
          <w:p w14:paraId="6BEFE33E" w14:textId="77777777" w:rsidR="00AC1B78" w:rsidRDefault="002C0F08">
            <w:pPr>
              <w:spacing w:after="0" w:line="245" w:lineRule="auto"/>
              <w:rPr>
                <w:rFonts w:hint="eastAsia"/>
              </w:rPr>
            </w:pPr>
            <w:r>
              <w:rPr>
                <w:color w:val="1F2933"/>
                <w:sz w:val="16"/>
              </w:rPr>
              <w:t>A semantic surface produced by intersecting compatible saved GROOVE projections or active semantic branches.</w:t>
            </w:r>
          </w:p>
        </w:tc>
      </w:tr>
      <w:tr w:rsidR="00AC1B78" w14:paraId="54540C27" w14:textId="77777777">
        <w:trPr>
          <w:jc w:val="center"/>
        </w:trPr>
        <w:tc>
          <w:tcPr>
            <w:tcW w:w="2232" w:type="dxa"/>
            <w:shd w:val="clear" w:color="auto" w:fill="F7F9FB"/>
            <w:tcMar>
              <w:top w:w="85" w:type="dxa"/>
              <w:left w:w="95" w:type="dxa"/>
              <w:bottom w:w="85" w:type="dxa"/>
              <w:right w:w="95" w:type="dxa"/>
            </w:tcMar>
            <w:vAlign w:val="center"/>
          </w:tcPr>
          <w:p w14:paraId="73A48290" w14:textId="77777777" w:rsidR="00AC1B78" w:rsidRDefault="002C0F08">
            <w:pPr>
              <w:spacing w:after="0" w:line="245" w:lineRule="auto"/>
              <w:rPr>
                <w:rFonts w:hint="eastAsia"/>
              </w:rPr>
            </w:pPr>
            <w:r>
              <w:rPr>
                <w:color w:val="1F2933"/>
                <w:sz w:val="16"/>
              </w:rPr>
              <w:t>FASK</w:t>
            </w:r>
          </w:p>
        </w:tc>
        <w:tc>
          <w:tcPr>
            <w:tcW w:w="6552" w:type="dxa"/>
            <w:shd w:val="clear" w:color="auto" w:fill="F7F9FB"/>
            <w:tcMar>
              <w:top w:w="85" w:type="dxa"/>
              <w:left w:w="95" w:type="dxa"/>
              <w:bottom w:w="85" w:type="dxa"/>
              <w:right w:w="95" w:type="dxa"/>
            </w:tcMar>
            <w:vAlign w:val="center"/>
          </w:tcPr>
          <w:p w14:paraId="0931BE09" w14:textId="77777777" w:rsidR="00AC1B78" w:rsidRDefault="002C0F08">
            <w:pPr>
              <w:spacing w:after="0" w:line="245" w:lineRule="auto"/>
              <w:rPr>
                <w:rFonts w:hint="eastAsia"/>
              </w:rPr>
            </w:pPr>
            <w:r>
              <w:rPr>
                <w:color w:val="1F2933"/>
                <w:sz w:val="16"/>
              </w:rPr>
              <w:t>An explicitly speculative, fantasy, or alternative semantic structure that remains distinct from established canonical knowledge.</w:t>
            </w:r>
          </w:p>
        </w:tc>
      </w:tr>
      <w:tr w:rsidR="00AC1B78" w14:paraId="6FA83F7C" w14:textId="77777777">
        <w:trPr>
          <w:jc w:val="center"/>
        </w:trPr>
        <w:tc>
          <w:tcPr>
            <w:tcW w:w="2232" w:type="dxa"/>
            <w:tcMar>
              <w:top w:w="85" w:type="dxa"/>
              <w:left w:w="95" w:type="dxa"/>
              <w:bottom w:w="85" w:type="dxa"/>
              <w:right w:w="95" w:type="dxa"/>
            </w:tcMar>
            <w:vAlign w:val="center"/>
          </w:tcPr>
          <w:p w14:paraId="37630671" w14:textId="77777777" w:rsidR="00AC1B78" w:rsidRDefault="002C0F08">
            <w:pPr>
              <w:spacing w:after="0" w:line="245" w:lineRule="auto"/>
              <w:rPr>
                <w:rFonts w:hint="eastAsia"/>
              </w:rPr>
            </w:pPr>
            <w:r>
              <w:rPr>
                <w:color w:val="1F2933"/>
                <w:sz w:val="16"/>
              </w:rPr>
              <w:t>FRINGE</w:t>
            </w:r>
          </w:p>
        </w:tc>
        <w:tc>
          <w:tcPr>
            <w:tcW w:w="6552" w:type="dxa"/>
            <w:tcMar>
              <w:top w:w="85" w:type="dxa"/>
              <w:left w:w="95" w:type="dxa"/>
              <w:bottom w:w="85" w:type="dxa"/>
              <w:right w:w="95" w:type="dxa"/>
            </w:tcMar>
            <w:vAlign w:val="center"/>
          </w:tcPr>
          <w:p w14:paraId="6CFAE175" w14:textId="77777777" w:rsidR="00AC1B78" w:rsidRDefault="002C0F08">
            <w:pPr>
              <w:spacing w:after="0" w:line="245" w:lineRule="auto"/>
              <w:rPr>
                <w:rFonts w:hint="eastAsia"/>
              </w:rPr>
            </w:pPr>
            <w:r>
              <w:rPr>
                <w:color w:val="1F2933"/>
                <w:sz w:val="16"/>
              </w:rPr>
              <w:t>Developing, experimental, or unresolved knowledge space kept distinct from established CIRCLE knowledge.</w:t>
            </w:r>
          </w:p>
        </w:tc>
      </w:tr>
      <w:tr w:rsidR="00AC1B78" w14:paraId="595FDF2D" w14:textId="77777777">
        <w:trPr>
          <w:jc w:val="center"/>
        </w:trPr>
        <w:tc>
          <w:tcPr>
            <w:tcW w:w="2232" w:type="dxa"/>
            <w:shd w:val="clear" w:color="auto" w:fill="F7F9FB"/>
            <w:tcMar>
              <w:top w:w="85" w:type="dxa"/>
              <w:left w:w="95" w:type="dxa"/>
              <w:bottom w:w="85" w:type="dxa"/>
              <w:right w:w="95" w:type="dxa"/>
            </w:tcMar>
            <w:vAlign w:val="center"/>
          </w:tcPr>
          <w:p w14:paraId="24986D29" w14:textId="77777777" w:rsidR="00AC1B78" w:rsidRDefault="002C0F08">
            <w:pPr>
              <w:spacing w:after="0" w:line="245" w:lineRule="auto"/>
              <w:rPr>
                <w:rFonts w:hint="eastAsia"/>
              </w:rPr>
            </w:pPr>
            <w:r>
              <w:rPr>
                <w:color w:val="1F2933"/>
                <w:sz w:val="16"/>
              </w:rPr>
              <w:t>GROOVE</w:t>
            </w:r>
          </w:p>
        </w:tc>
        <w:tc>
          <w:tcPr>
            <w:tcW w:w="6552" w:type="dxa"/>
            <w:shd w:val="clear" w:color="auto" w:fill="F7F9FB"/>
            <w:tcMar>
              <w:top w:w="85" w:type="dxa"/>
              <w:left w:w="95" w:type="dxa"/>
              <w:bottom w:w="85" w:type="dxa"/>
              <w:right w:w="95" w:type="dxa"/>
            </w:tcMar>
            <w:vAlign w:val="center"/>
          </w:tcPr>
          <w:p w14:paraId="06A09424" w14:textId="77777777" w:rsidR="00AC1B78" w:rsidRDefault="002C0F08">
            <w:pPr>
              <w:spacing w:after="0" w:line="245" w:lineRule="auto"/>
              <w:rPr>
                <w:rFonts w:hint="eastAsia"/>
              </w:rPr>
            </w:pPr>
            <w:r>
              <w:rPr>
                <w:color w:val="1F2933"/>
                <w:sz w:val="16"/>
              </w:rPr>
              <w:t>Grounded Relations Over Observable Versioned Entries; a method for persisting source-grounded semantic relations, routing handles, descriptions, and traversal structure.</w:t>
            </w:r>
          </w:p>
        </w:tc>
      </w:tr>
      <w:tr w:rsidR="00AC1B78" w14:paraId="5DD47178" w14:textId="77777777">
        <w:trPr>
          <w:jc w:val="center"/>
        </w:trPr>
        <w:tc>
          <w:tcPr>
            <w:tcW w:w="2232" w:type="dxa"/>
            <w:tcMar>
              <w:top w:w="85" w:type="dxa"/>
              <w:left w:w="95" w:type="dxa"/>
              <w:bottom w:w="85" w:type="dxa"/>
              <w:right w:w="95" w:type="dxa"/>
            </w:tcMar>
            <w:vAlign w:val="center"/>
          </w:tcPr>
          <w:p w14:paraId="4E01A0BB" w14:textId="77777777" w:rsidR="00AC1B78" w:rsidRDefault="002C0F08">
            <w:pPr>
              <w:spacing w:after="0" w:line="245" w:lineRule="auto"/>
              <w:rPr>
                <w:rFonts w:hint="eastAsia"/>
              </w:rPr>
            </w:pPr>
            <w:r>
              <w:rPr>
                <w:color w:val="1F2933"/>
                <w:sz w:val="16"/>
              </w:rPr>
              <w:t>Multifactor Query State</w:t>
            </w:r>
          </w:p>
        </w:tc>
        <w:tc>
          <w:tcPr>
            <w:tcW w:w="6552" w:type="dxa"/>
            <w:tcMar>
              <w:top w:w="85" w:type="dxa"/>
              <w:left w:w="95" w:type="dxa"/>
              <w:bottom w:w="85" w:type="dxa"/>
              <w:right w:w="95" w:type="dxa"/>
            </w:tcMar>
            <w:vAlign w:val="center"/>
          </w:tcPr>
          <w:p w14:paraId="2F80088A" w14:textId="77777777" w:rsidR="00AC1B78" w:rsidRDefault="002C0F08">
            <w:pPr>
              <w:spacing w:after="0" w:line="245" w:lineRule="auto"/>
              <w:rPr>
                <w:rFonts w:hint="eastAsia"/>
              </w:rPr>
            </w:pPr>
            <w:r>
              <w:rPr>
                <w:color w:val="1F2933"/>
                <w:sz w:val="16"/>
              </w:rPr>
              <w:t>A query routing result in which several compatible semantic factors are active simultaneously.</w:t>
            </w:r>
          </w:p>
        </w:tc>
      </w:tr>
      <w:tr w:rsidR="00AC1B78" w14:paraId="5AFF3784" w14:textId="77777777">
        <w:trPr>
          <w:jc w:val="center"/>
        </w:trPr>
        <w:tc>
          <w:tcPr>
            <w:tcW w:w="2232" w:type="dxa"/>
            <w:shd w:val="clear" w:color="auto" w:fill="F7F9FB"/>
            <w:tcMar>
              <w:top w:w="85" w:type="dxa"/>
              <w:left w:w="95" w:type="dxa"/>
              <w:bottom w:w="85" w:type="dxa"/>
              <w:right w:w="95" w:type="dxa"/>
            </w:tcMar>
            <w:vAlign w:val="center"/>
          </w:tcPr>
          <w:p w14:paraId="3A11F28B" w14:textId="77777777" w:rsidR="00AC1B78" w:rsidRDefault="002C0F08">
            <w:pPr>
              <w:spacing w:after="0" w:line="245" w:lineRule="auto"/>
              <w:rPr>
                <w:rFonts w:hint="eastAsia"/>
              </w:rPr>
            </w:pPr>
            <w:r>
              <w:rPr>
                <w:color w:val="1F2933"/>
                <w:sz w:val="16"/>
              </w:rPr>
              <w:t>Relevance (R)</w:t>
            </w:r>
          </w:p>
        </w:tc>
        <w:tc>
          <w:tcPr>
            <w:tcW w:w="6552" w:type="dxa"/>
            <w:shd w:val="clear" w:color="auto" w:fill="F7F9FB"/>
            <w:tcMar>
              <w:top w:w="85" w:type="dxa"/>
              <w:left w:w="95" w:type="dxa"/>
              <w:bottom w:w="85" w:type="dxa"/>
              <w:right w:w="95" w:type="dxa"/>
            </w:tcMar>
            <w:vAlign w:val="center"/>
          </w:tcPr>
          <w:p w14:paraId="5D929231" w14:textId="77777777" w:rsidR="00AC1B78" w:rsidRDefault="002C0F08">
            <w:pPr>
              <w:spacing w:after="0" w:line="245" w:lineRule="auto"/>
              <w:rPr>
                <w:rFonts w:hint="eastAsia"/>
              </w:rPr>
            </w:pPr>
            <w:r>
              <w:rPr>
                <w:color w:val="1F2933"/>
                <w:sz w:val="16"/>
              </w:rPr>
              <w:t>A runtime measure of how strongly a route or source contributes to the current request under the active semantic context.</w:t>
            </w:r>
          </w:p>
        </w:tc>
      </w:tr>
      <w:tr w:rsidR="00AC1B78" w14:paraId="26884AA7" w14:textId="77777777">
        <w:trPr>
          <w:jc w:val="center"/>
        </w:trPr>
        <w:tc>
          <w:tcPr>
            <w:tcW w:w="2232" w:type="dxa"/>
            <w:tcMar>
              <w:top w:w="85" w:type="dxa"/>
              <w:left w:w="95" w:type="dxa"/>
              <w:bottom w:w="85" w:type="dxa"/>
              <w:right w:w="95" w:type="dxa"/>
            </w:tcMar>
            <w:vAlign w:val="center"/>
          </w:tcPr>
          <w:p w14:paraId="0C01BB5E" w14:textId="77777777" w:rsidR="00AC1B78" w:rsidRDefault="002C0F08">
            <w:pPr>
              <w:spacing w:after="0" w:line="245" w:lineRule="auto"/>
              <w:rPr>
                <w:rFonts w:hint="eastAsia"/>
              </w:rPr>
            </w:pPr>
            <w:r>
              <w:rPr>
                <w:color w:val="1F2933"/>
                <w:sz w:val="16"/>
              </w:rPr>
              <w:t>RouteState</w:t>
            </w:r>
          </w:p>
        </w:tc>
        <w:tc>
          <w:tcPr>
            <w:tcW w:w="6552" w:type="dxa"/>
            <w:tcMar>
              <w:top w:w="85" w:type="dxa"/>
              <w:left w:w="95" w:type="dxa"/>
              <w:bottom w:w="85" w:type="dxa"/>
              <w:right w:w="95" w:type="dxa"/>
            </w:tcMar>
            <w:vAlign w:val="center"/>
          </w:tcPr>
          <w:p w14:paraId="397DB4A7" w14:textId="77777777" w:rsidR="00AC1B78" w:rsidRDefault="002C0F08">
            <w:pPr>
              <w:spacing w:after="0" w:line="245" w:lineRule="auto"/>
              <w:rPr>
                <w:rFonts w:hint="eastAsia"/>
              </w:rPr>
            </w:pPr>
            <w:r>
              <w:rPr>
                <w:color w:val="1F2933"/>
                <w:sz w:val="16"/>
              </w:rPr>
              <w:t>Operational state for one query branch, including route identity, relevance, applicability, depth, status, and provenance.</w:t>
            </w:r>
          </w:p>
        </w:tc>
      </w:tr>
      <w:tr w:rsidR="00AC1B78" w14:paraId="29F3D2C5" w14:textId="77777777">
        <w:trPr>
          <w:jc w:val="center"/>
        </w:trPr>
        <w:tc>
          <w:tcPr>
            <w:tcW w:w="2232" w:type="dxa"/>
            <w:shd w:val="clear" w:color="auto" w:fill="F7F9FB"/>
            <w:tcMar>
              <w:top w:w="85" w:type="dxa"/>
              <w:left w:w="95" w:type="dxa"/>
              <w:bottom w:w="85" w:type="dxa"/>
              <w:right w:w="95" w:type="dxa"/>
            </w:tcMar>
            <w:vAlign w:val="center"/>
          </w:tcPr>
          <w:p w14:paraId="55A4B64B" w14:textId="77777777" w:rsidR="00AC1B78" w:rsidRDefault="002C0F08">
            <w:pPr>
              <w:spacing w:after="0" w:line="245" w:lineRule="auto"/>
              <w:rPr>
                <w:rFonts w:hint="eastAsia"/>
              </w:rPr>
            </w:pPr>
            <w:r>
              <w:rPr>
                <w:color w:val="1F2933"/>
                <w:sz w:val="16"/>
              </w:rPr>
              <w:t>Routing Semantic Kernel</w:t>
            </w:r>
          </w:p>
        </w:tc>
        <w:tc>
          <w:tcPr>
            <w:tcW w:w="6552" w:type="dxa"/>
            <w:shd w:val="clear" w:color="auto" w:fill="F7F9FB"/>
            <w:tcMar>
              <w:top w:w="85" w:type="dxa"/>
              <w:left w:w="95" w:type="dxa"/>
              <w:bottom w:w="85" w:type="dxa"/>
              <w:right w:w="95" w:type="dxa"/>
            </w:tcMar>
            <w:vAlign w:val="center"/>
          </w:tcPr>
          <w:p w14:paraId="2AF23BFB" w14:textId="77777777" w:rsidR="00AC1B78" w:rsidRDefault="002C0F08">
            <w:pPr>
              <w:spacing w:after="0" w:line="245" w:lineRule="auto"/>
              <w:rPr>
                <w:rFonts w:hint="eastAsia"/>
              </w:rPr>
            </w:pPr>
            <w:r>
              <w:rPr>
                <w:color w:val="1F2933"/>
                <w:sz w:val="16"/>
              </w:rPr>
              <w:t>A bounded semantic structure used to classify, organize, or route toward registered semantic destinations.</w:t>
            </w:r>
          </w:p>
        </w:tc>
      </w:tr>
      <w:tr w:rsidR="00AC1B78" w14:paraId="42FAE59B" w14:textId="77777777">
        <w:trPr>
          <w:jc w:val="center"/>
        </w:trPr>
        <w:tc>
          <w:tcPr>
            <w:tcW w:w="2232" w:type="dxa"/>
            <w:tcMar>
              <w:top w:w="85" w:type="dxa"/>
              <w:left w:w="95" w:type="dxa"/>
              <w:bottom w:w="85" w:type="dxa"/>
              <w:right w:w="95" w:type="dxa"/>
            </w:tcMar>
            <w:vAlign w:val="center"/>
          </w:tcPr>
          <w:p w14:paraId="09E98718" w14:textId="77777777" w:rsidR="00AC1B78" w:rsidRDefault="002C0F08">
            <w:pPr>
              <w:spacing w:after="0" w:line="245" w:lineRule="auto"/>
              <w:rPr>
                <w:rFonts w:hint="eastAsia"/>
              </w:rPr>
            </w:pPr>
            <w:r>
              <w:rPr>
                <w:color w:val="1F2933"/>
                <w:sz w:val="16"/>
              </w:rPr>
              <w:t>Semantic Fade</w:t>
            </w:r>
          </w:p>
        </w:tc>
        <w:tc>
          <w:tcPr>
            <w:tcW w:w="6552" w:type="dxa"/>
            <w:tcMar>
              <w:top w:w="85" w:type="dxa"/>
              <w:left w:w="95" w:type="dxa"/>
              <w:bottom w:w="85" w:type="dxa"/>
              <w:right w:w="95" w:type="dxa"/>
            </w:tcMar>
            <w:vAlign w:val="center"/>
          </w:tcPr>
          <w:p w14:paraId="5EF047AF" w14:textId="77777777" w:rsidR="00AC1B78" w:rsidRDefault="002C0F08">
            <w:pPr>
              <w:spacing w:after="0" w:line="245" w:lineRule="auto"/>
              <w:rPr>
                <w:rFonts w:hint="eastAsia"/>
              </w:rPr>
            </w:pPr>
            <w:r>
              <w:rPr>
                <w:color w:val="1F2933"/>
                <w:sz w:val="16"/>
              </w:rPr>
              <w:t>The explicit pruning of branches that no longer justify further semantic expansion.</w:t>
            </w:r>
          </w:p>
        </w:tc>
      </w:tr>
      <w:tr w:rsidR="00AC1B78" w14:paraId="28D27723" w14:textId="77777777">
        <w:trPr>
          <w:jc w:val="center"/>
        </w:trPr>
        <w:tc>
          <w:tcPr>
            <w:tcW w:w="2232" w:type="dxa"/>
            <w:shd w:val="clear" w:color="auto" w:fill="F7F9FB"/>
            <w:tcMar>
              <w:top w:w="85" w:type="dxa"/>
              <w:left w:w="95" w:type="dxa"/>
              <w:bottom w:w="85" w:type="dxa"/>
              <w:right w:w="95" w:type="dxa"/>
            </w:tcMar>
            <w:vAlign w:val="center"/>
          </w:tcPr>
          <w:p w14:paraId="2E474DC4" w14:textId="77777777" w:rsidR="00AC1B78" w:rsidRDefault="002C0F08">
            <w:pPr>
              <w:spacing w:after="0" w:line="245" w:lineRule="auto"/>
              <w:rPr>
                <w:rFonts w:hint="eastAsia"/>
              </w:rPr>
            </w:pPr>
            <w:r>
              <w:rPr>
                <w:color w:val="1F2933"/>
                <w:sz w:val="16"/>
              </w:rPr>
              <w:t>Semantic Query Factorization</w:t>
            </w:r>
          </w:p>
        </w:tc>
        <w:tc>
          <w:tcPr>
            <w:tcW w:w="6552" w:type="dxa"/>
            <w:shd w:val="clear" w:color="auto" w:fill="F7F9FB"/>
            <w:tcMar>
              <w:top w:w="85" w:type="dxa"/>
              <w:left w:w="95" w:type="dxa"/>
              <w:bottom w:w="85" w:type="dxa"/>
              <w:right w:w="95" w:type="dxa"/>
            </w:tcMar>
            <w:vAlign w:val="center"/>
          </w:tcPr>
          <w:p w14:paraId="007F259C" w14:textId="77777777" w:rsidR="00AC1B78" w:rsidRDefault="002C0F08">
            <w:pPr>
              <w:spacing w:after="0" w:line="245" w:lineRule="auto"/>
              <w:rPr>
                <w:rFonts w:hint="eastAsia"/>
              </w:rPr>
            </w:pPr>
            <w:r>
              <w:rPr>
                <w:color w:val="1F2933"/>
                <w:sz w:val="16"/>
              </w:rPr>
              <w:t>Progressive decomposition of one request into multiple independently traversable semantic branches.</w:t>
            </w:r>
          </w:p>
        </w:tc>
      </w:tr>
      <w:tr w:rsidR="00AC1B78" w14:paraId="399C2B93" w14:textId="77777777">
        <w:trPr>
          <w:jc w:val="center"/>
        </w:trPr>
        <w:tc>
          <w:tcPr>
            <w:tcW w:w="2232" w:type="dxa"/>
            <w:tcMar>
              <w:top w:w="85" w:type="dxa"/>
              <w:left w:w="95" w:type="dxa"/>
              <w:bottom w:w="85" w:type="dxa"/>
              <w:right w:w="95" w:type="dxa"/>
            </w:tcMar>
            <w:vAlign w:val="center"/>
          </w:tcPr>
          <w:p w14:paraId="2D314CAA" w14:textId="77777777" w:rsidR="00AC1B78" w:rsidRDefault="002C0F08">
            <w:pPr>
              <w:spacing w:after="0" w:line="245" w:lineRule="auto"/>
              <w:rPr>
                <w:rFonts w:hint="eastAsia"/>
              </w:rPr>
            </w:pPr>
            <w:r>
              <w:rPr>
                <w:color w:val="1F2933"/>
                <w:sz w:val="16"/>
              </w:rPr>
              <w:t>Semantic Search Plan</w:t>
            </w:r>
          </w:p>
        </w:tc>
        <w:tc>
          <w:tcPr>
            <w:tcW w:w="6552" w:type="dxa"/>
            <w:tcMar>
              <w:top w:w="85" w:type="dxa"/>
              <w:left w:w="95" w:type="dxa"/>
              <w:bottom w:w="85" w:type="dxa"/>
              <w:right w:w="95" w:type="dxa"/>
            </w:tcMar>
            <w:vAlign w:val="center"/>
          </w:tcPr>
          <w:p w14:paraId="5756D7A8" w14:textId="77777777" w:rsidR="00AC1B78" w:rsidRDefault="002C0F08">
            <w:pPr>
              <w:spacing w:after="0" w:line="245" w:lineRule="auto"/>
              <w:rPr>
                <w:rFonts w:hint="eastAsia"/>
              </w:rPr>
            </w:pPr>
            <w:r>
              <w:rPr>
                <w:color w:val="1F2933"/>
                <w:sz w:val="16"/>
              </w:rPr>
              <w:t>An inspectable execution graph defining active routes, intent, context, epistemic policy, continuation thresholds, authority rules, source policy, and budgets.</w:t>
            </w:r>
          </w:p>
        </w:tc>
      </w:tr>
      <w:tr w:rsidR="00AC1B78" w14:paraId="71BAE428" w14:textId="77777777">
        <w:trPr>
          <w:jc w:val="center"/>
        </w:trPr>
        <w:tc>
          <w:tcPr>
            <w:tcW w:w="2232" w:type="dxa"/>
            <w:shd w:val="clear" w:color="auto" w:fill="F7F9FB"/>
            <w:tcMar>
              <w:top w:w="85" w:type="dxa"/>
              <w:left w:w="95" w:type="dxa"/>
              <w:bottom w:w="85" w:type="dxa"/>
              <w:right w:w="95" w:type="dxa"/>
            </w:tcMar>
            <w:vAlign w:val="center"/>
          </w:tcPr>
          <w:p w14:paraId="374078F9" w14:textId="77777777" w:rsidR="00AC1B78" w:rsidRDefault="002C0F08">
            <w:pPr>
              <w:spacing w:after="0" w:line="245" w:lineRule="auto"/>
              <w:rPr>
                <w:rFonts w:hint="eastAsia"/>
              </w:rPr>
            </w:pPr>
            <w:r>
              <w:rPr>
                <w:color w:val="1F2933"/>
                <w:sz w:val="16"/>
              </w:rPr>
              <w:t>Semantic Work Persistence</w:t>
            </w:r>
          </w:p>
        </w:tc>
        <w:tc>
          <w:tcPr>
            <w:tcW w:w="6552" w:type="dxa"/>
            <w:shd w:val="clear" w:color="auto" w:fill="F7F9FB"/>
            <w:tcMar>
              <w:top w:w="85" w:type="dxa"/>
              <w:left w:w="95" w:type="dxa"/>
              <w:bottom w:w="85" w:type="dxa"/>
              <w:right w:w="95" w:type="dxa"/>
            </w:tcMar>
            <w:vAlign w:val="center"/>
          </w:tcPr>
          <w:p w14:paraId="3F6DC8BE" w14:textId="77777777" w:rsidR="00AC1B78" w:rsidRDefault="002C0F08">
            <w:pPr>
              <w:spacing w:after="0" w:line="245" w:lineRule="auto"/>
              <w:rPr>
                <w:rFonts w:hint="eastAsia"/>
              </w:rPr>
            </w:pPr>
            <w:r>
              <w:rPr>
                <w:color w:val="1F2933"/>
                <w:sz w:val="16"/>
              </w:rPr>
              <w:t>The reuse of prior grounded semantic interpretation instead of recomputing it from source language for every query.</w:t>
            </w:r>
          </w:p>
        </w:tc>
      </w:tr>
      <w:tr w:rsidR="00AC1B78" w14:paraId="5BA7BC59" w14:textId="77777777">
        <w:trPr>
          <w:jc w:val="center"/>
        </w:trPr>
        <w:tc>
          <w:tcPr>
            <w:tcW w:w="2232" w:type="dxa"/>
            <w:tcMar>
              <w:top w:w="85" w:type="dxa"/>
              <w:left w:w="95" w:type="dxa"/>
              <w:bottom w:w="85" w:type="dxa"/>
              <w:right w:w="95" w:type="dxa"/>
            </w:tcMar>
            <w:vAlign w:val="center"/>
          </w:tcPr>
          <w:p w14:paraId="29CFC925" w14:textId="77777777" w:rsidR="00AC1B78" w:rsidRDefault="002C0F08">
            <w:pPr>
              <w:spacing w:after="0" w:line="245" w:lineRule="auto"/>
              <w:rPr>
                <w:rFonts w:hint="eastAsia"/>
              </w:rPr>
            </w:pPr>
            <w:r>
              <w:rPr>
                <w:color w:val="1F2933"/>
                <w:sz w:val="16"/>
              </w:rPr>
              <w:t>SOLAR</w:t>
            </w:r>
          </w:p>
        </w:tc>
        <w:tc>
          <w:tcPr>
            <w:tcW w:w="6552" w:type="dxa"/>
            <w:tcMar>
              <w:top w:w="85" w:type="dxa"/>
              <w:left w:w="95" w:type="dxa"/>
              <w:bottom w:w="85" w:type="dxa"/>
              <w:right w:w="95" w:type="dxa"/>
            </w:tcMar>
            <w:vAlign w:val="center"/>
          </w:tcPr>
          <w:p w14:paraId="23645899" w14:textId="77777777" w:rsidR="00AC1B78" w:rsidRDefault="002C0F08">
            <w:pPr>
              <w:spacing w:after="0" w:line="245" w:lineRule="auto"/>
              <w:rPr>
                <w:rFonts w:hint="eastAsia"/>
              </w:rPr>
            </w:pPr>
            <w:r>
              <w:rPr>
                <w:color w:val="1F2933"/>
                <w:sz w:val="16"/>
              </w:rPr>
              <w:t>System Operational Lexical Alias Registry; the lexical address layer mapping registered expressions to exact typed semantic targets.</w:t>
            </w:r>
          </w:p>
        </w:tc>
      </w:tr>
      <w:tr w:rsidR="00AC1B78" w14:paraId="7CCB8065" w14:textId="77777777">
        <w:trPr>
          <w:jc w:val="center"/>
        </w:trPr>
        <w:tc>
          <w:tcPr>
            <w:tcW w:w="2232" w:type="dxa"/>
            <w:shd w:val="clear" w:color="auto" w:fill="F7F9FB"/>
            <w:tcMar>
              <w:top w:w="85" w:type="dxa"/>
              <w:left w:w="95" w:type="dxa"/>
              <w:bottom w:w="85" w:type="dxa"/>
              <w:right w:w="95" w:type="dxa"/>
            </w:tcMar>
            <w:vAlign w:val="center"/>
          </w:tcPr>
          <w:p w14:paraId="4CF18935" w14:textId="77777777" w:rsidR="00AC1B78" w:rsidRDefault="002C0F08">
            <w:pPr>
              <w:spacing w:after="0" w:line="245" w:lineRule="auto"/>
              <w:rPr>
                <w:rFonts w:hint="eastAsia"/>
              </w:rPr>
            </w:pPr>
            <w:r>
              <w:rPr>
                <w:color w:val="1F2933"/>
                <w:sz w:val="16"/>
              </w:rPr>
              <w:t>Token Attention</w:t>
            </w:r>
          </w:p>
        </w:tc>
        <w:tc>
          <w:tcPr>
            <w:tcW w:w="6552" w:type="dxa"/>
            <w:shd w:val="clear" w:color="auto" w:fill="F7F9FB"/>
            <w:tcMar>
              <w:top w:w="85" w:type="dxa"/>
              <w:left w:w="95" w:type="dxa"/>
              <w:bottom w:w="85" w:type="dxa"/>
              <w:right w:w="95" w:type="dxa"/>
            </w:tcMar>
            <w:vAlign w:val="center"/>
          </w:tcPr>
          <w:p w14:paraId="69299F27" w14:textId="77777777" w:rsidR="00AC1B78" w:rsidRDefault="002C0F08">
            <w:pPr>
              <w:spacing w:after="0" w:line="245" w:lineRule="auto"/>
              <w:rPr>
                <w:rFonts w:hint="eastAsia"/>
              </w:rPr>
            </w:pPr>
            <w:r>
              <w:rPr>
                <w:color w:val="1F2933"/>
                <w:sz w:val="16"/>
              </w:rPr>
              <w:t>The high-cost source-language reading and reasoning stage intentionally delayed until semantic routing has narrowed the candidate set.</w:t>
            </w:r>
          </w:p>
        </w:tc>
      </w:tr>
    </w:tbl>
    <w:p w14:paraId="26098BBE" w14:textId="77777777" w:rsidR="002C0F08" w:rsidRDefault="002C0F08"/>
    <w:sectPr w:rsidR="00000000" w:rsidSect="00034616">
      <w:headerReference w:type="default" r:id="rId23"/>
      <w:footerReference w:type="default" r:id="rId24"/>
      <w:pgSz w:w="12240" w:h="15840"/>
      <w:pgMar w:top="979" w:right="1094" w:bottom="979" w:left="1094"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D706D" w14:textId="77777777" w:rsidR="002C0F08" w:rsidRDefault="002C0F08">
      <w:pPr>
        <w:spacing w:after="0" w:line="240" w:lineRule="auto"/>
        <w:rPr>
          <w:rFonts w:hint="eastAsia"/>
        </w:rPr>
      </w:pPr>
      <w:r>
        <w:separator/>
      </w:r>
    </w:p>
  </w:endnote>
  <w:endnote w:type="continuationSeparator" w:id="0">
    <w:p w14:paraId="13A81AC7" w14:textId="77777777" w:rsidR="002C0F08" w:rsidRDefault="002C0F08">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49D1" w14:textId="77777777" w:rsidR="00AC1B78" w:rsidRDefault="002C0F08">
    <w:pPr>
      <w:pStyle w:val="Footer"/>
      <w:jc w:val="right"/>
      <w:rPr>
        <w:rFonts w:hint="eastAsia"/>
      </w:rPr>
    </w:pPr>
    <w:r>
      <w:rPr>
        <w:color w:val="6B7785"/>
        <w:sz w:val="14"/>
      </w:rPr>
      <w:t>Semantic Searching through Hierarchical Bitcode Routing, Relevance Fade, and Accreted GROOVE Networks</w:t>
    </w:r>
    <w:r>
      <w:rPr>
        <w:color w:val="6B7785"/>
        <w:sz w:val="16"/>
      </w:rPr>
      <w:fldChar w:fldCharType="begin"/>
    </w:r>
    <w:r>
      <w:rPr>
        <w:color w:val="6B7785"/>
        <w:sz w:val="16"/>
      </w:rPr>
      <w:instrText xml:space="preserve"> PAGE </w:instrText>
    </w:r>
    <w:r>
      <w:rPr>
        <w:color w:val="6B7785"/>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1229C" w14:textId="77777777" w:rsidR="002C0F08" w:rsidRDefault="002C0F08">
      <w:pPr>
        <w:spacing w:after="0" w:line="240" w:lineRule="auto"/>
        <w:rPr>
          <w:rFonts w:hint="eastAsia"/>
        </w:rPr>
      </w:pPr>
      <w:r>
        <w:separator/>
      </w:r>
    </w:p>
  </w:footnote>
  <w:footnote w:type="continuationSeparator" w:id="0">
    <w:p w14:paraId="35893D78" w14:textId="77777777" w:rsidR="002C0F08" w:rsidRDefault="002C0F08">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D5CD8" w14:textId="77777777" w:rsidR="00AC1B78" w:rsidRDefault="002C0F08">
    <w:pPr>
      <w:pStyle w:val="Header"/>
      <w:rPr>
        <w:rFonts w:hint="eastAsia"/>
      </w:rPr>
    </w:pPr>
    <w:r>
      <w:rPr>
        <w:b/>
        <w:color w:val="6B7785"/>
        <w:sz w:val="15"/>
      </w:rPr>
      <w:t>CERBERUS  |  BITS BEFORE TOKENS  |  FORMAL SPECIFICATION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14405367">
    <w:abstractNumId w:val="8"/>
  </w:num>
  <w:num w:numId="2" w16cid:durableId="1580484434">
    <w:abstractNumId w:val="6"/>
  </w:num>
  <w:num w:numId="3" w16cid:durableId="1250970123">
    <w:abstractNumId w:val="5"/>
  </w:num>
  <w:num w:numId="4" w16cid:durableId="2074572764">
    <w:abstractNumId w:val="4"/>
  </w:num>
  <w:num w:numId="5" w16cid:durableId="1185561027">
    <w:abstractNumId w:val="7"/>
  </w:num>
  <w:num w:numId="6" w16cid:durableId="719670995">
    <w:abstractNumId w:val="3"/>
  </w:num>
  <w:num w:numId="7" w16cid:durableId="1838570121">
    <w:abstractNumId w:val="2"/>
  </w:num>
  <w:num w:numId="8" w16cid:durableId="560991618">
    <w:abstractNumId w:val="1"/>
  </w:num>
  <w:num w:numId="9" w16cid:durableId="941500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C0F08"/>
    <w:rsid w:val="00326F90"/>
    <w:rsid w:val="00737FBA"/>
    <w:rsid w:val="00AA1D8D"/>
    <w:rsid w:val="00AC1B7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176C77"/>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rlito" w:hAnsi="Carlito"/>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24D"/>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24D"/>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8A8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24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8761</Words>
  <Characters>49942</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Bits Before Tokens: Semantic Searching through Hierarchical Bitcode Routing, Relevance Fade, and Accreted GROOVE Networks</dc:title>
  <dc:subject>CERBERUS formal specification for semantic retrieval and attention allocation</dc:subject>
  <dc:creator>CERBERUS / User-authored architecture with AI-assisted formalization</dc:creator>
  <cp:keywords>CERBERUS, SOLAR, BIGFOOT, GROOVE, Routing SK, semantic search, Bits Before Tokens, Semantic Fade, 000, 00</cp:keywords>
  <dc:description>Draft formal specification v0.1</dc:description>
  <cp:lastModifiedBy>Shane Conrad</cp:lastModifiedBy>
  <cp:revision>2</cp:revision>
  <dcterms:created xsi:type="dcterms:W3CDTF">2026-08-16T04:05:00Z</dcterms:created>
  <dcterms:modified xsi:type="dcterms:W3CDTF">2026-08-16T04:05:00Z</dcterms:modified>
  <cp:category/>
</cp:coreProperties>
</file>