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DA576" w14:textId="77777777" w:rsidR="007D4762" w:rsidRDefault="00772FB4">
      <w:pPr>
        <w:spacing w:before="1700" w:after="280"/>
        <w:jc w:val="center"/>
        <w:rPr>
          <w:rFonts w:hint="eastAsia"/>
        </w:rPr>
      </w:pPr>
      <w:r>
        <w:rPr>
          <w:rFonts w:eastAsia="Noto Sans" w:cs="Noto Sans"/>
          <w:b/>
          <w:color w:val="15232D"/>
          <w:sz w:val="56"/>
        </w:rPr>
        <w:t>ATLAS ASSOCIATION APPLICATIONS</w:t>
      </w:r>
    </w:p>
    <w:p w14:paraId="2C5175F6" w14:textId="77777777" w:rsidR="007D4762" w:rsidRDefault="00772FB4">
      <w:pPr>
        <w:spacing w:after="160"/>
        <w:jc w:val="center"/>
        <w:rPr>
          <w:rFonts w:hint="eastAsia"/>
        </w:rPr>
      </w:pPr>
      <w:r>
        <w:rPr>
          <w:rFonts w:eastAsia="Noto Sans" w:cs="Noto Sans"/>
          <w:b/>
          <w:color w:val="B4763B"/>
          <w:sz w:val="44"/>
        </w:rPr>
        <w:t>AAA Architecture</w:t>
      </w:r>
    </w:p>
    <w:p w14:paraId="4C272CE4" w14:textId="77777777" w:rsidR="007D4762" w:rsidRDefault="00772FB4">
      <w:pPr>
        <w:spacing w:after="360"/>
        <w:jc w:val="center"/>
        <w:rPr>
          <w:rFonts w:hint="eastAsia"/>
        </w:rPr>
      </w:pPr>
      <w:r>
        <w:rPr>
          <w:rFonts w:eastAsia="Noto Sans" w:cs="Noto Sans"/>
          <w:color w:val="5F6C73"/>
          <w:sz w:val="25"/>
        </w:rPr>
        <w:t>Associative Traversal, Semantic Packets, Modality Transforms,</w:t>
      </w:r>
      <w:r>
        <w:rPr>
          <w:rFonts w:eastAsia="Noto Sans" w:cs="Noto Sans"/>
          <w:color w:val="5F6C73"/>
          <w:sz w:val="25"/>
        </w:rPr>
        <w:br/>
        <w:t>Transient Expression, and Non-Destructive DARTBOARD Projection</w:t>
      </w:r>
    </w:p>
    <w:p w14:paraId="15F20E75" w14:textId="77777777" w:rsidR="007D4762" w:rsidRDefault="00772FB4">
      <w:pPr>
        <w:spacing w:before="640" w:after="600"/>
        <w:jc w:val="center"/>
        <w:rPr>
          <w:rFonts w:hint="eastAsia"/>
        </w:rPr>
      </w:pPr>
      <w:r>
        <w:rPr>
          <w:rFonts w:ascii="DejaVu Sans" w:eastAsia="DejaVu Sans" w:hAnsi="DejaVu Sans" w:cs="DejaVu Sans"/>
          <w:b/>
          <w:color w:val="D1AA3F"/>
          <w:sz w:val="64"/>
        </w:rPr>
        <w:t>⬢</w:t>
      </w:r>
      <w:r>
        <w:rPr>
          <w:rFonts w:ascii="DejaVu Sans" w:eastAsia="DejaVu Sans" w:hAnsi="DejaVu Sans" w:cs="DejaVu Sans"/>
          <w:b/>
          <w:color w:val="D1AA3F"/>
          <w:sz w:val="64"/>
        </w:rPr>
        <w:t xml:space="preserve">    ▪</w:t>
      </w:r>
      <w:r>
        <w:rPr>
          <w:rFonts w:ascii="DejaVu Sans" w:eastAsia="DejaVu Sans" w:hAnsi="DejaVu Sans" w:cs="DejaVu Sans"/>
          <w:b/>
          <w:color w:val="D1AA3F"/>
          <w:sz w:val="64"/>
        </w:rPr>
        <w:t>︎</w:t>
      </w:r>
      <w:r>
        <w:rPr>
          <w:rFonts w:ascii="DejaVu Sans" w:eastAsia="DejaVu Sans" w:hAnsi="DejaVu Sans" w:cs="DejaVu Sans"/>
          <w:b/>
          <w:color w:val="D1AA3F"/>
          <w:sz w:val="64"/>
        </w:rPr>
        <w:t>-&gt;    x▪</w:t>
      </w:r>
      <w:r>
        <w:rPr>
          <w:rFonts w:ascii="DejaVu Sans" w:eastAsia="DejaVu Sans" w:hAnsi="DejaVu Sans" w:cs="DejaVu Sans"/>
          <w:b/>
          <w:color w:val="D1AA3F"/>
          <w:sz w:val="64"/>
        </w:rPr>
        <w:t>︎</w:t>
      </w:r>
      <w:r>
        <w:rPr>
          <w:rFonts w:ascii="DejaVu Sans" w:eastAsia="DejaVu Sans" w:hAnsi="DejaVu Sans" w:cs="DejaVu Sans"/>
          <w:b/>
          <w:color w:val="D1AA3F"/>
          <w:sz w:val="64"/>
        </w:rPr>
        <w:t xml:space="preserve">x    </w:t>
      </w:r>
      <w:r>
        <w:rPr>
          <w:rFonts w:ascii="DejaVu Sans" w:eastAsia="DejaVu Sans" w:hAnsi="DejaVu Sans" w:cs="DejaVu Sans"/>
          <w:b/>
          <w:color w:val="D1AA3F"/>
          <w:sz w:val="64"/>
        </w:rPr>
        <w:t>⬢</w:t>
      </w:r>
      <w:r>
        <w:rPr>
          <w:rFonts w:ascii="DejaVu Sans" w:eastAsia="DejaVu Sans" w:hAnsi="DejaVu Sans" w:cs="DejaVu Sans"/>
          <w:b/>
          <w:color w:val="D1AA3F"/>
          <w:sz w:val="64"/>
        </w:rPr>
        <w:t>▪</w:t>
      </w:r>
      <w:r>
        <w:rPr>
          <w:rFonts w:ascii="DejaVu Sans" w:eastAsia="DejaVu Sans" w:hAnsi="DejaVu Sans" w:cs="DejaVu Sans"/>
          <w:b/>
          <w:color w:val="D1AA3F"/>
          <w:sz w:val="64"/>
        </w:rPr>
        <w:t>︎</w:t>
      </w:r>
      <w:r>
        <w:rPr>
          <w:rFonts w:ascii="DejaVu Sans" w:eastAsia="DejaVu Sans" w:hAnsi="DejaVu Sans" w:cs="DejaVu Sans"/>
          <w:b/>
          <w:color w:val="D1AA3F"/>
          <w:sz w:val="64"/>
        </w:rPr>
        <w:t>⬢</w:t>
      </w:r>
    </w:p>
    <w:tbl>
      <w:tblPr>
        <w:tblW w:w="0" w:type="auto"/>
        <w:jc w:val="center"/>
        <w:tblLayout w:type="fixed"/>
        <w:tblLook w:val="04A0" w:firstRow="1" w:lastRow="0" w:firstColumn="1" w:lastColumn="0" w:noHBand="0" w:noVBand="1"/>
      </w:tblPr>
      <w:tblGrid>
        <w:gridCol w:w="9878"/>
      </w:tblGrid>
      <w:tr w:rsidR="007D4762" w14:paraId="54866E04"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02215A00" w14:textId="77777777" w:rsidR="007D4762" w:rsidRDefault="00772FB4">
            <w:pPr>
              <w:spacing w:after="0" w:line="283" w:lineRule="auto"/>
              <w:rPr>
                <w:rFonts w:hint="eastAsia"/>
              </w:rPr>
            </w:pPr>
            <w:r>
              <w:rPr>
                <w:rFonts w:eastAsia="Noto Sans" w:cs="Noto Sans"/>
                <w:b/>
                <w:color w:val="B4763B"/>
              </w:rPr>
              <w:t>CORE THESIS</w:t>
            </w:r>
            <w:r>
              <w:br/>
            </w:r>
            <w:r>
              <w:rPr>
                <w:rFonts w:eastAsia="Noto Sans" w:cs="Noto Sans"/>
                <w:color w:val="24323A"/>
                <w:sz w:val="20"/>
              </w:rPr>
              <w:t>AAA does not redefine canonical data. It associates existing system state and capabilities with optional, transient perceptual projections. Capability chooses what can be surfaced; Packet carries the selected semantic state; Transform maps that state across modalities; Expression is the resolved output.</w:t>
            </w:r>
          </w:p>
        </w:tc>
      </w:tr>
    </w:tbl>
    <w:p w14:paraId="44377C40" w14:textId="77777777" w:rsidR="007D4762" w:rsidRDefault="007D4762">
      <w:pPr>
        <w:spacing w:after="40"/>
        <w:rPr>
          <w:rFonts w:hint="eastAsia"/>
        </w:rPr>
      </w:pPr>
    </w:p>
    <w:p w14:paraId="1FA68A34" w14:textId="77777777" w:rsidR="007D4762" w:rsidRDefault="00772FB4">
      <w:pPr>
        <w:spacing w:before="840"/>
        <w:jc w:val="center"/>
        <w:rPr>
          <w:rFonts w:hint="eastAsia"/>
        </w:rPr>
      </w:pPr>
      <w:r>
        <w:rPr>
          <w:rFonts w:eastAsia="Noto Sans" w:cs="Noto Sans"/>
          <w:color w:val="5F6C73"/>
          <w:sz w:val="19"/>
        </w:rPr>
        <w:t>Architecture Paper  ·  Version 0.1  ·  August 2026</w:t>
      </w:r>
    </w:p>
    <w:p w14:paraId="5310B665" w14:textId="77777777" w:rsidR="007D4762" w:rsidRDefault="00772FB4">
      <w:pPr>
        <w:rPr>
          <w:rFonts w:hint="eastAsia"/>
        </w:rPr>
      </w:pPr>
      <w:r>
        <w:br w:type="page"/>
      </w:r>
    </w:p>
    <w:p w14:paraId="433221CC" w14:textId="77777777" w:rsidR="007D4762" w:rsidRDefault="00772FB4">
      <w:pPr>
        <w:pStyle w:val="Heading1"/>
      </w:pPr>
      <w:r>
        <w:t>Abstract</w:t>
      </w:r>
    </w:p>
    <w:p w14:paraId="75477888" w14:textId="77777777" w:rsidR="007D4762" w:rsidRDefault="00772FB4">
      <w:pPr>
        <w:spacing w:after="140" w:line="278" w:lineRule="auto"/>
        <w:rPr>
          <w:rFonts w:hint="eastAsia"/>
        </w:rPr>
      </w:pPr>
      <w:r>
        <w:rPr>
          <w:rFonts w:eastAsia="Noto Sans" w:cs="Noto Sans"/>
          <w:color w:val="24323A"/>
        </w:rPr>
        <w:t>Atlas Association Applications (AAA) define an optional application layer for turning existing CERBERUS state, relationships, BitGroup values, and capabilities into user-facing experiences without changing the canonical structures beneath them. AAA can be analytical, instructional, ambient, social, or deliberately playful. Its defining property is non-destructive projection: disabling an AAA removes its perceptual layer while leaving the underlying records, semantics, permissions, and operational state inta</w:t>
      </w:r>
      <w:r>
        <w:rPr>
          <w:rFonts w:eastAsia="Noto Sans" w:cs="Noto Sans"/>
          <w:color w:val="24323A"/>
        </w:rPr>
        <w:t>ct.</w:t>
      </w:r>
    </w:p>
    <w:p w14:paraId="51E7E90C" w14:textId="77777777" w:rsidR="007D4762" w:rsidRDefault="00772FB4">
      <w:pPr>
        <w:spacing w:after="140" w:line="278" w:lineRule="auto"/>
        <w:rPr>
          <w:rFonts w:hint="eastAsia"/>
        </w:rPr>
      </w:pPr>
      <w:r>
        <w:rPr>
          <w:rFonts w:eastAsia="Noto Sans" w:cs="Noto Sans"/>
          <w:color w:val="24323A"/>
        </w:rPr>
        <w:t>The architecture is centered on a compact runtime grammar: Capability → Packet → Transform → Expression. A Capability exposes something the system can surface. The Packet notation ▪</w:t>
      </w:r>
      <w:r>
        <w:rPr>
          <w:rFonts w:eastAsia="Noto Sans" w:cs="Noto Sans"/>
          <w:color w:val="24323A"/>
        </w:rPr>
        <w:t>︎</w:t>
      </w:r>
      <w:r>
        <w:rPr>
          <w:rFonts w:eastAsia="Noto Sans" w:cs="Noto Sans"/>
          <w:color w:val="24323A"/>
        </w:rPr>
        <w:t>-&gt; denotes semantic state being sent for expression. The Transform notation x▪</w:t>
      </w:r>
      <w:r>
        <w:rPr>
          <w:rFonts w:eastAsia="Noto Sans" w:cs="Noto Sans"/>
          <w:color w:val="24323A"/>
        </w:rPr>
        <w:t>︎</w:t>
      </w:r>
      <w:r>
        <w:rPr>
          <w:rFonts w:eastAsia="Noto Sans" w:cs="Noto Sans"/>
          <w:color w:val="24323A"/>
        </w:rPr>
        <w:t>x denotes the mapping that converts the Packet into one or more target modality values. A single returned value is an Expression; multiple returned values form an Expression Bundle. For scalar BitGroups, transforms can map decoded values through explicit formulas into target dimensions such as color, particle spacing, particle speed, size, motion, sound, or other EFFECTS-supported modalities.</w:t>
      </w:r>
    </w:p>
    <w:p w14:paraId="48E463ED" w14:textId="77777777" w:rsidR="007D4762" w:rsidRDefault="00772FB4">
      <w:pPr>
        <w:spacing w:after="140" w:line="278" w:lineRule="auto"/>
        <w:rPr>
          <w:rFonts w:hint="eastAsia"/>
        </w:rPr>
      </w:pPr>
      <w:r>
        <w:rPr>
          <w:rFonts w:eastAsia="Noto Sans" w:cs="Noto Sans"/>
          <w:color w:val="24323A"/>
        </w:rPr>
        <w:t>AAA therefore separates semantic rigor from experiential freedom. The Registry can remain exact while DARTBOARD and AVA become highly plastic. The same mechanism can support Semantic Zoom, Review, musical visualization, nutrition particles, profanity painting, AVA-to-AVA social interactions, or intentionally absurd graph projections. Because the projection is optional and bounded, playfulness need not contaminate system truth.</w:t>
      </w:r>
    </w:p>
    <w:p w14:paraId="7CDA4A85" w14:textId="77777777" w:rsidR="007D4762" w:rsidRDefault="00772FB4">
      <w:pPr>
        <w:keepNext/>
        <w:spacing w:before="120" w:after="40"/>
        <w:jc w:val="center"/>
        <w:rPr>
          <w:rFonts w:hint="eastAsia"/>
        </w:rPr>
      </w:pPr>
      <w:r>
        <w:rPr>
          <w:noProof/>
        </w:rPr>
        <w:drawing>
          <wp:inline distT="0" distB="0" distL="0" distR="0" wp14:anchorId="6C60DFEB" wp14:editId="5B7B30C2">
            <wp:extent cx="5989320" cy="26524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optional.png"/>
                    <pic:cNvPicPr/>
                  </pic:nvPicPr>
                  <pic:blipFill>
                    <a:blip r:embed="rId8"/>
                    <a:stretch>
                      <a:fillRect/>
                    </a:stretch>
                  </pic:blipFill>
                  <pic:spPr>
                    <a:xfrm>
                      <a:off x="0" y="0"/>
                      <a:ext cx="5989320" cy="2652413"/>
                    </a:xfrm>
                    <a:prstGeom prst="rect">
                      <a:avLst/>
                    </a:prstGeom>
                  </pic:spPr>
                </pic:pic>
              </a:graphicData>
            </a:graphic>
          </wp:inline>
        </w:drawing>
      </w:r>
    </w:p>
    <w:p w14:paraId="5D69BED6" w14:textId="77777777" w:rsidR="007D4762" w:rsidRDefault="00772FB4">
      <w:pPr>
        <w:spacing w:before="80" w:after="120"/>
        <w:jc w:val="center"/>
        <w:rPr>
          <w:rFonts w:hint="eastAsia"/>
        </w:rPr>
      </w:pPr>
      <w:r>
        <w:rPr>
          <w:rFonts w:eastAsia="Noto Sans" w:cs="Noto Sans"/>
          <w:b/>
          <w:color w:val="5F6C73"/>
          <w:sz w:val="18"/>
        </w:rPr>
        <w:t>Figure 1. AAA as a removable projection layer.</w:t>
      </w:r>
    </w:p>
    <w:p w14:paraId="3CCAEE96" w14:textId="77777777" w:rsidR="007D4762" w:rsidRDefault="00772FB4">
      <w:pPr>
        <w:pStyle w:val="Heading1"/>
      </w:pPr>
      <w:r>
        <w:t>Paper Map</w:t>
      </w:r>
    </w:p>
    <w:tbl>
      <w:tblPr>
        <w:tblW w:w="0" w:type="auto"/>
        <w:jc w:val="center"/>
        <w:tblLayout w:type="fixed"/>
        <w:tblLook w:val="04A0" w:firstRow="1" w:lastRow="0" w:firstColumn="1" w:lastColumn="0" w:noHBand="0" w:noVBand="1"/>
      </w:tblPr>
      <w:tblGrid>
        <w:gridCol w:w="4939"/>
        <w:gridCol w:w="8208"/>
      </w:tblGrid>
      <w:tr w:rsidR="007D4762" w14:paraId="28C2D367" w14:textId="77777777">
        <w:trPr>
          <w:tblHeader/>
          <w:jc w:val="center"/>
        </w:trPr>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502FB7F9" w14:textId="77777777" w:rsidR="007D4762" w:rsidRDefault="00772FB4">
            <w:pPr>
              <w:spacing w:after="0" w:line="252" w:lineRule="auto"/>
              <w:jc w:val="center"/>
              <w:rPr>
                <w:rFonts w:hint="eastAsia"/>
              </w:rPr>
            </w:pPr>
            <w:r>
              <w:rPr>
                <w:rFonts w:eastAsia="Noto Sans" w:cs="Noto Sans"/>
                <w:b/>
                <w:color w:val="FFFFFF"/>
                <w:sz w:val="18"/>
              </w:rPr>
              <w:t>Part</w:t>
            </w:r>
          </w:p>
        </w:tc>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51B1B03C" w14:textId="77777777" w:rsidR="007D4762" w:rsidRDefault="00772FB4">
            <w:pPr>
              <w:spacing w:after="0" w:line="252" w:lineRule="auto"/>
              <w:jc w:val="center"/>
              <w:rPr>
                <w:rFonts w:hint="eastAsia"/>
              </w:rPr>
            </w:pPr>
            <w:r>
              <w:rPr>
                <w:rFonts w:eastAsia="Noto Sans" w:cs="Noto Sans"/>
                <w:b/>
                <w:color w:val="FFFFFF"/>
                <w:sz w:val="18"/>
              </w:rPr>
              <w:t>Focus</w:t>
            </w:r>
          </w:p>
        </w:tc>
      </w:tr>
      <w:tr w:rsidR="007D4762" w14:paraId="0318A99F"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534D595" w14:textId="77777777" w:rsidR="007D4762" w:rsidRDefault="00772FB4">
            <w:pPr>
              <w:spacing w:after="0" w:line="259" w:lineRule="auto"/>
              <w:jc w:val="center"/>
              <w:rPr>
                <w:rFonts w:hint="eastAsia"/>
              </w:rPr>
            </w:pPr>
            <w:r>
              <w:rPr>
                <w:rFonts w:eastAsia="Noto Sans" w:cs="Noto Sans"/>
                <w:color w:val="24323A"/>
                <w:sz w:val="18"/>
              </w:rPr>
              <w:t>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6F293B0" w14:textId="77777777" w:rsidR="007D4762" w:rsidRDefault="00772FB4">
            <w:pPr>
              <w:spacing w:after="0" w:line="259" w:lineRule="auto"/>
              <w:rPr>
                <w:rFonts w:hint="eastAsia"/>
              </w:rPr>
            </w:pPr>
            <w:r>
              <w:rPr>
                <w:rFonts w:eastAsia="Noto Sans" w:cs="Noto Sans"/>
                <w:color w:val="24323A"/>
                <w:sz w:val="18"/>
              </w:rPr>
              <w:t>Architectural position and optionality</w:t>
            </w:r>
          </w:p>
        </w:tc>
      </w:tr>
      <w:tr w:rsidR="007D4762" w14:paraId="0075E66C"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42FF4B4" w14:textId="77777777" w:rsidR="007D4762" w:rsidRDefault="00772FB4">
            <w:pPr>
              <w:spacing w:after="0" w:line="259" w:lineRule="auto"/>
              <w:jc w:val="center"/>
              <w:rPr>
                <w:rFonts w:hint="eastAsia"/>
              </w:rPr>
            </w:pPr>
            <w:r>
              <w:rPr>
                <w:rFonts w:eastAsia="Noto Sans" w:cs="Noto Sans"/>
                <w:color w:val="24323A"/>
                <w:sz w:val="18"/>
              </w:rPr>
              <w:t>II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ECB8339" w14:textId="77777777" w:rsidR="007D4762" w:rsidRDefault="00772FB4">
            <w:pPr>
              <w:spacing w:after="0" w:line="259" w:lineRule="auto"/>
              <w:rPr>
                <w:rFonts w:hint="eastAsia"/>
              </w:rPr>
            </w:pPr>
            <w:r>
              <w:rPr>
                <w:rFonts w:eastAsia="Noto Sans" w:cs="Noto Sans"/>
                <w:color w:val="24323A"/>
                <w:sz w:val="18"/>
              </w:rPr>
              <w:t>AAA symbolic language</w:t>
            </w:r>
          </w:p>
        </w:tc>
      </w:tr>
      <w:tr w:rsidR="007D4762" w14:paraId="4754379E"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6156000" w14:textId="77777777" w:rsidR="007D4762" w:rsidRDefault="00772FB4">
            <w:pPr>
              <w:spacing w:after="0" w:line="259" w:lineRule="auto"/>
              <w:jc w:val="center"/>
              <w:rPr>
                <w:rFonts w:hint="eastAsia"/>
              </w:rPr>
            </w:pPr>
            <w:r>
              <w:rPr>
                <w:rFonts w:eastAsia="Noto Sans" w:cs="Noto Sans"/>
                <w:color w:val="24323A"/>
                <w:sz w:val="18"/>
              </w:rPr>
              <w:t>III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D10C4A1" w14:textId="77777777" w:rsidR="007D4762" w:rsidRDefault="00772FB4">
            <w:pPr>
              <w:spacing w:after="0" w:line="259" w:lineRule="auto"/>
              <w:rPr>
                <w:rFonts w:hint="eastAsia"/>
              </w:rPr>
            </w:pPr>
            <w:r>
              <w:rPr>
                <w:rFonts w:eastAsia="Noto Sans" w:cs="Noto Sans"/>
                <w:color w:val="24323A"/>
                <w:sz w:val="18"/>
              </w:rPr>
              <w:t>Capability, Packet, Transform, Expression runtime grammar</w:t>
            </w:r>
          </w:p>
        </w:tc>
      </w:tr>
      <w:tr w:rsidR="007D4762" w14:paraId="37369C62"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4E68E28" w14:textId="77777777" w:rsidR="007D4762" w:rsidRDefault="00772FB4">
            <w:pPr>
              <w:spacing w:after="0" w:line="259" w:lineRule="auto"/>
              <w:jc w:val="center"/>
              <w:rPr>
                <w:rFonts w:hint="eastAsia"/>
              </w:rPr>
            </w:pPr>
            <w:r>
              <w:rPr>
                <w:rFonts w:eastAsia="Noto Sans" w:cs="Noto Sans"/>
                <w:color w:val="24323A"/>
                <w:sz w:val="18"/>
              </w:rPr>
              <w:t>IV</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BE83B46" w14:textId="77777777" w:rsidR="007D4762" w:rsidRDefault="00772FB4">
            <w:pPr>
              <w:spacing w:after="0" w:line="259" w:lineRule="auto"/>
              <w:rPr>
                <w:rFonts w:hint="eastAsia"/>
              </w:rPr>
            </w:pPr>
            <w:r>
              <w:rPr>
                <w:rFonts w:eastAsia="Noto Sans" w:cs="Noto Sans"/>
                <w:color w:val="24323A"/>
                <w:sz w:val="18"/>
              </w:rPr>
              <w:t>Scalar BitGroup transforms and modality mapping</w:t>
            </w:r>
          </w:p>
        </w:tc>
      </w:tr>
      <w:tr w:rsidR="007D4762" w14:paraId="2860E19A"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51A3F08" w14:textId="77777777" w:rsidR="007D4762" w:rsidRDefault="00772FB4">
            <w:pPr>
              <w:spacing w:after="0" w:line="259" w:lineRule="auto"/>
              <w:jc w:val="center"/>
              <w:rPr>
                <w:rFonts w:hint="eastAsia"/>
              </w:rPr>
            </w:pPr>
            <w:r>
              <w:rPr>
                <w:rFonts w:eastAsia="Noto Sans" w:cs="Noto Sans"/>
                <w:color w:val="24323A"/>
                <w:sz w:val="18"/>
              </w:rPr>
              <w:t>V</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AF0F12C" w14:textId="77777777" w:rsidR="007D4762" w:rsidRDefault="00772FB4">
            <w:pPr>
              <w:spacing w:after="0" w:line="259" w:lineRule="auto"/>
              <w:rPr>
                <w:rFonts w:hint="eastAsia"/>
              </w:rPr>
            </w:pPr>
            <w:r>
              <w:rPr>
                <w:rFonts w:eastAsia="Noto Sans" w:cs="Noto Sans"/>
                <w:color w:val="24323A"/>
                <w:sz w:val="18"/>
              </w:rPr>
              <w:t>Expression lifecycle and non-destructive boundaries</w:t>
            </w:r>
          </w:p>
        </w:tc>
      </w:tr>
      <w:tr w:rsidR="007D4762" w14:paraId="4CCDDEA4"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7BBA8C3" w14:textId="77777777" w:rsidR="007D4762" w:rsidRDefault="00772FB4">
            <w:pPr>
              <w:spacing w:after="0" w:line="259" w:lineRule="auto"/>
              <w:jc w:val="center"/>
              <w:rPr>
                <w:rFonts w:hint="eastAsia"/>
              </w:rPr>
            </w:pPr>
            <w:r>
              <w:rPr>
                <w:rFonts w:eastAsia="Noto Sans" w:cs="Noto Sans"/>
                <w:color w:val="24323A"/>
                <w:sz w:val="18"/>
              </w:rPr>
              <w:t>VI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546162E" w14:textId="77777777" w:rsidR="007D4762" w:rsidRDefault="00772FB4">
            <w:pPr>
              <w:spacing w:after="0" w:line="259" w:lineRule="auto"/>
              <w:rPr>
                <w:rFonts w:hint="eastAsia"/>
              </w:rPr>
            </w:pPr>
            <w:r>
              <w:rPr>
                <w:rFonts w:eastAsia="Noto Sans" w:cs="Noto Sans"/>
                <w:color w:val="24323A"/>
                <w:sz w:val="18"/>
              </w:rPr>
              <w:t>Record-driven composition tables</w:t>
            </w:r>
          </w:p>
        </w:tc>
      </w:tr>
      <w:tr w:rsidR="007D4762" w14:paraId="72599E9C"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0E3240E" w14:textId="77777777" w:rsidR="007D4762" w:rsidRDefault="00772FB4">
            <w:pPr>
              <w:spacing w:after="0" w:line="259" w:lineRule="auto"/>
              <w:jc w:val="center"/>
              <w:rPr>
                <w:rFonts w:hint="eastAsia"/>
              </w:rPr>
            </w:pPr>
            <w:r>
              <w:rPr>
                <w:rFonts w:eastAsia="Noto Sans" w:cs="Noto Sans"/>
                <w:color w:val="24323A"/>
                <w:sz w:val="18"/>
              </w:rPr>
              <w:t>VII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4EAE4D4" w14:textId="77777777" w:rsidR="007D4762" w:rsidRDefault="00772FB4">
            <w:pPr>
              <w:spacing w:after="0" w:line="259" w:lineRule="auto"/>
              <w:rPr>
                <w:rFonts w:hint="eastAsia"/>
              </w:rPr>
            </w:pPr>
            <w:r>
              <w:rPr>
                <w:rFonts w:eastAsia="Noto Sans" w:cs="Noto Sans"/>
                <w:color w:val="24323A"/>
                <w:sz w:val="18"/>
              </w:rPr>
              <w:t>AVA embodiment and DARTBOARD projection</w:t>
            </w:r>
          </w:p>
        </w:tc>
      </w:tr>
      <w:tr w:rsidR="007D4762" w14:paraId="5688D221"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326C1C7" w14:textId="77777777" w:rsidR="007D4762" w:rsidRDefault="00772FB4">
            <w:pPr>
              <w:spacing w:after="0" w:line="259" w:lineRule="auto"/>
              <w:jc w:val="center"/>
              <w:rPr>
                <w:rFonts w:hint="eastAsia"/>
              </w:rPr>
            </w:pPr>
            <w:r>
              <w:rPr>
                <w:rFonts w:eastAsia="Noto Sans" w:cs="Noto Sans"/>
                <w:color w:val="24323A"/>
                <w:sz w:val="18"/>
              </w:rPr>
              <w:t>VIII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0E4D9EB" w14:textId="77777777" w:rsidR="007D4762" w:rsidRDefault="00772FB4">
            <w:pPr>
              <w:spacing w:after="0" w:line="259" w:lineRule="auto"/>
              <w:rPr>
                <w:rFonts w:hint="eastAsia"/>
              </w:rPr>
            </w:pPr>
            <w:r>
              <w:rPr>
                <w:rFonts w:eastAsia="Noto Sans" w:cs="Noto Sans"/>
                <w:color w:val="24323A"/>
                <w:sz w:val="18"/>
              </w:rPr>
              <w:t>Interoperability with DRAGON, EFFECTS, and BOOTSTRAP</w:t>
            </w:r>
          </w:p>
        </w:tc>
      </w:tr>
      <w:tr w:rsidR="007D4762" w14:paraId="4D51F450"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9F219F2" w14:textId="77777777" w:rsidR="007D4762" w:rsidRDefault="00772FB4">
            <w:pPr>
              <w:spacing w:after="0" w:line="259" w:lineRule="auto"/>
              <w:jc w:val="center"/>
              <w:rPr>
                <w:rFonts w:hint="eastAsia"/>
              </w:rPr>
            </w:pPr>
            <w:r>
              <w:rPr>
                <w:rFonts w:eastAsia="Noto Sans" w:cs="Noto Sans"/>
                <w:color w:val="24323A"/>
                <w:sz w:val="18"/>
              </w:rPr>
              <w:t>IX</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7DA5093" w14:textId="77777777" w:rsidR="007D4762" w:rsidRDefault="00772FB4">
            <w:pPr>
              <w:spacing w:after="0" w:line="259" w:lineRule="auto"/>
              <w:rPr>
                <w:rFonts w:hint="eastAsia"/>
              </w:rPr>
            </w:pPr>
            <w:r>
              <w:rPr>
                <w:rFonts w:eastAsia="Noto Sans" w:cs="Noto Sans"/>
                <w:color w:val="24323A"/>
                <w:sz w:val="18"/>
              </w:rPr>
              <w:t>Worked AAA applications</w:t>
            </w:r>
          </w:p>
        </w:tc>
      </w:tr>
      <w:tr w:rsidR="007D4762" w14:paraId="22923A20"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C1683E4" w14:textId="77777777" w:rsidR="007D4762" w:rsidRDefault="00772FB4">
            <w:pPr>
              <w:spacing w:after="0" w:line="259" w:lineRule="auto"/>
              <w:jc w:val="center"/>
              <w:rPr>
                <w:rFonts w:hint="eastAsia"/>
              </w:rPr>
            </w:pPr>
            <w:r>
              <w:rPr>
                <w:rFonts w:eastAsia="Noto Sans" w:cs="Noto Sans"/>
                <w:color w:val="24323A"/>
                <w:sz w:val="18"/>
              </w:rPr>
              <w:t>X</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6CEB212" w14:textId="77777777" w:rsidR="007D4762" w:rsidRDefault="00772FB4">
            <w:pPr>
              <w:spacing w:after="0" w:line="259" w:lineRule="auto"/>
              <w:rPr>
                <w:rFonts w:hint="eastAsia"/>
              </w:rPr>
            </w:pPr>
            <w:r>
              <w:rPr>
                <w:rFonts w:eastAsia="Noto Sans" w:cs="Noto Sans"/>
                <w:color w:val="24323A"/>
                <w:sz w:val="18"/>
              </w:rPr>
              <w:t>Shared workspaces, social scope, and permissions</w:t>
            </w:r>
          </w:p>
        </w:tc>
      </w:tr>
      <w:tr w:rsidR="007D4762" w14:paraId="405EBDA2"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ECCB271" w14:textId="77777777" w:rsidR="007D4762" w:rsidRDefault="00772FB4">
            <w:pPr>
              <w:spacing w:after="0" w:line="259" w:lineRule="auto"/>
              <w:jc w:val="center"/>
              <w:rPr>
                <w:rFonts w:hint="eastAsia"/>
              </w:rPr>
            </w:pPr>
            <w:r>
              <w:rPr>
                <w:rFonts w:eastAsia="Noto Sans" w:cs="Noto Sans"/>
                <w:color w:val="24323A"/>
                <w:sz w:val="18"/>
              </w:rPr>
              <w:t>XI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DE68A91" w14:textId="77777777" w:rsidR="007D4762" w:rsidRDefault="00772FB4">
            <w:pPr>
              <w:spacing w:after="0" w:line="259" w:lineRule="auto"/>
              <w:rPr>
                <w:rFonts w:hint="eastAsia"/>
              </w:rPr>
            </w:pPr>
            <w:r>
              <w:rPr>
                <w:rFonts w:eastAsia="Noto Sans" w:cs="Noto Sans"/>
                <w:color w:val="24323A"/>
                <w:sz w:val="18"/>
              </w:rPr>
              <w:t>Reuse, scaling, and design laws</w:t>
            </w:r>
          </w:p>
        </w:tc>
      </w:tr>
      <w:tr w:rsidR="007D4762" w14:paraId="6EBBAF70" w14:textId="77777777">
        <w:trPr>
          <w:cantSplit/>
          <w:jc w:val="center"/>
        </w:trPr>
        <w:tc>
          <w:tcPr>
            <w:tcW w:w="10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D9DCB58" w14:textId="77777777" w:rsidR="007D4762" w:rsidRDefault="00772FB4">
            <w:pPr>
              <w:spacing w:after="0" w:line="259" w:lineRule="auto"/>
              <w:jc w:val="center"/>
              <w:rPr>
                <w:rFonts w:hint="eastAsia"/>
              </w:rPr>
            </w:pPr>
            <w:r>
              <w:rPr>
                <w:rFonts w:eastAsia="Noto Sans" w:cs="Noto Sans"/>
                <w:color w:val="24323A"/>
                <w:sz w:val="18"/>
              </w:rPr>
              <w:t>XII</w:t>
            </w:r>
          </w:p>
        </w:tc>
        <w:tc>
          <w:tcPr>
            <w:tcW w:w="82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98E9A20" w14:textId="77777777" w:rsidR="007D4762" w:rsidRDefault="00772FB4">
            <w:pPr>
              <w:spacing w:after="0" w:line="259" w:lineRule="auto"/>
              <w:rPr>
                <w:rFonts w:hint="eastAsia"/>
              </w:rPr>
            </w:pPr>
            <w:r>
              <w:rPr>
                <w:rFonts w:eastAsia="Noto Sans" w:cs="Noto Sans"/>
                <w:color w:val="24323A"/>
                <w:sz w:val="18"/>
              </w:rPr>
              <w:t>Implementation reference and complete architecture</w:t>
            </w:r>
          </w:p>
        </w:tc>
      </w:tr>
    </w:tbl>
    <w:p w14:paraId="31465898" w14:textId="77777777" w:rsidR="007D4762" w:rsidRDefault="007D4762">
      <w:pPr>
        <w:spacing w:after="80"/>
        <w:rPr>
          <w:rFonts w:hint="eastAsia"/>
        </w:rPr>
      </w:pPr>
    </w:p>
    <w:p w14:paraId="72C19143" w14:textId="77777777" w:rsidR="007D4762" w:rsidRDefault="00772FB4">
      <w:pPr>
        <w:rPr>
          <w:rFonts w:hint="eastAsia"/>
        </w:rPr>
      </w:pPr>
      <w:r>
        <w:br w:type="page"/>
      </w:r>
    </w:p>
    <w:p w14:paraId="06EEB393" w14:textId="77777777" w:rsidR="007D4762" w:rsidRDefault="00772FB4">
      <w:pPr>
        <w:pStyle w:val="Heading1"/>
      </w:pPr>
      <w:r>
        <w:t>I. Architectural Position</w:t>
      </w:r>
    </w:p>
    <w:p w14:paraId="0E6BC807" w14:textId="77777777" w:rsidR="007D4762" w:rsidRDefault="00772FB4">
      <w:pPr>
        <w:spacing w:after="140" w:line="278" w:lineRule="auto"/>
        <w:rPr>
          <w:rFonts w:hint="eastAsia"/>
        </w:rPr>
      </w:pPr>
      <w:r>
        <w:rPr>
          <w:rFonts w:eastAsia="Noto Sans" w:cs="Noto Sans"/>
          <w:color w:val="24323A"/>
        </w:rPr>
        <w:t>AAA sits above the structures required for CERBERUS to function. It is intentionally inconsequential to canonical system operation: Registries, BitWords, routing, Models, Rules, Operators, BOOTSTRAP context, DARTBOARD resolution, and other core mechanisms remain valid whether every AAA is enabled or disabled. This is not a weakness of the layer; it is its central safety property.</w:t>
      </w:r>
    </w:p>
    <w:tbl>
      <w:tblPr>
        <w:tblW w:w="0" w:type="auto"/>
        <w:jc w:val="center"/>
        <w:tblLayout w:type="fixed"/>
        <w:tblLook w:val="04A0" w:firstRow="1" w:lastRow="0" w:firstColumn="1" w:lastColumn="0" w:noHBand="0" w:noVBand="1"/>
      </w:tblPr>
      <w:tblGrid>
        <w:gridCol w:w="9878"/>
      </w:tblGrid>
      <w:tr w:rsidR="007D4762" w14:paraId="14FFCE92"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57E55BCE" w14:textId="77777777" w:rsidR="007D4762" w:rsidRDefault="00772FB4">
            <w:pPr>
              <w:spacing w:after="0" w:line="283" w:lineRule="auto"/>
              <w:rPr>
                <w:rFonts w:hint="eastAsia"/>
              </w:rPr>
            </w:pPr>
            <w:r>
              <w:rPr>
                <w:rFonts w:eastAsia="Noto Sans" w:cs="Noto Sans"/>
                <w:b/>
                <w:color w:val="B4763B"/>
              </w:rPr>
              <w:t>AAA-L01 · NON-DESTRUCTIVE PROJECTION</w:t>
            </w:r>
            <w:r>
              <w:br/>
            </w:r>
            <w:r>
              <w:rPr>
                <w:rFonts w:eastAsia="Noto Sans" w:cs="Noto Sans"/>
                <w:color w:val="24323A"/>
                <w:sz w:val="20"/>
              </w:rPr>
              <w:t>A conforming AAA may change what the user perceives, but it does not silently redefine the canonical meaning of the source object being projected.</w:t>
            </w:r>
          </w:p>
        </w:tc>
      </w:tr>
    </w:tbl>
    <w:p w14:paraId="34A47D9F" w14:textId="77777777" w:rsidR="007D4762" w:rsidRDefault="007D4762">
      <w:pPr>
        <w:spacing w:after="40"/>
        <w:rPr>
          <w:rFonts w:hint="eastAsia"/>
        </w:rPr>
      </w:pPr>
    </w:p>
    <w:p w14:paraId="25741AA6" w14:textId="77777777" w:rsidR="007D4762" w:rsidRDefault="00772FB4">
      <w:pPr>
        <w:spacing w:after="140" w:line="278" w:lineRule="auto"/>
        <w:rPr>
          <w:rFonts w:hint="eastAsia"/>
        </w:rPr>
      </w:pPr>
      <w:r>
        <w:rPr>
          <w:rFonts w:eastAsia="Noto Sans" w:cs="Noto Sans"/>
          <w:color w:val="24323A"/>
        </w:rPr>
        <w:t>The consequence is unusual freedom. An AAA may paint over a word without rewriting it, annotate a record without editing it, turn a scalar into particles, or send an AVA across a shared workspace to bother a collaborator. The underlying system remains inspectable and reconstructable.</w:t>
      </w:r>
    </w:p>
    <w:p w14:paraId="722F1CA1" w14:textId="77777777" w:rsidR="007D4762" w:rsidRDefault="00772FB4">
      <w:pPr>
        <w:keepNext/>
        <w:spacing w:before="120" w:after="40"/>
        <w:jc w:val="center"/>
        <w:rPr>
          <w:rFonts w:hint="eastAsia"/>
        </w:rPr>
      </w:pPr>
      <w:r>
        <w:rPr>
          <w:noProof/>
        </w:rPr>
        <w:drawing>
          <wp:inline distT="0" distB="0" distL="0" distR="0" wp14:anchorId="200A678F" wp14:editId="4A338DB3">
            <wp:extent cx="5989320" cy="26524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emblem.png"/>
                    <pic:cNvPicPr/>
                  </pic:nvPicPr>
                  <pic:blipFill>
                    <a:blip r:embed="rId9"/>
                    <a:stretch>
                      <a:fillRect/>
                    </a:stretch>
                  </pic:blipFill>
                  <pic:spPr>
                    <a:xfrm>
                      <a:off x="0" y="0"/>
                      <a:ext cx="5989320" cy="2652413"/>
                    </a:xfrm>
                    <a:prstGeom prst="rect">
                      <a:avLst/>
                    </a:prstGeom>
                  </pic:spPr>
                </pic:pic>
              </a:graphicData>
            </a:graphic>
          </wp:inline>
        </w:drawing>
      </w:r>
    </w:p>
    <w:p w14:paraId="146A53E3" w14:textId="77777777" w:rsidR="007D4762" w:rsidRDefault="00772FB4">
      <w:pPr>
        <w:spacing w:before="80" w:after="120"/>
        <w:jc w:val="center"/>
        <w:rPr>
          <w:rFonts w:hint="eastAsia"/>
        </w:rPr>
      </w:pPr>
      <w:r>
        <w:rPr>
          <w:rFonts w:eastAsia="Noto Sans" w:cs="Noto Sans"/>
          <w:b/>
          <w:color w:val="5F6C73"/>
          <w:sz w:val="18"/>
        </w:rPr>
        <w:t>Figure 2. Schematic anatomy of the AAA emblem and its association center.</w:t>
      </w:r>
    </w:p>
    <w:p w14:paraId="4E20E7A2" w14:textId="77777777" w:rsidR="007D4762" w:rsidRDefault="00772FB4">
      <w:pPr>
        <w:spacing w:after="140" w:line="278" w:lineRule="auto"/>
        <w:rPr>
          <w:rFonts w:hint="eastAsia"/>
        </w:rPr>
      </w:pPr>
      <w:r>
        <w:rPr>
          <w:rFonts w:eastAsia="Noto Sans" w:cs="Noto Sans"/>
          <w:color w:val="24323A"/>
        </w:rPr>
        <w:t>The emblem is treated as a visual language marker rather than a claim that AAA is itself the cybernetic core. AAA associates through the available system graph and can use DRAGON traversal, but the application layer remains optional.</w:t>
      </w:r>
    </w:p>
    <w:p w14:paraId="5F630638" w14:textId="77777777" w:rsidR="007D4762" w:rsidRDefault="00772FB4">
      <w:pPr>
        <w:pStyle w:val="Heading1"/>
      </w:pPr>
      <w:r>
        <w:t>II. AAA Symbolic Language</w:t>
      </w:r>
    </w:p>
    <w:p w14:paraId="74F28069" w14:textId="77777777" w:rsidR="007D4762" w:rsidRDefault="00772FB4">
      <w:pPr>
        <w:spacing w:after="140" w:line="278" w:lineRule="auto"/>
        <w:rPr>
          <w:rFonts w:hint="eastAsia"/>
        </w:rPr>
      </w:pPr>
      <w:r>
        <w:rPr>
          <w:rFonts w:eastAsia="Noto Sans" w:cs="Noto Sans"/>
          <w:color w:val="24323A"/>
        </w:rPr>
        <w:t>The notation provides a compact way to describe durable AAA components, runtime transfer, transform behavior, and transient outputs. The language intentionally distinguishes what is available from what actually occurred.</w:t>
      </w:r>
    </w:p>
    <w:p w14:paraId="163535D5" w14:textId="77777777" w:rsidR="007D4762" w:rsidRDefault="00772FB4">
      <w:pPr>
        <w:keepNext/>
        <w:spacing w:before="120" w:after="40"/>
        <w:jc w:val="center"/>
        <w:rPr>
          <w:rFonts w:hint="eastAsia"/>
        </w:rPr>
      </w:pPr>
      <w:r>
        <w:rPr>
          <w:noProof/>
        </w:rPr>
        <w:drawing>
          <wp:inline distT="0" distB="0" distL="0" distR="0" wp14:anchorId="36CFE112" wp14:editId="5FFA4F98">
            <wp:extent cx="5989320" cy="34224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notation.png"/>
                    <pic:cNvPicPr/>
                  </pic:nvPicPr>
                  <pic:blipFill>
                    <a:blip r:embed="rId10"/>
                    <a:stretch>
                      <a:fillRect/>
                    </a:stretch>
                  </pic:blipFill>
                  <pic:spPr>
                    <a:xfrm>
                      <a:off x="0" y="0"/>
                      <a:ext cx="5989320" cy="3422469"/>
                    </a:xfrm>
                    <a:prstGeom prst="rect">
                      <a:avLst/>
                    </a:prstGeom>
                  </pic:spPr>
                </pic:pic>
              </a:graphicData>
            </a:graphic>
          </wp:inline>
        </w:drawing>
      </w:r>
    </w:p>
    <w:p w14:paraId="125EDF42" w14:textId="77777777" w:rsidR="007D4762" w:rsidRDefault="00772FB4">
      <w:pPr>
        <w:spacing w:before="80" w:after="120"/>
        <w:jc w:val="center"/>
        <w:rPr>
          <w:rFonts w:hint="eastAsia"/>
        </w:rPr>
      </w:pPr>
      <w:r>
        <w:rPr>
          <w:rFonts w:eastAsia="Noto Sans" w:cs="Noto Sans"/>
          <w:b/>
          <w:color w:val="5F6C73"/>
          <w:sz w:val="18"/>
        </w:rPr>
        <w:t>Figure 3. Complete AAA notation reference.</w:t>
      </w:r>
    </w:p>
    <w:tbl>
      <w:tblPr>
        <w:tblW w:w="0" w:type="auto"/>
        <w:jc w:val="center"/>
        <w:tblLayout w:type="fixed"/>
        <w:tblLook w:val="04A0" w:firstRow="1" w:lastRow="0" w:firstColumn="1" w:lastColumn="0" w:noHBand="0" w:noVBand="1"/>
      </w:tblPr>
      <w:tblGrid>
        <w:gridCol w:w="3293"/>
        <w:gridCol w:w="3293"/>
        <w:gridCol w:w="4608"/>
      </w:tblGrid>
      <w:tr w:rsidR="007D4762" w14:paraId="07B3728B" w14:textId="77777777">
        <w:trPr>
          <w:tblHeader/>
          <w:jc w:val="center"/>
        </w:trPr>
        <w:tc>
          <w:tcPr>
            <w:tcW w:w="3293"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5CA7A743" w14:textId="77777777" w:rsidR="007D4762" w:rsidRDefault="00772FB4">
            <w:pPr>
              <w:spacing w:after="0" w:line="252" w:lineRule="auto"/>
              <w:jc w:val="center"/>
              <w:rPr>
                <w:rFonts w:hint="eastAsia"/>
              </w:rPr>
            </w:pPr>
            <w:r>
              <w:rPr>
                <w:rFonts w:eastAsia="Noto Sans" w:cs="Noto Sans"/>
                <w:b/>
                <w:color w:val="FFFFFF"/>
                <w:sz w:val="18"/>
              </w:rPr>
              <w:t>Notation</w:t>
            </w:r>
          </w:p>
        </w:tc>
        <w:tc>
          <w:tcPr>
            <w:tcW w:w="3293"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26C8AFB3" w14:textId="77777777" w:rsidR="007D4762" w:rsidRDefault="00772FB4">
            <w:pPr>
              <w:spacing w:after="0" w:line="252" w:lineRule="auto"/>
              <w:jc w:val="center"/>
              <w:rPr>
                <w:rFonts w:hint="eastAsia"/>
              </w:rPr>
            </w:pPr>
            <w:r>
              <w:rPr>
                <w:rFonts w:eastAsia="Noto Sans" w:cs="Noto Sans"/>
                <w:b/>
                <w:color w:val="FFFFFF"/>
                <w:sz w:val="18"/>
              </w:rPr>
              <w:t>Name</w:t>
            </w:r>
          </w:p>
        </w:tc>
        <w:tc>
          <w:tcPr>
            <w:tcW w:w="3293"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7C093141" w14:textId="77777777" w:rsidR="007D4762" w:rsidRDefault="00772FB4">
            <w:pPr>
              <w:spacing w:after="0" w:line="252" w:lineRule="auto"/>
              <w:jc w:val="center"/>
              <w:rPr>
                <w:rFonts w:hint="eastAsia"/>
              </w:rPr>
            </w:pPr>
            <w:r>
              <w:rPr>
                <w:rFonts w:eastAsia="Noto Sans" w:cs="Noto Sans"/>
                <w:b/>
                <w:color w:val="FFFFFF"/>
                <w:sz w:val="18"/>
              </w:rPr>
              <w:t>Meaning</w:t>
            </w:r>
          </w:p>
        </w:tc>
      </w:tr>
      <w:tr w:rsidR="007D4762" w14:paraId="211E76FA"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A3DEF94"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51CB345" w14:textId="77777777" w:rsidR="007D4762" w:rsidRDefault="00772FB4">
            <w:pPr>
              <w:spacing w:after="0" w:line="259" w:lineRule="auto"/>
              <w:rPr>
                <w:rFonts w:hint="eastAsia"/>
              </w:rPr>
            </w:pPr>
            <w:r>
              <w:rPr>
                <w:rFonts w:eastAsia="Noto Sans" w:cs="Noto Sans"/>
                <w:color w:val="24323A"/>
                <w:sz w:val="18"/>
              </w:rPr>
              <w:t>AAA marker</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91621E1" w14:textId="77777777" w:rsidR="007D4762" w:rsidRDefault="00772FB4">
            <w:pPr>
              <w:spacing w:after="0" w:line="259" w:lineRule="auto"/>
              <w:rPr>
                <w:rFonts w:hint="eastAsia"/>
              </w:rPr>
            </w:pPr>
            <w:r>
              <w:rPr>
                <w:rFonts w:eastAsia="Noto Sans" w:cs="Noto Sans"/>
                <w:color w:val="24323A"/>
                <w:sz w:val="18"/>
              </w:rPr>
              <w:t>Declares the Atlas Association Applications language/context.</w:t>
            </w:r>
          </w:p>
        </w:tc>
      </w:tr>
      <w:tr w:rsidR="007D4762" w14:paraId="4A3B405E"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8C71E2D"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Expression )</w:t>
            </w: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9DD7784" w14:textId="77777777" w:rsidR="007D4762" w:rsidRDefault="00772FB4">
            <w:pPr>
              <w:spacing w:after="0" w:line="259" w:lineRule="auto"/>
              <w:rPr>
                <w:rFonts w:hint="eastAsia"/>
              </w:rPr>
            </w:pPr>
            <w:r>
              <w:rPr>
                <w:rFonts w:eastAsia="Noto Sans" w:cs="Noto Sans"/>
                <w:color w:val="24323A"/>
                <w:sz w:val="18"/>
              </w:rPr>
              <w:t>Expression</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03EF49F" w14:textId="77777777" w:rsidR="007D4762" w:rsidRDefault="00772FB4">
            <w:pPr>
              <w:spacing w:after="0" w:line="259" w:lineRule="auto"/>
              <w:rPr>
                <w:rFonts w:hint="eastAsia"/>
              </w:rPr>
            </w:pPr>
            <w:r>
              <w:rPr>
                <w:rFonts w:eastAsia="Noto Sans" w:cs="Noto Sans"/>
                <w:color w:val="24323A"/>
                <w:sz w:val="18"/>
              </w:rPr>
              <w:t>One actual resolved output after transform execution.</w:t>
            </w:r>
          </w:p>
        </w:tc>
      </w:tr>
      <w:tr w:rsidR="007D4762" w14:paraId="1455648F"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E21305C"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Expression Bundle }</w:t>
            </w: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A492DF0" w14:textId="77777777" w:rsidR="007D4762" w:rsidRDefault="00772FB4">
            <w:pPr>
              <w:spacing w:after="0" w:line="259" w:lineRule="auto"/>
              <w:rPr>
                <w:rFonts w:hint="eastAsia"/>
              </w:rPr>
            </w:pPr>
            <w:r>
              <w:rPr>
                <w:rFonts w:eastAsia="Noto Sans" w:cs="Noto Sans"/>
                <w:color w:val="24323A"/>
                <w:sz w:val="18"/>
              </w:rPr>
              <w:t>Expression Bundle</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47414F9" w14:textId="77777777" w:rsidR="007D4762" w:rsidRDefault="00772FB4">
            <w:pPr>
              <w:spacing w:after="0" w:line="259" w:lineRule="auto"/>
              <w:rPr>
                <w:rFonts w:hint="eastAsia"/>
              </w:rPr>
            </w:pPr>
            <w:r>
              <w:rPr>
                <w:rFonts w:eastAsia="Noto Sans" w:cs="Noto Sans"/>
                <w:color w:val="24323A"/>
                <w:sz w:val="18"/>
              </w:rPr>
              <w:t>Multiple Expressions produced together.</w:t>
            </w:r>
          </w:p>
        </w:tc>
      </w:tr>
      <w:tr w:rsidR="007D4762" w14:paraId="4B4690C6"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AFF7C18"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Capability |</w:t>
            </w: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6487CC3" w14:textId="77777777" w:rsidR="007D4762" w:rsidRDefault="00772FB4">
            <w:pPr>
              <w:spacing w:after="0" w:line="259" w:lineRule="auto"/>
              <w:rPr>
                <w:rFonts w:hint="eastAsia"/>
              </w:rPr>
            </w:pPr>
            <w:r>
              <w:rPr>
                <w:rFonts w:eastAsia="Noto Sans" w:cs="Noto Sans"/>
                <w:color w:val="24323A"/>
                <w:sz w:val="18"/>
              </w:rPr>
              <w:t>Capability</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5E708BA" w14:textId="77777777" w:rsidR="007D4762" w:rsidRDefault="00772FB4">
            <w:pPr>
              <w:spacing w:after="0" w:line="259" w:lineRule="auto"/>
              <w:rPr>
                <w:rFonts w:hint="eastAsia"/>
              </w:rPr>
            </w:pPr>
            <w:r>
              <w:rPr>
                <w:rFonts w:eastAsia="Noto Sans" w:cs="Noto Sans"/>
                <w:color w:val="24323A"/>
                <w:sz w:val="18"/>
              </w:rPr>
              <w:t>An available behavior or capability that AAA can expose.</w:t>
            </w:r>
          </w:p>
        </w:tc>
      </w:tr>
      <w:tr w:rsidR="007D4762" w14:paraId="7A177072"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D2CE786"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Application ]</w:t>
            </w: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EBAF996" w14:textId="77777777" w:rsidR="007D4762" w:rsidRDefault="00772FB4">
            <w:pPr>
              <w:spacing w:after="0" w:line="259" w:lineRule="auto"/>
              <w:rPr>
                <w:rFonts w:hint="eastAsia"/>
              </w:rPr>
            </w:pPr>
            <w:r>
              <w:rPr>
                <w:rFonts w:eastAsia="Noto Sans" w:cs="Noto Sans"/>
                <w:color w:val="24323A"/>
                <w:sz w:val="18"/>
              </w:rPr>
              <w:t>Application</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605DDB7" w14:textId="77777777" w:rsidR="007D4762" w:rsidRDefault="00772FB4">
            <w:pPr>
              <w:spacing w:after="0" w:line="259" w:lineRule="auto"/>
              <w:rPr>
                <w:rFonts w:hint="eastAsia"/>
              </w:rPr>
            </w:pPr>
            <w:r>
              <w:rPr>
                <w:rFonts w:eastAsia="Noto Sans" w:cs="Noto Sans"/>
                <w:color w:val="24323A"/>
                <w:sz w:val="18"/>
              </w:rPr>
              <w:t>A complete selectable AAA composed from capabilities, association behavior, and configuration.</w:t>
            </w:r>
          </w:p>
        </w:tc>
      </w:tr>
      <w:tr w:rsidR="007D4762" w14:paraId="60A2927C"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041C3BE"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Loadout ]|</w:t>
            </w: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5FF334E" w14:textId="77777777" w:rsidR="007D4762" w:rsidRDefault="00772FB4">
            <w:pPr>
              <w:spacing w:after="0" w:line="259" w:lineRule="auto"/>
              <w:rPr>
                <w:rFonts w:hint="eastAsia"/>
              </w:rPr>
            </w:pPr>
            <w:r>
              <w:rPr>
                <w:rFonts w:eastAsia="Noto Sans" w:cs="Noto Sans"/>
                <w:color w:val="24323A"/>
                <w:sz w:val="18"/>
              </w:rPr>
              <w:t>Loadout</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A6004BD" w14:textId="77777777" w:rsidR="007D4762" w:rsidRDefault="00772FB4">
            <w:pPr>
              <w:spacing w:after="0" w:line="259" w:lineRule="auto"/>
              <w:rPr>
                <w:rFonts w:hint="eastAsia"/>
              </w:rPr>
            </w:pPr>
            <w:r>
              <w:rPr>
                <w:rFonts w:eastAsia="Noto Sans" w:cs="Noto Sans"/>
                <w:color w:val="24323A"/>
                <w:sz w:val="18"/>
              </w:rPr>
              <w:t>A selected collection of AAA Applications.</w:t>
            </w:r>
          </w:p>
        </w:tc>
      </w:tr>
      <w:tr w:rsidR="007D4762" w14:paraId="6C2F8545"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7DA985B"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w:t>
            </w:r>
            <w:r>
              <w:rPr>
                <w:rFonts w:ascii="DejaVu Sans" w:eastAsia="DejaVu Sans" w:hAnsi="DejaVu Sans" w:cs="DejaVu Sans"/>
                <w:color w:val="24323A"/>
                <w:sz w:val="18"/>
              </w:rPr>
              <w:t>︎</w:t>
            </w:r>
            <w:r>
              <w:rPr>
                <w:rFonts w:ascii="DejaVu Sans" w:eastAsia="DejaVu Sans" w:hAnsi="DejaVu Sans" w:cs="DejaVu Sans"/>
                <w:color w:val="24323A"/>
                <w:sz w:val="18"/>
              </w:rPr>
              <w: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813B7D1" w14:textId="77777777" w:rsidR="007D4762" w:rsidRDefault="00772FB4">
            <w:pPr>
              <w:spacing w:after="0" w:line="259" w:lineRule="auto"/>
              <w:rPr>
                <w:rFonts w:hint="eastAsia"/>
              </w:rPr>
            </w:pPr>
            <w:r>
              <w:rPr>
                <w:rFonts w:eastAsia="Noto Sans" w:cs="Noto Sans"/>
                <w:color w:val="24323A"/>
                <w:sz w:val="18"/>
              </w:rPr>
              <w:t>Collapsed AVA</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77FC82F" w14:textId="77777777" w:rsidR="007D4762" w:rsidRDefault="00772FB4">
            <w:pPr>
              <w:spacing w:after="0" w:line="259" w:lineRule="auto"/>
              <w:rPr>
                <w:rFonts w:hint="eastAsia"/>
              </w:rPr>
            </w:pPr>
            <w:r>
              <w:rPr>
                <w:rFonts w:eastAsia="Noto Sans" w:cs="Noto Sans"/>
                <w:color w:val="24323A"/>
                <w:sz w:val="18"/>
              </w:rPr>
              <w:t>Persistent minimal AVA access state; conceptually a Bit hiding in the loop.</w:t>
            </w:r>
          </w:p>
        </w:tc>
      </w:tr>
      <w:tr w:rsidR="007D4762" w14:paraId="73058FF8"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6188BDE"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w:t>
            </w:r>
            <w:r>
              <w:rPr>
                <w:rFonts w:ascii="DejaVu Sans" w:eastAsia="DejaVu Sans" w:hAnsi="DejaVu Sans" w:cs="DejaVu Sans"/>
                <w:color w:val="24323A"/>
                <w:sz w:val="18"/>
              </w:rPr>
              <w:t>-&gt;</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6BAC1C1" w14:textId="77777777" w:rsidR="007D4762" w:rsidRDefault="00772FB4">
            <w:pPr>
              <w:spacing w:after="0" w:line="259" w:lineRule="auto"/>
              <w:rPr>
                <w:rFonts w:hint="eastAsia"/>
              </w:rPr>
            </w:pPr>
            <w:r>
              <w:rPr>
                <w:rFonts w:eastAsia="Noto Sans" w:cs="Noto Sans"/>
                <w:color w:val="24323A"/>
                <w:sz w:val="18"/>
              </w:rPr>
              <w:t>Packet being sent</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5A7D790" w14:textId="77777777" w:rsidR="007D4762" w:rsidRDefault="00772FB4">
            <w:pPr>
              <w:spacing w:after="0" w:line="259" w:lineRule="auto"/>
              <w:rPr>
                <w:rFonts w:hint="eastAsia"/>
              </w:rPr>
            </w:pPr>
            <w:r>
              <w:rPr>
                <w:rFonts w:eastAsia="Noto Sans" w:cs="Noto Sans"/>
                <w:color w:val="24323A"/>
                <w:sz w:val="18"/>
              </w:rPr>
              <w:t>The semantic value/state being sent toward transform execution.</w:t>
            </w:r>
          </w:p>
        </w:tc>
      </w:tr>
      <w:tr w:rsidR="007D4762" w14:paraId="6BDAF101" w14:textId="77777777">
        <w:trPr>
          <w:cantSplit/>
          <w:jc w:val="center"/>
        </w:trPr>
        <w:tc>
          <w:tcPr>
            <w:tcW w:w="259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7710312" w14:textId="77777777" w:rsidR="007D4762" w:rsidRDefault="00772FB4">
            <w:pPr>
              <w:spacing w:after="0" w:line="259" w:lineRule="auto"/>
              <w:jc w:val="center"/>
              <w:rPr>
                <w:rFonts w:hint="eastAsia"/>
              </w:rPr>
            </w:pPr>
            <w:r>
              <w:rPr>
                <w:rFonts w:ascii="DejaVu Sans" w:eastAsia="DejaVu Sans" w:hAnsi="DejaVu Sans" w:cs="DejaVu Sans"/>
                <w:color w:val="24323A"/>
                <w:sz w:val="18"/>
              </w:rPr>
              <w:t>x▪</w:t>
            </w:r>
            <w:r>
              <w:rPr>
                <w:rFonts w:ascii="DejaVu Sans" w:eastAsia="DejaVu Sans" w:hAnsi="DejaVu Sans" w:cs="DejaVu Sans"/>
                <w:color w:val="24323A"/>
                <w:sz w:val="18"/>
              </w:rPr>
              <w:t>︎</w:t>
            </w:r>
            <w:r>
              <w:rPr>
                <w:rFonts w:ascii="DejaVu Sans" w:eastAsia="DejaVu Sans" w:hAnsi="DejaVu Sans" w:cs="DejaVu Sans"/>
                <w:color w:val="24323A"/>
                <w:sz w:val="18"/>
              </w:rPr>
              <w:t>x</w:t>
            </w:r>
          </w:p>
        </w:tc>
        <w:tc>
          <w:tcPr>
            <w:tcW w:w="2232"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58FABA0" w14:textId="77777777" w:rsidR="007D4762" w:rsidRDefault="00772FB4">
            <w:pPr>
              <w:spacing w:after="0" w:line="259" w:lineRule="auto"/>
              <w:rPr>
                <w:rFonts w:hint="eastAsia"/>
              </w:rPr>
            </w:pPr>
            <w:r>
              <w:rPr>
                <w:rFonts w:eastAsia="Noto Sans" w:cs="Noto Sans"/>
                <w:color w:val="24323A"/>
                <w:sz w:val="18"/>
              </w:rPr>
              <w:t>Transform</w:t>
            </w:r>
          </w:p>
        </w:tc>
        <w:tc>
          <w:tcPr>
            <w:tcW w:w="460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3B7C3AE" w14:textId="77777777" w:rsidR="007D4762" w:rsidRDefault="00772FB4">
            <w:pPr>
              <w:spacing w:after="0" w:line="259" w:lineRule="auto"/>
              <w:rPr>
                <w:rFonts w:hint="eastAsia"/>
              </w:rPr>
            </w:pPr>
            <w:r>
              <w:rPr>
                <w:rFonts w:eastAsia="Noto Sans" w:cs="Noto Sans"/>
                <w:color w:val="24323A"/>
                <w:sz w:val="18"/>
              </w:rPr>
              <w:t>The mapping that converts the Packet into one or more target modality values.</w:t>
            </w:r>
          </w:p>
        </w:tc>
      </w:tr>
    </w:tbl>
    <w:p w14:paraId="495CAAE0" w14:textId="77777777" w:rsidR="007D4762" w:rsidRDefault="007D4762">
      <w:pPr>
        <w:spacing w:after="80"/>
        <w:rPr>
          <w:rFonts w:hint="eastAsia"/>
        </w:rPr>
      </w:pPr>
    </w:p>
    <w:p w14:paraId="0314226E" w14:textId="77777777" w:rsidR="007D4762" w:rsidRDefault="00772FB4">
      <w:pPr>
        <w:keepNext/>
        <w:spacing w:before="120" w:after="40"/>
        <w:jc w:val="center"/>
        <w:rPr>
          <w:rFonts w:hint="eastAsia"/>
        </w:rPr>
      </w:pPr>
      <w:r>
        <w:rPr>
          <w:noProof/>
        </w:rPr>
        <w:drawing>
          <wp:inline distT="0" distB="0" distL="0" distR="0" wp14:anchorId="20CC752E" wp14:editId="5EB81BF5">
            <wp:extent cx="5989320" cy="26524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two_sides.png"/>
                    <pic:cNvPicPr/>
                  </pic:nvPicPr>
                  <pic:blipFill>
                    <a:blip r:embed="rId11"/>
                    <a:stretch>
                      <a:fillRect/>
                    </a:stretch>
                  </pic:blipFill>
                  <pic:spPr>
                    <a:xfrm>
                      <a:off x="0" y="0"/>
                      <a:ext cx="5989320" cy="2652413"/>
                    </a:xfrm>
                    <a:prstGeom prst="rect">
                      <a:avLst/>
                    </a:prstGeom>
                  </pic:spPr>
                </pic:pic>
              </a:graphicData>
            </a:graphic>
          </wp:inline>
        </w:drawing>
      </w:r>
    </w:p>
    <w:p w14:paraId="36797B47" w14:textId="77777777" w:rsidR="007D4762" w:rsidRDefault="00772FB4">
      <w:pPr>
        <w:spacing w:before="80" w:after="120"/>
        <w:jc w:val="center"/>
        <w:rPr>
          <w:rFonts w:hint="eastAsia"/>
        </w:rPr>
      </w:pPr>
      <w:r>
        <w:rPr>
          <w:rFonts w:eastAsia="Noto Sans" w:cs="Noto Sans"/>
          <w:b/>
          <w:color w:val="5F6C73"/>
          <w:sz w:val="18"/>
        </w:rPr>
        <w:t>Figure 4. Durable application structure versus transient runtime realization.</w:t>
      </w:r>
    </w:p>
    <w:p w14:paraId="6D7B17CD" w14:textId="77777777" w:rsidR="007D4762" w:rsidRDefault="00772FB4">
      <w:pPr>
        <w:spacing w:after="140" w:line="278" w:lineRule="auto"/>
        <w:rPr>
          <w:rFonts w:hint="eastAsia"/>
        </w:rPr>
      </w:pPr>
      <w:r>
        <w:rPr>
          <w:rFonts w:eastAsia="Noto Sans" w:cs="Noto Sans"/>
          <w:color w:val="24323A"/>
        </w:rPr>
        <w:t>Loadouts, Applications, Capabilities, associations, transform definitions, and permissions are durable authoring/configuration objects. Packets, transform executions, Expressions, and Expression Bundles are normally runtime objects. This separation prevents a transient shimmer or particle emission from becoming permanent ontology.</w:t>
      </w:r>
    </w:p>
    <w:p w14:paraId="264D0F7B" w14:textId="77777777" w:rsidR="007D4762" w:rsidRDefault="00772FB4">
      <w:pPr>
        <w:pStyle w:val="Heading1"/>
      </w:pPr>
      <w:r>
        <w:t>III. Core Runtime Grammar</w:t>
      </w:r>
    </w:p>
    <w:p w14:paraId="7557ACD5" w14:textId="77777777" w:rsidR="007D4762" w:rsidRDefault="00772FB4">
      <w:pPr>
        <w:keepNext/>
        <w:spacing w:before="120" w:after="40"/>
        <w:jc w:val="center"/>
        <w:rPr>
          <w:rFonts w:hint="eastAsia"/>
        </w:rPr>
      </w:pPr>
      <w:r>
        <w:rPr>
          <w:noProof/>
        </w:rPr>
        <w:drawing>
          <wp:inline distT="0" distB="0" distL="0" distR="0" wp14:anchorId="58157353" wp14:editId="49F61184">
            <wp:extent cx="5989320" cy="2010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runtime_sentence.png"/>
                    <pic:cNvPicPr/>
                  </pic:nvPicPr>
                  <pic:blipFill>
                    <a:blip r:embed="rId12"/>
                    <a:stretch>
                      <a:fillRect/>
                    </a:stretch>
                  </pic:blipFill>
                  <pic:spPr>
                    <a:xfrm>
                      <a:off x="0" y="0"/>
                      <a:ext cx="5989320" cy="2010700"/>
                    </a:xfrm>
                    <a:prstGeom prst="rect">
                      <a:avLst/>
                    </a:prstGeom>
                  </pic:spPr>
                </pic:pic>
              </a:graphicData>
            </a:graphic>
          </wp:inline>
        </w:drawing>
      </w:r>
    </w:p>
    <w:p w14:paraId="3F8E6EB3" w14:textId="77777777" w:rsidR="007D4762" w:rsidRDefault="00772FB4">
      <w:pPr>
        <w:spacing w:before="80" w:after="120"/>
        <w:jc w:val="center"/>
        <w:rPr>
          <w:rFonts w:hint="eastAsia"/>
        </w:rPr>
      </w:pPr>
      <w:r>
        <w:rPr>
          <w:rFonts w:eastAsia="Noto Sans" w:cs="Noto Sans"/>
          <w:b/>
          <w:color w:val="5F6C73"/>
          <w:sz w:val="18"/>
        </w:rPr>
        <w:t>Figure 5. The core AAA runtime sentence: Capability → Packet → Transform → Expression.</w:t>
      </w:r>
    </w:p>
    <w:p w14:paraId="5639A484" w14:textId="77777777" w:rsidR="007D4762" w:rsidRDefault="00772FB4">
      <w:pPr>
        <w:spacing w:after="140" w:line="278" w:lineRule="auto"/>
        <w:rPr>
          <w:rFonts w:hint="eastAsia"/>
        </w:rPr>
      </w:pPr>
      <w:r>
        <w:rPr>
          <w:rFonts w:eastAsia="Noto Sans" w:cs="Noto Sans"/>
          <w:color w:val="24323A"/>
        </w:rPr>
        <w:t>The runtime nomenclature is exact. Capability is possibility. Packet is transfer. Transform is conversion. Expression is output. If a Transform returns several outputs, those outputs are not several Packets; they are several Expressions, collected as an Expression Bundle.</w:t>
      </w:r>
    </w:p>
    <w:p w14:paraId="7C692D79" w14:textId="77777777" w:rsidR="007D4762" w:rsidRDefault="00772FB4">
      <w:pPr>
        <w:keepNext/>
        <w:spacing w:before="120" w:after="40"/>
        <w:jc w:val="center"/>
        <w:rPr>
          <w:rFonts w:hint="eastAsia"/>
        </w:rPr>
      </w:pPr>
      <w:r>
        <w:rPr>
          <w:noProof/>
        </w:rPr>
        <w:drawing>
          <wp:inline distT="0" distB="0" distL="0" distR="0" wp14:anchorId="000AD10B" wp14:editId="3A024F8A">
            <wp:extent cx="5989320" cy="26524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cap_vs_expr.png"/>
                    <pic:cNvPicPr/>
                  </pic:nvPicPr>
                  <pic:blipFill>
                    <a:blip r:embed="rId13"/>
                    <a:stretch>
                      <a:fillRect/>
                    </a:stretch>
                  </pic:blipFill>
                  <pic:spPr>
                    <a:xfrm>
                      <a:off x="0" y="0"/>
                      <a:ext cx="5989320" cy="2652413"/>
                    </a:xfrm>
                    <a:prstGeom prst="rect">
                      <a:avLst/>
                    </a:prstGeom>
                  </pic:spPr>
                </pic:pic>
              </a:graphicData>
            </a:graphic>
          </wp:inline>
        </w:drawing>
      </w:r>
    </w:p>
    <w:p w14:paraId="6A026CC5" w14:textId="77777777" w:rsidR="007D4762" w:rsidRDefault="00772FB4">
      <w:pPr>
        <w:spacing w:before="80" w:after="120"/>
        <w:jc w:val="center"/>
        <w:rPr>
          <w:rFonts w:hint="eastAsia"/>
        </w:rPr>
      </w:pPr>
      <w:r>
        <w:rPr>
          <w:rFonts w:eastAsia="Noto Sans" w:cs="Noto Sans"/>
          <w:b/>
          <w:color w:val="5F6C73"/>
          <w:sz w:val="18"/>
        </w:rPr>
        <w:t>Figure 6. Capability and Expression are different semantic roles.</w:t>
      </w:r>
    </w:p>
    <w:tbl>
      <w:tblPr>
        <w:tblW w:w="0" w:type="auto"/>
        <w:jc w:val="center"/>
        <w:tblLayout w:type="fixed"/>
        <w:tblLook w:val="04A0" w:firstRow="1" w:lastRow="0" w:firstColumn="1" w:lastColumn="0" w:noHBand="0" w:noVBand="1"/>
      </w:tblPr>
      <w:tblGrid>
        <w:gridCol w:w="9878"/>
      </w:tblGrid>
      <w:tr w:rsidR="007D4762" w14:paraId="627EF9ED"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7A13BE78" w14:textId="77777777" w:rsidR="007D4762" w:rsidRDefault="00772FB4">
            <w:pPr>
              <w:spacing w:after="0" w:line="283" w:lineRule="auto"/>
              <w:rPr>
                <w:rFonts w:hint="eastAsia"/>
              </w:rPr>
            </w:pPr>
            <w:r>
              <w:rPr>
                <w:rFonts w:eastAsia="Noto Sans" w:cs="Noto Sans"/>
                <w:b/>
                <w:color w:val="B4763B"/>
              </w:rPr>
              <w:t>AAA-L02 · CAPABILITY / REALIZATION SEPARATION</w:t>
            </w:r>
            <w:r>
              <w:br/>
            </w:r>
            <w:r>
              <w:rPr>
                <w:rFonts w:eastAsia="Noto Sans" w:cs="Noto Sans"/>
                <w:color w:val="24323A"/>
                <w:sz w:val="20"/>
              </w:rPr>
              <w:t>A Capability describes what may be exposed. An Expression records what the runtime actually resolved and rendered.</w:t>
            </w:r>
          </w:p>
        </w:tc>
      </w:tr>
    </w:tbl>
    <w:p w14:paraId="3C46EE5C" w14:textId="77777777" w:rsidR="007D4762" w:rsidRDefault="007D4762">
      <w:pPr>
        <w:spacing w:after="40"/>
        <w:rPr>
          <w:rFonts w:hint="eastAsia"/>
        </w:rPr>
      </w:pPr>
    </w:p>
    <w:p w14:paraId="08332388" w14:textId="77777777" w:rsidR="007D4762" w:rsidRDefault="00772FB4">
      <w:pPr>
        <w:pStyle w:val="Heading2"/>
      </w:pPr>
      <w:r>
        <w:t>Packet: semantic state in motion</w:t>
      </w:r>
    </w:p>
    <w:p w14:paraId="2CE6BF4C" w14:textId="77777777" w:rsidR="007D4762" w:rsidRDefault="00772FB4">
      <w:pPr>
        <w:keepNext/>
        <w:spacing w:before="120" w:after="40"/>
        <w:jc w:val="center"/>
        <w:rPr>
          <w:rFonts w:hint="eastAsia"/>
        </w:rPr>
      </w:pPr>
      <w:r>
        <w:rPr>
          <w:noProof/>
        </w:rPr>
        <w:drawing>
          <wp:inline distT="0" distB="0" distL="0" distR="0" wp14:anchorId="05B231FC" wp14:editId="2034514A">
            <wp:extent cx="5989320" cy="22246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packet.png"/>
                    <pic:cNvPicPr/>
                  </pic:nvPicPr>
                  <pic:blipFill>
                    <a:blip r:embed="rId14"/>
                    <a:stretch>
                      <a:fillRect/>
                    </a:stretch>
                  </pic:blipFill>
                  <pic:spPr>
                    <a:xfrm>
                      <a:off x="0" y="0"/>
                      <a:ext cx="5989320" cy="2224605"/>
                    </a:xfrm>
                    <a:prstGeom prst="rect">
                      <a:avLst/>
                    </a:prstGeom>
                  </pic:spPr>
                </pic:pic>
              </a:graphicData>
            </a:graphic>
          </wp:inline>
        </w:drawing>
      </w:r>
    </w:p>
    <w:p w14:paraId="2B458480" w14:textId="77777777" w:rsidR="007D4762" w:rsidRDefault="00772FB4">
      <w:pPr>
        <w:spacing w:before="80" w:after="120"/>
        <w:jc w:val="center"/>
        <w:rPr>
          <w:rFonts w:hint="eastAsia"/>
        </w:rPr>
      </w:pPr>
      <w:r>
        <w:rPr>
          <w:rFonts w:eastAsia="Noto Sans" w:cs="Noto Sans"/>
          <w:b/>
          <w:color w:val="5F6C73"/>
          <w:sz w:val="18"/>
        </w:rPr>
        <w:t>Figure 7. Packet notation ▪</w:t>
      </w:r>
      <w:r>
        <w:rPr>
          <w:rFonts w:eastAsia="Noto Sans" w:cs="Noto Sans"/>
          <w:b/>
          <w:color w:val="5F6C73"/>
          <w:sz w:val="18"/>
        </w:rPr>
        <w:t>︎</w:t>
      </w:r>
      <w:r>
        <w:rPr>
          <w:rFonts w:eastAsia="Noto Sans" w:cs="Noto Sans"/>
          <w:b/>
          <w:color w:val="5F6C73"/>
          <w:sz w:val="18"/>
        </w:rPr>
        <w:t>-&gt; as semantic state being sent.</w:t>
      </w:r>
    </w:p>
    <w:p w14:paraId="24F8FDB1" w14:textId="77777777" w:rsidR="007D4762" w:rsidRDefault="00772FB4">
      <w:pPr>
        <w:spacing w:after="140" w:line="278" w:lineRule="auto"/>
        <w:rPr>
          <w:rFonts w:hint="eastAsia"/>
        </w:rPr>
      </w:pPr>
      <w:r>
        <w:rPr>
          <w:rFonts w:eastAsia="Noto Sans" w:cs="Noto Sans"/>
          <w:color w:val="24323A"/>
        </w:rPr>
        <w:t>The Packet is not the Transform and is not an Expression. It carries the selected semantic value or values from the resolved source toward the transform layer. In modality transforms, those values are typically decoded scalar BitGroup values already governed by their own Semantic Kernel.</w:t>
      </w:r>
    </w:p>
    <w:p w14:paraId="7F2924F2" w14:textId="77777777" w:rsidR="007D4762" w:rsidRDefault="00772FB4">
      <w:pPr>
        <w:keepNext/>
        <w:spacing w:before="120" w:after="40"/>
        <w:jc w:val="center"/>
        <w:rPr>
          <w:rFonts w:hint="eastAsia"/>
        </w:rPr>
      </w:pPr>
      <w:r>
        <w:rPr>
          <w:noProof/>
        </w:rPr>
        <w:drawing>
          <wp:inline distT="0" distB="0" distL="0" distR="0" wp14:anchorId="121F34F7" wp14:editId="523F9A3B">
            <wp:extent cx="5989320" cy="26524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packet_not_transform.png"/>
                    <pic:cNvPicPr/>
                  </pic:nvPicPr>
                  <pic:blipFill>
                    <a:blip r:embed="rId15"/>
                    <a:stretch>
                      <a:fillRect/>
                    </a:stretch>
                  </pic:blipFill>
                  <pic:spPr>
                    <a:xfrm>
                      <a:off x="0" y="0"/>
                      <a:ext cx="5989320" cy="2652413"/>
                    </a:xfrm>
                    <a:prstGeom prst="rect">
                      <a:avLst/>
                    </a:prstGeom>
                  </pic:spPr>
                </pic:pic>
              </a:graphicData>
            </a:graphic>
          </wp:inline>
        </w:drawing>
      </w:r>
    </w:p>
    <w:p w14:paraId="687B5A36" w14:textId="77777777" w:rsidR="007D4762" w:rsidRDefault="00772FB4">
      <w:pPr>
        <w:spacing w:before="80" w:after="120"/>
        <w:jc w:val="center"/>
        <w:rPr>
          <w:rFonts w:hint="eastAsia"/>
        </w:rPr>
      </w:pPr>
      <w:r>
        <w:rPr>
          <w:rFonts w:eastAsia="Noto Sans" w:cs="Noto Sans"/>
          <w:b/>
          <w:color w:val="5F6C73"/>
          <w:sz w:val="18"/>
        </w:rPr>
        <w:t>Figure 9. Packet and Transform are deliberately separate objects.</w:t>
      </w:r>
    </w:p>
    <w:tbl>
      <w:tblPr>
        <w:tblW w:w="0" w:type="auto"/>
        <w:jc w:val="center"/>
        <w:tblLayout w:type="fixed"/>
        <w:tblLook w:val="04A0" w:firstRow="1" w:lastRow="0" w:firstColumn="1" w:lastColumn="0" w:noHBand="0" w:noVBand="1"/>
      </w:tblPr>
      <w:tblGrid>
        <w:gridCol w:w="9878"/>
      </w:tblGrid>
      <w:tr w:rsidR="007D4762" w14:paraId="52D3573D"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5F40C506" w14:textId="77777777" w:rsidR="007D4762" w:rsidRDefault="00772FB4">
            <w:pPr>
              <w:spacing w:after="0" w:line="283" w:lineRule="auto"/>
              <w:rPr>
                <w:rFonts w:hint="eastAsia"/>
              </w:rPr>
            </w:pPr>
            <w:r>
              <w:rPr>
                <w:rFonts w:eastAsia="Noto Sans" w:cs="Noto Sans"/>
                <w:b/>
                <w:color w:val="B4763B"/>
              </w:rPr>
              <w:t>AAA-L03 · PACKET SEPARATION</w:t>
            </w:r>
            <w:r>
              <w:br/>
            </w:r>
            <w:r>
              <w:rPr>
                <w:rFonts w:eastAsia="Noto Sans" w:cs="Noto Sans"/>
                <w:color w:val="24323A"/>
                <w:sz w:val="20"/>
              </w:rPr>
              <w:t>The Packet carries semantic input toward expression. It does not itself define the mapping or the resulting perceptual output.</w:t>
            </w:r>
          </w:p>
        </w:tc>
      </w:tr>
    </w:tbl>
    <w:p w14:paraId="10C693C2" w14:textId="77777777" w:rsidR="007D4762" w:rsidRDefault="007D4762">
      <w:pPr>
        <w:spacing w:after="40"/>
        <w:rPr>
          <w:rFonts w:hint="eastAsia"/>
        </w:rPr>
      </w:pPr>
    </w:p>
    <w:p w14:paraId="2D1F2FBA" w14:textId="77777777" w:rsidR="007D4762" w:rsidRDefault="00772FB4">
      <w:pPr>
        <w:pStyle w:val="Heading2"/>
      </w:pPr>
      <w:r>
        <w:t>Transform: explicit cross-modality mapping</w:t>
      </w:r>
    </w:p>
    <w:p w14:paraId="2076B988" w14:textId="77777777" w:rsidR="007D4762" w:rsidRDefault="00772FB4">
      <w:pPr>
        <w:keepNext/>
        <w:spacing w:before="120" w:after="40"/>
        <w:jc w:val="center"/>
        <w:rPr>
          <w:rFonts w:hint="eastAsia"/>
        </w:rPr>
      </w:pPr>
      <w:r>
        <w:rPr>
          <w:noProof/>
        </w:rPr>
        <w:drawing>
          <wp:inline distT="0" distB="0" distL="0" distR="0" wp14:anchorId="6D0CB39B" wp14:editId="1B5329E9">
            <wp:extent cx="5989320" cy="239572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transform.png"/>
                    <pic:cNvPicPr/>
                  </pic:nvPicPr>
                  <pic:blipFill>
                    <a:blip r:embed="rId16"/>
                    <a:stretch>
                      <a:fillRect/>
                    </a:stretch>
                  </pic:blipFill>
                  <pic:spPr>
                    <a:xfrm>
                      <a:off x="0" y="0"/>
                      <a:ext cx="5989320" cy="2395728"/>
                    </a:xfrm>
                    <a:prstGeom prst="rect">
                      <a:avLst/>
                    </a:prstGeom>
                  </pic:spPr>
                </pic:pic>
              </a:graphicData>
            </a:graphic>
          </wp:inline>
        </w:drawing>
      </w:r>
    </w:p>
    <w:p w14:paraId="05B84A69" w14:textId="77777777" w:rsidR="007D4762" w:rsidRDefault="00772FB4">
      <w:pPr>
        <w:spacing w:before="80" w:after="120"/>
        <w:jc w:val="center"/>
        <w:rPr>
          <w:rFonts w:hint="eastAsia"/>
        </w:rPr>
      </w:pPr>
      <w:r>
        <w:rPr>
          <w:rFonts w:eastAsia="Noto Sans" w:cs="Noto Sans"/>
          <w:b/>
          <w:color w:val="5F6C73"/>
          <w:sz w:val="18"/>
        </w:rPr>
        <w:t>Figure 8. Transform notation x▪</w:t>
      </w:r>
      <w:r>
        <w:rPr>
          <w:rFonts w:eastAsia="Noto Sans" w:cs="Noto Sans"/>
          <w:b/>
          <w:color w:val="5F6C73"/>
          <w:sz w:val="18"/>
        </w:rPr>
        <w:t>︎</w:t>
      </w:r>
      <w:r>
        <w:rPr>
          <w:rFonts w:eastAsia="Noto Sans" w:cs="Noto Sans"/>
          <w:b/>
          <w:color w:val="5F6C73"/>
          <w:sz w:val="18"/>
        </w:rPr>
        <w:t>x as a conversion chamber between source and target values.</w:t>
      </w:r>
    </w:p>
    <w:p w14:paraId="0A0B53DF" w14:textId="77777777" w:rsidR="007D4762" w:rsidRDefault="00772FB4">
      <w:pPr>
        <w:spacing w:after="140" w:line="278" w:lineRule="auto"/>
        <w:rPr>
          <w:rFonts w:hint="eastAsia"/>
        </w:rPr>
      </w:pPr>
      <w:r>
        <w:rPr>
          <w:rFonts w:eastAsia="Noto Sans" w:cs="Noto Sans"/>
          <w:color w:val="24323A"/>
        </w:rPr>
        <w:t>A Transform receives the Packet and applies a declared mapping. The transform may normalize an input range, apply a formula, bound the result, and return a value in a target modality. The transform does not assert that the source and target modalities are semantically identical. It only declares how one is projected into the other for the chosen application.</w:t>
      </w:r>
    </w:p>
    <w:tbl>
      <w:tblPr>
        <w:tblW w:w="0" w:type="auto"/>
        <w:jc w:val="center"/>
        <w:tblLayout w:type="fixed"/>
        <w:tblLook w:val="04A0" w:firstRow="1" w:lastRow="0" w:firstColumn="1" w:lastColumn="0" w:noHBand="0" w:noVBand="1"/>
      </w:tblPr>
      <w:tblGrid>
        <w:gridCol w:w="9878"/>
      </w:tblGrid>
      <w:tr w:rsidR="007D4762" w14:paraId="00DB6E70"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6F9D4E8D" w14:textId="77777777" w:rsidR="007D4762" w:rsidRDefault="00772FB4">
            <w:pPr>
              <w:spacing w:after="0" w:line="283" w:lineRule="auto"/>
              <w:rPr>
                <w:rFonts w:hint="eastAsia"/>
              </w:rPr>
            </w:pPr>
            <w:r>
              <w:rPr>
                <w:rFonts w:eastAsia="Noto Sans" w:cs="Noto Sans"/>
                <w:b/>
                <w:color w:val="B4763B"/>
              </w:rPr>
              <w:t>AAA-L04 · TRANSFORM SEPARATION</w:t>
            </w:r>
            <w:r>
              <w:br/>
            </w:r>
            <w:r>
              <w:rPr>
                <w:rFonts w:eastAsia="Noto Sans" w:cs="Noto Sans"/>
                <w:color w:val="24323A"/>
                <w:sz w:val="20"/>
              </w:rPr>
              <w:t>Transform defines the conversion contract between source values and target expression values. It is neither the source semantic state nor the resulting Expression.</w:t>
            </w:r>
          </w:p>
        </w:tc>
      </w:tr>
    </w:tbl>
    <w:p w14:paraId="7D2871DC" w14:textId="77777777" w:rsidR="007D4762" w:rsidRDefault="007D4762">
      <w:pPr>
        <w:spacing w:after="40"/>
        <w:rPr>
          <w:rFonts w:hint="eastAsia"/>
        </w:rPr>
      </w:pPr>
    </w:p>
    <w:p w14:paraId="13A50773" w14:textId="77777777" w:rsidR="007D4762" w:rsidRDefault="00772FB4">
      <w:pPr>
        <w:pStyle w:val="Heading1"/>
      </w:pPr>
      <w:r>
        <w:t>IV. Scalar BitGroups and Modality Transforms</w:t>
      </w:r>
    </w:p>
    <w:p w14:paraId="3D1B95D4" w14:textId="77777777" w:rsidR="007D4762" w:rsidRDefault="00772FB4">
      <w:pPr>
        <w:spacing w:after="140" w:line="278" w:lineRule="auto"/>
        <w:rPr>
          <w:rFonts w:hint="eastAsia"/>
        </w:rPr>
      </w:pPr>
      <w:r>
        <w:rPr>
          <w:rFonts w:eastAsia="Noto Sans" w:cs="Noto Sans"/>
          <w:color w:val="24323A"/>
        </w:rPr>
        <w:t>The transform mechanism becomes especially compact when the source is a scalar BitGroup. The Semantic Kernel already provides a bounded value. AAA does not need to reinterpret the meaning of that value; it can route the decoded scalar into a registered transform formula.</w:t>
      </w:r>
    </w:p>
    <w:p w14:paraId="664FB1B1" w14:textId="77777777" w:rsidR="007D4762" w:rsidRDefault="00772FB4">
      <w:pPr>
        <w:keepNext/>
        <w:spacing w:before="120" w:after="40"/>
        <w:jc w:val="center"/>
        <w:rPr>
          <w:rFonts w:hint="eastAsia"/>
        </w:rPr>
      </w:pPr>
      <w:r>
        <w:rPr>
          <w:noProof/>
        </w:rPr>
        <w:drawing>
          <wp:inline distT="0" distB="0" distL="0" distR="0" wp14:anchorId="607B98FF" wp14:editId="00A9682D">
            <wp:extent cx="5989320" cy="2010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scalar_packet.png"/>
                    <pic:cNvPicPr/>
                  </pic:nvPicPr>
                  <pic:blipFill>
                    <a:blip r:embed="rId17"/>
                    <a:stretch>
                      <a:fillRect/>
                    </a:stretch>
                  </pic:blipFill>
                  <pic:spPr>
                    <a:xfrm>
                      <a:off x="0" y="0"/>
                      <a:ext cx="5989320" cy="2010700"/>
                    </a:xfrm>
                    <a:prstGeom prst="rect">
                      <a:avLst/>
                    </a:prstGeom>
                  </pic:spPr>
                </pic:pic>
              </a:graphicData>
            </a:graphic>
          </wp:inline>
        </w:drawing>
      </w:r>
    </w:p>
    <w:p w14:paraId="1A60BEAD" w14:textId="77777777" w:rsidR="007D4762" w:rsidRDefault="00772FB4">
      <w:pPr>
        <w:spacing w:before="80" w:after="120"/>
        <w:jc w:val="center"/>
        <w:rPr>
          <w:rFonts w:hint="eastAsia"/>
        </w:rPr>
      </w:pPr>
      <w:r>
        <w:rPr>
          <w:rFonts w:eastAsia="Noto Sans" w:cs="Noto Sans"/>
          <w:b/>
          <w:color w:val="5F6C73"/>
          <w:sz w:val="18"/>
        </w:rPr>
        <w:t>Figure 10. A scalar BitGroup value becomes the payload carried by a Packet.</w:t>
      </w:r>
    </w:p>
    <w:p w14:paraId="0C7FB17E" w14:textId="77777777" w:rsidR="007D4762" w:rsidRDefault="00772FB4">
      <w:pPr>
        <w:keepNext/>
        <w:spacing w:before="120" w:after="40"/>
        <w:jc w:val="center"/>
        <w:rPr>
          <w:rFonts w:hint="eastAsia"/>
        </w:rPr>
      </w:pPr>
      <w:r>
        <w:rPr>
          <w:noProof/>
        </w:rPr>
        <w:drawing>
          <wp:inline distT="0" distB="0" distL="0" distR="0" wp14:anchorId="7E0E2B49" wp14:editId="009F7E6B">
            <wp:extent cx="5989320" cy="192513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scalar_anatomy.png"/>
                    <pic:cNvPicPr/>
                  </pic:nvPicPr>
                  <pic:blipFill>
                    <a:blip r:embed="rId18"/>
                    <a:stretch>
                      <a:fillRect/>
                    </a:stretch>
                  </pic:blipFill>
                  <pic:spPr>
                    <a:xfrm>
                      <a:off x="0" y="0"/>
                      <a:ext cx="5989320" cy="1925139"/>
                    </a:xfrm>
                    <a:prstGeom prst="rect">
                      <a:avLst/>
                    </a:prstGeom>
                  </pic:spPr>
                </pic:pic>
              </a:graphicData>
            </a:graphic>
          </wp:inline>
        </w:drawing>
      </w:r>
    </w:p>
    <w:p w14:paraId="19C8DC8F" w14:textId="77777777" w:rsidR="007D4762" w:rsidRDefault="00772FB4">
      <w:pPr>
        <w:spacing w:before="80" w:after="120"/>
        <w:jc w:val="center"/>
        <w:rPr>
          <w:rFonts w:hint="eastAsia"/>
        </w:rPr>
      </w:pPr>
      <w:r>
        <w:rPr>
          <w:rFonts w:eastAsia="Noto Sans" w:cs="Noto Sans"/>
          <w:b/>
          <w:color w:val="5F6C73"/>
          <w:sz w:val="18"/>
        </w:rPr>
        <w:t>Figure 11. Generic scalar transform anatomy.</w:t>
      </w:r>
    </w:p>
    <w:p w14:paraId="49C20CC0" w14:textId="77777777" w:rsidR="007D4762" w:rsidRDefault="00772FB4">
      <w:pPr>
        <w:spacing w:after="140" w:line="278" w:lineRule="auto"/>
        <w:rPr>
          <w:rFonts w:hint="eastAsia"/>
        </w:rPr>
      </w:pPr>
      <w:r>
        <w:rPr>
          <w:rFonts w:eastAsia="Noto Sans" w:cs="Noto Sans"/>
          <w:color w:val="24323A"/>
        </w:rPr>
        <w:t>A simple transform can be modeled as source decoding → normalization → formula → bounds → target range. The exact function is transform-specific. Linear, curved, logarithmic, stepped, inverted, or other mappings can coexist so long as the transform record makes the mapping explicit.</w:t>
      </w:r>
    </w:p>
    <w:tbl>
      <w:tblPr>
        <w:tblW w:w="0" w:type="auto"/>
        <w:jc w:val="center"/>
        <w:tblLayout w:type="fixed"/>
        <w:tblLook w:val="04A0" w:firstRow="1" w:lastRow="0" w:firstColumn="1" w:lastColumn="0" w:noHBand="0" w:noVBand="1"/>
      </w:tblPr>
      <w:tblGrid>
        <w:gridCol w:w="9878"/>
      </w:tblGrid>
      <w:tr w:rsidR="007D4762" w14:paraId="47F3D771"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3470016F" w14:textId="77777777" w:rsidR="007D4762" w:rsidRDefault="00772FB4">
            <w:pPr>
              <w:spacing w:after="0" w:line="283" w:lineRule="auto"/>
              <w:rPr>
                <w:rFonts w:hint="eastAsia"/>
              </w:rPr>
            </w:pPr>
            <w:r>
              <w:rPr>
                <w:rFonts w:eastAsia="Noto Sans" w:cs="Noto Sans"/>
                <w:b/>
                <w:color w:val="B4763B"/>
              </w:rPr>
              <w:t>GENERIC FORM · NON-CANONICAL EXAMPLE</w:t>
            </w:r>
            <w:r>
              <w:br/>
            </w:r>
            <w:r>
              <w:rPr>
                <w:rFonts w:eastAsia="Noto Sans" w:cs="Noto Sans"/>
                <w:color w:val="24323A"/>
                <w:sz w:val="20"/>
              </w:rPr>
              <w:t>For a bounded linear mapping, a runtime may normalize n = clamp((s - s_min)/(s_max - s_min), 0, 1), then resolve t = t_min + g(n)(t_max - t_min), where g is the transform curve. This is an implementation pattern, not a requirement that every AAA transform be linear.</w:t>
            </w:r>
          </w:p>
        </w:tc>
      </w:tr>
    </w:tbl>
    <w:p w14:paraId="709CD4E7" w14:textId="77777777" w:rsidR="007D4762" w:rsidRDefault="007D4762">
      <w:pPr>
        <w:spacing w:after="40"/>
        <w:rPr>
          <w:rFonts w:hint="eastAsia"/>
        </w:rPr>
      </w:pPr>
    </w:p>
    <w:p w14:paraId="4BA08D5D" w14:textId="77777777" w:rsidR="007D4762" w:rsidRDefault="00772FB4">
      <w:pPr>
        <w:keepNext/>
        <w:spacing w:before="120" w:after="40"/>
        <w:jc w:val="center"/>
        <w:rPr>
          <w:rFonts w:hint="eastAsia"/>
        </w:rPr>
      </w:pPr>
      <w:r>
        <w:rPr>
          <w:noProof/>
        </w:rPr>
        <w:drawing>
          <wp:inline distT="0" distB="0" distL="0" distR="0" wp14:anchorId="01C1874C" wp14:editId="78701977">
            <wp:extent cx="5989320" cy="2010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pitch_color.png"/>
                    <pic:cNvPicPr/>
                  </pic:nvPicPr>
                  <pic:blipFill>
                    <a:blip r:embed="rId19"/>
                    <a:stretch>
                      <a:fillRect/>
                    </a:stretch>
                  </pic:blipFill>
                  <pic:spPr>
                    <a:xfrm>
                      <a:off x="0" y="0"/>
                      <a:ext cx="5989320" cy="2010700"/>
                    </a:xfrm>
                    <a:prstGeom prst="rect">
                      <a:avLst/>
                    </a:prstGeom>
                  </pic:spPr>
                </pic:pic>
              </a:graphicData>
            </a:graphic>
          </wp:inline>
        </w:drawing>
      </w:r>
    </w:p>
    <w:p w14:paraId="695C14C1" w14:textId="77777777" w:rsidR="007D4762" w:rsidRDefault="00772FB4">
      <w:pPr>
        <w:spacing w:before="80" w:after="120"/>
        <w:jc w:val="center"/>
        <w:rPr>
          <w:rFonts w:hint="eastAsia"/>
        </w:rPr>
      </w:pPr>
      <w:r>
        <w:rPr>
          <w:rFonts w:eastAsia="Noto Sans" w:cs="Noto Sans"/>
          <w:b/>
          <w:color w:val="5F6C73"/>
          <w:sz w:val="18"/>
        </w:rPr>
        <w:t>Figure 12. Example: Pitch scalar transformed into a Color expression.</w:t>
      </w:r>
    </w:p>
    <w:p w14:paraId="0C952681" w14:textId="77777777" w:rsidR="007D4762" w:rsidRDefault="00772FB4">
      <w:pPr>
        <w:keepNext/>
        <w:spacing w:before="120" w:after="40"/>
        <w:jc w:val="center"/>
        <w:rPr>
          <w:rFonts w:hint="eastAsia"/>
        </w:rPr>
      </w:pPr>
      <w:r>
        <w:rPr>
          <w:noProof/>
        </w:rPr>
        <w:drawing>
          <wp:inline distT="0" distB="0" distL="0" distR="0" wp14:anchorId="7F8DF208" wp14:editId="038B21E8">
            <wp:extent cx="5989320" cy="22246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frequency_spacing.png"/>
                    <pic:cNvPicPr/>
                  </pic:nvPicPr>
                  <pic:blipFill>
                    <a:blip r:embed="rId20"/>
                    <a:stretch>
                      <a:fillRect/>
                    </a:stretch>
                  </pic:blipFill>
                  <pic:spPr>
                    <a:xfrm>
                      <a:off x="0" y="0"/>
                      <a:ext cx="5989320" cy="2224605"/>
                    </a:xfrm>
                    <a:prstGeom prst="rect">
                      <a:avLst/>
                    </a:prstGeom>
                  </pic:spPr>
                </pic:pic>
              </a:graphicData>
            </a:graphic>
          </wp:inline>
        </w:drawing>
      </w:r>
    </w:p>
    <w:p w14:paraId="50F2D60A" w14:textId="77777777" w:rsidR="007D4762" w:rsidRDefault="00772FB4">
      <w:pPr>
        <w:spacing w:before="80" w:after="120"/>
        <w:jc w:val="center"/>
        <w:rPr>
          <w:rFonts w:hint="eastAsia"/>
        </w:rPr>
      </w:pPr>
      <w:r>
        <w:rPr>
          <w:rFonts w:eastAsia="Noto Sans" w:cs="Noto Sans"/>
          <w:b/>
          <w:color w:val="5F6C73"/>
          <w:sz w:val="18"/>
        </w:rPr>
        <w:t>Figure 13. Example: Frequency transformed into particle spacing.</w:t>
      </w:r>
    </w:p>
    <w:p w14:paraId="0F0A19CC" w14:textId="77777777" w:rsidR="007D4762" w:rsidRDefault="00772FB4">
      <w:pPr>
        <w:keepNext/>
        <w:spacing w:before="120" w:after="40"/>
        <w:jc w:val="center"/>
        <w:rPr>
          <w:rFonts w:hint="eastAsia"/>
        </w:rPr>
      </w:pPr>
      <w:r>
        <w:rPr>
          <w:noProof/>
        </w:rPr>
        <w:drawing>
          <wp:inline distT="0" distB="0" distL="0" distR="0" wp14:anchorId="0BA084A5" wp14:editId="280D6CBC">
            <wp:extent cx="5989320" cy="22246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pitch_speed.png"/>
                    <pic:cNvPicPr/>
                  </pic:nvPicPr>
                  <pic:blipFill>
                    <a:blip r:embed="rId21"/>
                    <a:stretch>
                      <a:fillRect/>
                    </a:stretch>
                  </pic:blipFill>
                  <pic:spPr>
                    <a:xfrm>
                      <a:off x="0" y="0"/>
                      <a:ext cx="5989320" cy="2224605"/>
                    </a:xfrm>
                    <a:prstGeom prst="rect">
                      <a:avLst/>
                    </a:prstGeom>
                  </pic:spPr>
                </pic:pic>
              </a:graphicData>
            </a:graphic>
          </wp:inline>
        </w:drawing>
      </w:r>
    </w:p>
    <w:p w14:paraId="118C6A9F" w14:textId="77777777" w:rsidR="007D4762" w:rsidRDefault="00772FB4">
      <w:pPr>
        <w:spacing w:before="80" w:after="120"/>
        <w:jc w:val="center"/>
        <w:rPr>
          <w:rFonts w:hint="eastAsia"/>
        </w:rPr>
      </w:pPr>
      <w:r>
        <w:rPr>
          <w:rFonts w:eastAsia="Noto Sans" w:cs="Noto Sans"/>
          <w:b/>
          <w:color w:val="5F6C73"/>
          <w:sz w:val="18"/>
        </w:rPr>
        <w:t>Figure 14. Example: Pitch transformed into particle speed.</w:t>
      </w:r>
    </w:p>
    <w:p w14:paraId="52E3227D" w14:textId="77777777" w:rsidR="007D4762" w:rsidRDefault="00772FB4">
      <w:pPr>
        <w:pStyle w:val="Heading2"/>
      </w:pPr>
      <w:r>
        <w:t>One input, one or many outputs</w:t>
      </w:r>
    </w:p>
    <w:p w14:paraId="6EAEEF3F" w14:textId="77777777" w:rsidR="007D4762" w:rsidRDefault="00772FB4">
      <w:pPr>
        <w:keepNext/>
        <w:spacing w:before="120" w:after="40"/>
        <w:jc w:val="center"/>
        <w:rPr>
          <w:rFonts w:hint="eastAsia"/>
        </w:rPr>
      </w:pPr>
      <w:r>
        <w:rPr>
          <w:noProof/>
        </w:rPr>
        <w:drawing>
          <wp:inline distT="0" distB="0" distL="0" distR="0" wp14:anchorId="26112404" wp14:editId="7A9F7E5F">
            <wp:extent cx="5989320" cy="2010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one_packet_one_expr.png"/>
                    <pic:cNvPicPr/>
                  </pic:nvPicPr>
                  <pic:blipFill>
                    <a:blip r:embed="rId22"/>
                    <a:stretch>
                      <a:fillRect/>
                    </a:stretch>
                  </pic:blipFill>
                  <pic:spPr>
                    <a:xfrm>
                      <a:off x="0" y="0"/>
                      <a:ext cx="5989320" cy="2010700"/>
                    </a:xfrm>
                    <a:prstGeom prst="rect">
                      <a:avLst/>
                    </a:prstGeom>
                  </pic:spPr>
                </pic:pic>
              </a:graphicData>
            </a:graphic>
          </wp:inline>
        </w:drawing>
      </w:r>
    </w:p>
    <w:p w14:paraId="481D3BEC" w14:textId="77777777" w:rsidR="007D4762" w:rsidRDefault="00772FB4">
      <w:pPr>
        <w:spacing w:before="80" w:after="120"/>
        <w:jc w:val="center"/>
        <w:rPr>
          <w:rFonts w:hint="eastAsia"/>
        </w:rPr>
      </w:pPr>
      <w:r>
        <w:rPr>
          <w:rFonts w:eastAsia="Noto Sans" w:cs="Noto Sans"/>
          <w:b/>
          <w:color w:val="5F6C73"/>
          <w:sz w:val="18"/>
        </w:rPr>
        <w:t>Figure 15. One Packet transformed into one Expression.</w:t>
      </w:r>
    </w:p>
    <w:p w14:paraId="2490A620" w14:textId="77777777" w:rsidR="007D4762" w:rsidRDefault="00772FB4">
      <w:pPr>
        <w:keepNext/>
        <w:spacing w:before="120" w:after="40"/>
        <w:jc w:val="center"/>
        <w:rPr>
          <w:rFonts w:hint="eastAsia"/>
        </w:rPr>
      </w:pPr>
      <w:r>
        <w:rPr>
          <w:noProof/>
        </w:rPr>
        <w:drawing>
          <wp:inline distT="0" distB="0" distL="0" distR="0" wp14:anchorId="53C0094F" wp14:editId="0931ECDA">
            <wp:extent cx="5989320" cy="29946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one_packet_bundle.png"/>
                    <pic:cNvPicPr/>
                  </pic:nvPicPr>
                  <pic:blipFill>
                    <a:blip r:embed="rId23"/>
                    <a:stretch>
                      <a:fillRect/>
                    </a:stretch>
                  </pic:blipFill>
                  <pic:spPr>
                    <a:xfrm>
                      <a:off x="0" y="0"/>
                      <a:ext cx="5989320" cy="2994660"/>
                    </a:xfrm>
                    <a:prstGeom prst="rect">
                      <a:avLst/>
                    </a:prstGeom>
                  </pic:spPr>
                </pic:pic>
              </a:graphicData>
            </a:graphic>
          </wp:inline>
        </w:drawing>
      </w:r>
    </w:p>
    <w:p w14:paraId="5C41E7D9" w14:textId="77777777" w:rsidR="007D4762" w:rsidRDefault="00772FB4">
      <w:pPr>
        <w:spacing w:before="80" w:after="120"/>
        <w:jc w:val="center"/>
        <w:rPr>
          <w:rFonts w:hint="eastAsia"/>
        </w:rPr>
      </w:pPr>
      <w:r>
        <w:rPr>
          <w:rFonts w:eastAsia="Noto Sans" w:cs="Noto Sans"/>
          <w:b/>
          <w:color w:val="5F6C73"/>
          <w:sz w:val="18"/>
        </w:rPr>
        <w:t>Figure 16. One Packet transformed into three Expressions and returned as an Expression Bundle.</w:t>
      </w:r>
    </w:p>
    <w:p w14:paraId="676861F2" w14:textId="77777777" w:rsidR="007D4762" w:rsidRDefault="00772FB4">
      <w:pPr>
        <w:spacing w:after="140" w:line="278" w:lineRule="auto"/>
        <w:rPr>
          <w:rFonts w:hint="eastAsia"/>
        </w:rPr>
      </w:pPr>
      <w:r>
        <w:rPr>
          <w:rFonts w:eastAsia="Noto Sans" w:cs="Noto Sans"/>
          <w:color w:val="24323A"/>
        </w:rPr>
        <w:t>The distinction between Packet and Expression Bundle is structural. A Packet may carry one semantic value. One Transform execution may fan that value out across several target properties. If Pitch produces Color, Spacing, and Size, the runtime returns three Expressions. Their grouping is the Expression Bundle.</w:t>
      </w:r>
    </w:p>
    <w:p w14:paraId="2A827342" w14:textId="77777777" w:rsidR="007D4762" w:rsidRDefault="00772FB4">
      <w:pPr>
        <w:keepNext/>
        <w:spacing w:before="120" w:after="40"/>
        <w:jc w:val="center"/>
        <w:rPr>
          <w:rFonts w:hint="eastAsia"/>
        </w:rPr>
      </w:pPr>
      <w:r>
        <w:rPr>
          <w:noProof/>
        </w:rPr>
        <w:drawing>
          <wp:inline distT="0" distB="0" distL="0" distR="0" wp14:anchorId="5B580FCE" wp14:editId="5C633CE8">
            <wp:extent cx="5989320" cy="231016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bundle_anatomy.png"/>
                    <pic:cNvPicPr/>
                  </pic:nvPicPr>
                  <pic:blipFill>
                    <a:blip r:embed="rId24"/>
                    <a:stretch>
                      <a:fillRect/>
                    </a:stretch>
                  </pic:blipFill>
                  <pic:spPr>
                    <a:xfrm>
                      <a:off x="0" y="0"/>
                      <a:ext cx="5989320" cy="2310166"/>
                    </a:xfrm>
                    <a:prstGeom prst="rect">
                      <a:avLst/>
                    </a:prstGeom>
                  </pic:spPr>
                </pic:pic>
              </a:graphicData>
            </a:graphic>
          </wp:inline>
        </w:drawing>
      </w:r>
    </w:p>
    <w:p w14:paraId="698C657E" w14:textId="77777777" w:rsidR="007D4762" w:rsidRDefault="00772FB4">
      <w:pPr>
        <w:spacing w:before="80" w:after="120"/>
        <w:jc w:val="center"/>
        <w:rPr>
          <w:rFonts w:hint="eastAsia"/>
        </w:rPr>
      </w:pPr>
      <w:r>
        <w:rPr>
          <w:rFonts w:eastAsia="Noto Sans" w:cs="Noto Sans"/>
          <w:b/>
          <w:color w:val="5F6C73"/>
          <w:sz w:val="18"/>
        </w:rPr>
        <w:t>Figure 17. Expression Bundle anatomy.</w:t>
      </w:r>
    </w:p>
    <w:tbl>
      <w:tblPr>
        <w:tblW w:w="0" w:type="auto"/>
        <w:jc w:val="center"/>
        <w:tblLayout w:type="fixed"/>
        <w:tblLook w:val="04A0" w:firstRow="1" w:lastRow="0" w:firstColumn="1" w:lastColumn="0" w:noHBand="0" w:noVBand="1"/>
      </w:tblPr>
      <w:tblGrid>
        <w:gridCol w:w="9878"/>
      </w:tblGrid>
      <w:tr w:rsidR="007D4762" w14:paraId="112D3BAD"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4A1E8DA8" w14:textId="77777777" w:rsidR="007D4762" w:rsidRDefault="00772FB4">
            <w:pPr>
              <w:spacing w:after="0" w:line="283" w:lineRule="auto"/>
              <w:rPr>
                <w:rFonts w:hint="eastAsia"/>
              </w:rPr>
            </w:pPr>
            <w:r>
              <w:rPr>
                <w:rFonts w:eastAsia="Noto Sans" w:cs="Noto Sans"/>
                <w:b/>
                <w:color w:val="B4763B"/>
              </w:rPr>
              <w:t>AAA-L05 · EXPRESSION BUNDLE INTEGRITY</w:t>
            </w:r>
            <w:r>
              <w:br/>
            </w:r>
            <w:r>
              <w:rPr>
                <w:rFonts w:eastAsia="Noto Sans" w:cs="Noto Sans"/>
                <w:color w:val="24323A"/>
                <w:sz w:val="20"/>
              </w:rPr>
              <w:t>An Expression Bundle is a collection of actual Expressions. It is not another name for a Packet, Capability, transform definition, or source BitGroup.</w:t>
            </w:r>
          </w:p>
        </w:tc>
      </w:tr>
    </w:tbl>
    <w:p w14:paraId="0F5726EE" w14:textId="77777777" w:rsidR="007D4762" w:rsidRDefault="007D4762">
      <w:pPr>
        <w:spacing w:after="40"/>
        <w:rPr>
          <w:rFonts w:hint="eastAsia"/>
        </w:rPr>
      </w:pPr>
    </w:p>
    <w:p w14:paraId="1D7D2C17" w14:textId="77777777" w:rsidR="007D4762" w:rsidRDefault="00772FB4">
      <w:pPr>
        <w:keepNext/>
        <w:spacing w:before="120" w:after="40"/>
        <w:jc w:val="center"/>
        <w:rPr>
          <w:rFonts w:hint="eastAsia"/>
        </w:rPr>
      </w:pPr>
      <w:r>
        <w:rPr>
          <w:noProof/>
        </w:rPr>
        <w:drawing>
          <wp:inline distT="0" distB="0" distL="0" distR="0" wp14:anchorId="66247FC6" wp14:editId="2146B390">
            <wp:extent cx="5989320" cy="278075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multiple_packets.png"/>
                    <pic:cNvPicPr/>
                  </pic:nvPicPr>
                  <pic:blipFill>
                    <a:blip r:embed="rId25"/>
                    <a:stretch>
                      <a:fillRect/>
                    </a:stretch>
                  </pic:blipFill>
                  <pic:spPr>
                    <a:xfrm>
                      <a:off x="0" y="0"/>
                      <a:ext cx="5989320" cy="2780756"/>
                    </a:xfrm>
                    <a:prstGeom prst="rect">
                      <a:avLst/>
                    </a:prstGeom>
                  </pic:spPr>
                </pic:pic>
              </a:graphicData>
            </a:graphic>
          </wp:inline>
        </w:drawing>
      </w:r>
    </w:p>
    <w:p w14:paraId="66112799" w14:textId="77777777" w:rsidR="007D4762" w:rsidRDefault="00772FB4">
      <w:pPr>
        <w:spacing w:before="80" w:after="120"/>
        <w:jc w:val="center"/>
        <w:rPr>
          <w:rFonts w:hint="eastAsia"/>
        </w:rPr>
      </w:pPr>
      <w:r>
        <w:rPr>
          <w:rFonts w:eastAsia="Noto Sans" w:cs="Noto Sans"/>
          <w:b/>
          <w:color w:val="5F6C73"/>
          <w:sz w:val="18"/>
        </w:rPr>
        <w:t>Figure 18. Multiple scalar inputs can execute parallel transform paths.</w:t>
      </w:r>
    </w:p>
    <w:p w14:paraId="3B291018" w14:textId="77777777" w:rsidR="007D4762" w:rsidRDefault="00772FB4">
      <w:pPr>
        <w:pStyle w:val="Heading2"/>
      </w:pPr>
      <w:r>
        <w:t>Transform registry</w:t>
      </w:r>
    </w:p>
    <w:p w14:paraId="315B37B2" w14:textId="77777777" w:rsidR="007D4762" w:rsidRDefault="00772FB4">
      <w:pPr>
        <w:spacing w:after="140" w:line="278" w:lineRule="auto"/>
        <w:rPr>
          <w:rFonts w:hint="eastAsia"/>
        </w:rPr>
      </w:pPr>
      <w:r>
        <w:rPr>
          <w:rFonts w:eastAsia="Noto Sans" w:cs="Noto Sans"/>
          <w:color w:val="24323A"/>
        </w:rPr>
        <w:t>A transform table makes cross-modality mappings inspectable and reusable. Rather than embedding opaque conversion logic inside every Application, a transform record can expose the source modality, source semantic address, expected source range, formula or mapping, bounds, target modality, target range, EFFECTS binding, and version contract.</w:t>
      </w:r>
    </w:p>
    <w:p w14:paraId="13746C60" w14:textId="77777777" w:rsidR="007D4762" w:rsidRDefault="00772FB4">
      <w:pPr>
        <w:keepNext/>
        <w:spacing w:before="120" w:after="40"/>
        <w:jc w:val="center"/>
        <w:rPr>
          <w:rFonts w:hint="eastAsia"/>
        </w:rPr>
      </w:pPr>
      <w:r>
        <w:rPr>
          <w:noProof/>
        </w:rPr>
        <w:drawing>
          <wp:inline distT="0" distB="0" distL="0" distR="0" wp14:anchorId="30634C9E" wp14:editId="6C7F10CD">
            <wp:extent cx="5989320" cy="32513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transform_record.png"/>
                    <pic:cNvPicPr/>
                  </pic:nvPicPr>
                  <pic:blipFill>
                    <a:blip r:embed="rId26"/>
                    <a:stretch>
                      <a:fillRect/>
                    </a:stretch>
                  </pic:blipFill>
                  <pic:spPr>
                    <a:xfrm>
                      <a:off x="0" y="0"/>
                      <a:ext cx="5989320" cy="3251345"/>
                    </a:xfrm>
                    <a:prstGeom prst="rect">
                      <a:avLst/>
                    </a:prstGeom>
                  </pic:spPr>
                </pic:pic>
              </a:graphicData>
            </a:graphic>
          </wp:inline>
        </w:drawing>
      </w:r>
    </w:p>
    <w:p w14:paraId="746E6801" w14:textId="77777777" w:rsidR="007D4762" w:rsidRDefault="00772FB4">
      <w:pPr>
        <w:spacing w:before="80" w:after="120"/>
        <w:jc w:val="center"/>
        <w:rPr>
          <w:rFonts w:hint="eastAsia"/>
        </w:rPr>
      </w:pPr>
      <w:r>
        <w:rPr>
          <w:rFonts w:eastAsia="Noto Sans" w:cs="Noto Sans"/>
          <w:b/>
          <w:color w:val="5F6C73"/>
          <w:sz w:val="18"/>
        </w:rPr>
        <w:t>Figure 19. Reference anatomy for a Transform record.</w:t>
      </w:r>
    </w:p>
    <w:tbl>
      <w:tblPr>
        <w:tblW w:w="0" w:type="auto"/>
        <w:jc w:val="center"/>
        <w:tblLayout w:type="fixed"/>
        <w:tblLook w:val="04A0" w:firstRow="1" w:lastRow="0" w:firstColumn="1" w:lastColumn="0" w:noHBand="0" w:noVBand="1"/>
      </w:tblPr>
      <w:tblGrid>
        <w:gridCol w:w="4939"/>
        <w:gridCol w:w="6336"/>
      </w:tblGrid>
      <w:tr w:rsidR="007D4762" w14:paraId="1E0291D5" w14:textId="77777777">
        <w:trPr>
          <w:tblHeader/>
          <w:jc w:val="center"/>
        </w:trPr>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4A98D2FE" w14:textId="77777777" w:rsidR="007D4762" w:rsidRDefault="00772FB4">
            <w:pPr>
              <w:spacing w:after="0" w:line="252" w:lineRule="auto"/>
              <w:jc w:val="center"/>
              <w:rPr>
                <w:rFonts w:hint="eastAsia"/>
              </w:rPr>
            </w:pPr>
            <w:r>
              <w:rPr>
                <w:rFonts w:eastAsia="Noto Sans" w:cs="Noto Sans"/>
                <w:b/>
                <w:color w:val="FFFFFF"/>
                <w:sz w:val="18"/>
              </w:rPr>
              <w:t>Field</w:t>
            </w:r>
          </w:p>
        </w:tc>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63E33203" w14:textId="77777777" w:rsidR="007D4762" w:rsidRDefault="00772FB4">
            <w:pPr>
              <w:spacing w:after="0" w:line="252" w:lineRule="auto"/>
              <w:jc w:val="center"/>
              <w:rPr>
                <w:rFonts w:hint="eastAsia"/>
              </w:rPr>
            </w:pPr>
            <w:r>
              <w:rPr>
                <w:rFonts w:eastAsia="Noto Sans" w:cs="Noto Sans"/>
                <w:b/>
                <w:color w:val="FFFFFF"/>
                <w:sz w:val="18"/>
              </w:rPr>
              <w:t>Purpose</w:t>
            </w:r>
          </w:p>
        </w:tc>
      </w:tr>
      <w:tr w:rsidR="007D4762" w14:paraId="2751F70B"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3A14BB4" w14:textId="77777777" w:rsidR="007D4762" w:rsidRDefault="00772FB4">
            <w:pPr>
              <w:spacing w:after="0" w:line="259" w:lineRule="auto"/>
              <w:jc w:val="center"/>
              <w:rPr>
                <w:rFonts w:hint="eastAsia"/>
              </w:rPr>
            </w:pPr>
            <w:r>
              <w:rPr>
                <w:rFonts w:eastAsia="Noto Sans" w:cs="Noto Sans"/>
                <w:color w:val="24323A"/>
                <w:sz w:val="18"/>
              </w:rPr>
              <w:t>Transform ID</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DE2227D" w14:textId="77777777" w:rsidR="007D4762" w:rsidRDefault="00772FB4">
            <w:pPr>
              <w:spacing w:after="0" w:line="259" w:lineRule="auto"/>
              <w:rPr>
                <w:rFonts w:hint="eastAsia"/>
              </w:rPr>
            </w:pPr>
            <w:r>
              <w:rPr>
                <w:rFonts w:eastAsia="Noto Sans" w:cs="Noto Sans"/>
                <w:color w:val="24323A"/>
                <w:sz w:val="18"/>
              </w:rPr>
              <w:t>Stable identity for the mapping contract.</w:t>
            </w:r>
          </w:p>
        </w:tc>
      </w:tr>
      <w:tr w:rsidR="007D4762" w14:paraId="26717CF1"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E7F2E7A" w14:textId="77777777" w:rsidR="007D4762" w:rsidRDefault="00772FB4">
            <w:pPr>
              <w:spacing w:after="0" w:line="259" w:lineRule="auto"/>
              <w:jc w:val="center"/>
              <w:rPr>
                <w:rFonts w:hint="eastAsia"/>
              </w:rPr>
            </w:pPr>
            <w:r>
              <w:rPr>
                <w:rFonts w:eastAsia="Noto Sans" w:cs="Noto Sans"/>
                <w:color w:val="24323A"/>
                <w:sz w:val="18"/>
              </w:rPr>
              <w:t>Source Modality</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026AAC1" w14:textId="77777777" w:rsidR="007D4762" w:rsidRDefault="00772FB4">
            <w:pPr>
              <w:spacing w:after="0" w:line="259" w:lineRule="auto"/>
              <w:rPr>
                <w:rFonts w:hint="eastAsia"/>
              </w:rPr>
            </w:pPr>
            <w:r>
              <w:rPr>
                <w:rFonts w:eastAsia="Noto Sans" w:cs="Noto Sans"/>
                <w:color w:val="24323A"/>
                <w:sz w:val="18"/>
              </w:rPr>
              <w:t>The semantic or measured dimension entering the transform.</w:t>
            </w:r>
          </w:p>
        </w:tc>
      </w:tr>
      <w:tr w:rsidR="007D4762" w14:paraId="61E5758F"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AD2E052" w14:textId="77777777" w:rsidR="007D4762" w:rsidRDefault="00772FB4">
            <w:pPr>
              <w:spacing w:after="0" w:line="259" w:lineRule="auto"/>
              <w:jc w:val="center"/>
              <w:rPr>
                <w:rFonts w:hint="eastAsia"/>
              </w:rPr>
            </w:pPr>
            <w:r>
              <w:rPr>
                <w:rFonts w:eastAsia="Noto Sans" w:cs="Noto Sans"/>
                <w:color w:val="24323A"/>
                <w:sz w:val="18"/>
              </w:rPr>
              <w:t>Source BitGroup / Address</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6F4A186" w14:textId="77777777" w:rsidR="007D4762" w:rsidRDefault="00772FB4">
            <w:pPr>
              <w:spacing w:after="0" w:line="259" w:lineRule="auto"/>
              <w:rPr>
                <w:rFonts w:hint="eastAsia"/>
              </w:rPr>
            </w:pPr>
            <w:r>
              <w:rPr>
                <w:rFonts w:eastAsia="Noto Sans" w:cs="Noto Sans"/>
                <w:color w:val="24323A"/>
                <w:sz w:val="18"/>
              </w:rPr>
              <w:t>Exact governed source of the scalar value.</w:t>
            </w:r>
          </w:p>
        </w:tc>
      </w:tr>
      <w:tr w:rsidR="007D4762" w14:paraId="1039385F"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ADBCDA9" w14:textId="77777777" w:rsidR="007D4762" w:rsidRDefault="00772FB4">
            <w:pPr>
              <w:spacing w:after="0" w:line="259" w:lineRule="auto"/>
              <w:jc w:val="center"/>
              <w:rPr>
                <w:rFonts w:hint="eastAsia"/>
              </w:rPr>
            </w:pPr>
            <w:r>
              <w:rPr>
                <w:rFonts w:eastAsia="Noto Sans" w:cs="Noto Sans"/>
                <w:color w:val="24323A"/>
                <w:sz w:val="18"/>
              </w:rPr>
              <w:t>Source Range</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D6D96A7" w14:textId="77777777" w:rsidR="007D4762" w:rsidRDefault="00772FB4">
            <w:pPr>
              <w:spacing w:after="0" w:line="259" w:lineRule="auto"/>
              <w:rPr>
                <w:rFonts w:hint="eastAsia"/>
              </w:rPr>
            </w:pPr>
            <w:r>
              <w:rPr>
                <w:rFonts w:eastAsia="Noto Sans" w:cs="Noto Sans"/>
                <w:color w:val="24323A"/>
                <w:sz w:val="18"/>
              </w:rPr>
              <w:t>Declared domain of the source value.</w:t>
            </w:r>
          </w:p>
        </w:tc>
      </w:tr>
      <w:tr w:rsidR="007D4762" w14:paraId="678C2CEE"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E3454B9" w14:textId="77777777" w:rsidR="007D4762" w:rsidRDefault="00772FB4">
            <w:pPr>
              <w:spacing w:after="0" w:line="259" w:lineRule="auto"/>
              <w:jc w:val="center"/>
              <w:rPr>
                <w:rFonts w:hint="eastAsia"/>
              </w:rPr>
            </w:pPr>
            <w:r>
              <w:rPr>
                <w:rFonts w:eastAsia="Noto Sans" w:cs="Noto Sans"/>
                <w:color w:val="24323A"/>
                <w:sz w:val="18"/>
              </w:rPr>
              <w:t>Formula / Mapping</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8A33099" w14:textId="77777777" w:rsidR="007D4762" w:rsidRDefault="00772FB4">
            <w:pPr>
              <w:spacing w:after="0" w:line="259" w:lineRule="auto"/>
              <w:rPr>
                <w:rFonts w:hint="eastAsia"/>
              </w:rPr>
            </w:pPr>
            <w:r>
              <w:rPr>
                <w:rFonts w:ascii="DejaVu Sans" w:eastAsia="DejaVu Sans" w:hAnsi="DejaVu Sans" w:cs="DejaVu Sans"/>
                <w:color w:val="24323A"/>
                <w:sz w:val="18"/>
              </w:rPr>
              <w:t>The conversion applied by x▪</w:t>
            </w:r>
            <w:r>
              <w:rPr>
                <w:rFonts w:ascii="DejaVu Sans" w:eastAsia="DejaVu Sans" w:hAnsi="DejaVu Sans" w:cs="DejaVu Sans"/>
                <w:color w:val="24323A"/>
                <w:sz w:val="18"/>
              </w:rPr>
              <w:t>︎</w:t>
            </w:r>
            <w:r>
              <w:rPr>
                <w:rFonts w:ascii="DejaVu Sans" w:eastAsia="DejaVu Sans" w:hAnsi="DejaVu Sans" w:cs="DejaVu Sans"/>
                <w:color w:val="24323A"/>
                <w:sz w:val="18"/>
              </w:rPr>
              <w:t>x.</w:t>
            </w:r>
          </w:p>
        </w:tc>
      </w:tr>
      <w:tr w:rsidR="007D4762" w14:paraId="577ED452"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7A48E04" w14:textId="77777777" w:rsidR="007D4762" w:rsidRDefault="00772FB4">
            <w:pPr>
              <w:spacing w:after="0" w:line="259" w:lineRule="auto"/>
              <w:jc w:val="center"/>
              <w:rPr>
                <w:rFonts w:hint="eastAsia"/>
              </w:rPr>
            </w:pPr>
            <w:r>
              <w:rPr>
                <w:rFonts w:eastAsia="Noto Sans" w:cs="Noto Sans"/>
                <w:color w:val="24323A"/>
                <w:sz w:val="18"/>
              </w:rPr>
              <w:t>Normalization / Bounds</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EE8E3FA" w14:textId="77777777" w:rsidR="007D4762" w:rsidRDefault="00772FB4">
            <w:pPr>
              <w:spacing w:after="0" w:line="259" w:lineRule="auto"/>
              <w:rPr>
                <w:rFonts w:hint="eastAsia"/>
              </w:rPr>
            </w:pPr>
            <w:r>
              <w:rPr>
                <w:rFonts w:eastAsia="Noto Sans" w:cs="Noto Sans"/>
                <w:color w:val="24323A"/>
                <w:sz w:val="18"/>
              </w:rPr>
              <w:t>How the value is normalized, clamped, inverted, stepped, or otherwise constrained.</w:t>
            </w:r>
          </w:p>
        </w:tc>
      </w:tr>
      <w:tr w:rsidR="007D4762" w14:paraId="414F1C2B"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7A43A36" w14:textId="77777777" w:rsidR="007D4762" w:rsidRDefault="00772FB4">
            <w:pPr>
              <w:spacing w:after="0" w:line="259" w:lineRule="auto"/>
              <w:jc w:val="center"/>
              <w:rPr>
                <w:rFonts w:hint="eastAsia"/>
              </w:rPr>
            </w:pPr>
            <w:r>
              <w:rPr>
                <w:rFonts w:eastAsia="Noto Sans" w:cs="Noto Sans"/>
                <w:color w:val="24323A"/>
                <w:sz w:val="18"/>
              </w:rPr>
              <w:t>Target Modality</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259FD17" w14:textId="77777777" w:rsidR="007D4762" w:rsidRDefault="00772FB4">
            <w:pPr>
              <w:spacing w:after="0" w:line="259" w:lineRule="auto"/>
              <w:rPr>
                <w:rFonts w:hint="eastAsia"/>
              </w:rPr>
            </w:pPr>
            <w:r>
              <w:rPr>
                <w:rFonts w:eastAsia="Noto Sans" w:cs="Noto Sans"/>
                <w:color w:val="24323A"/>
                <w:sz w:val="18"/>
              </w:rPr>
              <w:t>Color, size, speed, spacing, sound, motion, shape, or another supported dimension.</w:t>
            </w:r>
          </w:p>
        </w:tc>
      </w:tr>
      <w:tr w:rsidR="007D4762" w14:paraId="60EDB1DA"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2F87C09" w14:textId="77777777" w:rsidR="007D4762" w:rsidRDefault="00772FB4">
            <w:pPr>
              <w:spacing w:after="0" w:line="259" w:lineRule="auto"/>
              <w:jc w:val="center"/>
              <w:rPr>
                <w:rFonts w:hint="eastAsia"/>
              </w:rPr>
            </w:pPr>
            <w:r>
              <w:rPr>
                <w:rFonts w:eastAsia="Noto Sans" w:cs="Noto Sans"/>
                <w:color w:val="24323A"/>
                <w:sz w:val="18"/>
              </w:rPr>
              <w:t>Target Property / Range</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1BB13A6" w14:textId="77777777" w:rsidR="007D4762" w:rsidRDefault="00772FB4">
            <w:pPr>
              <w:spacing w:after="0" w:line="259" w:lineRule="auto"/>
              <w:rPr>
                <w:rFonts w:hint="eastAsia"/>
              </w:rPr>
            </w:pPr>
            <w:r>
              <w:rPr>
                <w:rFonts w:eastAsia="Noto Sans" w:cs="Noto Sans"/>
                <w:color w:val="24323A"/>
                <w:sz w:val="18"/>
              </w:rPr>
              <w:t>Exact output property and legal target range.</w:t>
            </w:r>
          </w:p>
        </w:tc>
      </w:tr>
      <w:tr w:rsidR="007D4762" w14:paraId="4DAF268A"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9CCDD47" w14:textId="77777777" w:rsidR="007D4762" w:rsidRDefault="00772FB4">
            <w:pPr>
              <w:spacing w:after="0" w:line="259" w:lineRule="auto"/>
              <w:jc w:val="center"/>
              <w:rPr>
                <w:rFonts w:hint="eastAsia"/>
              </w:rPr>
            </w:pPr>
            <w:r>
              <w:rPr>
                <w:rFonts w:eastAsia="Noto Sans" w:cs="Noto Sans"/>
                <w:color w:val="24323A"/>
                <w:sz w:val="18"/>
              </w:rPr>
              <w:t>EFFECTS Binding</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351A18A" w14:textId="77777777" w:rsidR="007D4762" w:rsidRDefault="00772FB4">
            <w:pPr>
              <w:spacing w:after="0" w:line="259" w:lineRule="auto"/>
              <w:rPr>
                <w:rFonts w:hint="eastAsia"/>
              </w:rPr>
            </w:pPr>
            <w:r>
              <w:rPr>
                <w:rFonts w:eastAsia="Noto Sans" w:cs="Noto Sans"/>
                <w:color w:val="24323A"/>
                <w:sz w:val="18"/>
              </w:rPr>
              <w:t>The rendering/effect mechanism that can consume the transformed value.</w:t>
            </w:r>
          </w:p>
        </w:tc>
      </w:tr>
      <w:tr w:rsidR="007D4762" w14:paraId="2142374E" w14:textId="77777777">
        <w:trPr>
          <w:cantSplit/>
          <w:jc w:val="center"/>
        </w:trPr>
        <w:tc>
          <w:tcPr>
            <w:tcW w:w="288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3665C31" w14:textId="77777777" w:rsidR="007D4762" w:rsidRDefault="00772FB4">
            <w:pPr>
              <w:spacing w:after="0" w:line="259" w:lineRule="auto"/>
              <w:jc w:val="center"/>
              <w:rPr>
                <w:rFonts w:hint="eastAsia"/>
              </w:rPr>
            </w:pPr>
            <w:r>
              <w:rPr>
                <w:rFonts w:eastAsia="Noto Sans" w:cs="Noto Sans"/>
                <w:color w:val="24323A"/>
                <w:sz w:val="18"/>
              </w:rPr>
              <w:t>Version</w:t>
            </w:r>
          </w:p>
        </w:tc>
        <w:tc>
          <w:tcPr>
            <w:tcW w:w="633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8EB9866" w14:textId="77777777" w:rsidR="007D4762" w:rsidRDefault="00772FB4">
            <w:pPr>
              <w:spacing w:after="0" w:line="259" w:lineRule="auto"/>
              <w:rPr>
                <w:rFonts w:hint="eastAsia"/>
              </w:rPr>
            </w:pPr>
            <w:r>
              <w:rPr>
                <w:rFonts w:eastAsia="Noto Sans" w:cs="Noto Sans"/>
                <w:color w:val="24323A"/>
                <w:sz w:val="18"/>
              </w:rPr>
              <w:t>Transform contract version used for reproducibility.</w:t>
            </w:r>
          </w:p>
        </w:tc>
      </w:tr>
    </w:tbl>
    <w:p w14:paraId="0450724C" w14:textId="77777777" w:rsidR="007D4762" w:rsidRDefault="007D4762">
      <w:pPr>
        <w:spacing w:after="80"/>
        <w:rPr>
          <w:rFonts w:hint="eastAsia"/>
        </w:rPr>
      </w:pPr>
    </w:p>
    <w:p w14:paraId="1D3D819D" w14:textId="77777777" w:rsidR="007D4762" w:rsidRDefault="00772FB4">
      <w:pPr>
        <w:keepNext/>
        <w:spacing w:before="120" w:after="40"/>
        <w:jc w:val="center"/>
        <w:rPr>
          <w:rFonts w:hint="eastAsia"/>
        </w:rPr>
      </w:pPr>
      <w:r>
        <w:rPr>
          <w:noProof/>
        </w:rPr>
        <w:drawing>
          <wp:inline distT="0" distB="0" distL="0" distR="0" wp14:anchorId="61B48CA5" wp14:editId="66847FAA">
            <wp:extent cx="5989320" cy="29946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transform_matrix.png"/>
                    <pic:cNvPicPr/>
                  </pic:nvPicPr>
                  <pic:blipFill>
                    <a:blip r:embed="rId27"/>
                    <a:stretch>
                      <a:fillRect/>
                    </a:stretch>
                  </pic:blipFill>
                  <pic:spPr>
                    <a:xfrm>
                      <a:off x="0" y="0"/>
                      <a:ext cx="5989320" cy="2994660"/>
                    </a:xfrm>
                    <a:prstGeom prst="rect">
                      <a:avLst/>
                    </a:prstGeom>
                  </pic:spPr>
                </pic:pic>
              </a:graphicData>
            </a:graphic>
          </wp:inline>
        </w:drawing>
      </w:r>
    </w:p>
    <w:p w14:paraId="5BA219C2" w14:textId="77777777" w:rsidR="007D4762" w:rsidRDefault="00772FB4">
      <w:pPr>
        <w:spacing w:before="80" w:after="120"/>
        <w:jc w:val="center"/>
        <w:rPr>
          <w:rFonts w:hint="eastAsia"/>
        </w:rPr>
      </w:pPr>
      <w:r>
        <w:rPr>
          <w:rFonts w:eastAsia="Noto Sans" w:cs="Noto Sans"/>
          <w:b/>
          <w:color w:val="5F6C73"/>
          <w:sz w:val="18"/>
        </w:rPr>
        <w:t>Figure 20. Transform matrix showing which source-to-target mappings are registered.</w:t>
      </w:r>
    </w:p>
    <w:p w14:paraId="74C30A61" w14:textId="77777777" w:rsidR="007D4762" w:rsidRDefault="00772FB4">
      <w:pPr>
        <w:spacing w:after="140" w:line="278" w:lineRule="auto"/>
        <w:rPr>
          <w:rFonts w:hint="eastAsia"/>
        </w:rPr>
      </w:pPr>
      <w:r>
        <w:rPr>
          <w:rFonts w:eastAsia="Noto Sans" w:cs="Noto Sans"/>
          <w:color w:val="24323A"/>
        </w:rPr>
        <w:t>The transform matrix is a useful authoring and debugging view. A populated cell means a declared mapping exists. Blank cells mean no mapping has been registered; the runtime should not infer one merely because a target modality is technically available.</w:t>
      </w:r>
    </w:p>
    <w:p w14:paraId="79722272" w14:textId="77777777" w:rsidR="007D4762" w:rsidRDefault="00772FB4">
      <w:pPr>
        <w:keepNext/>
        <w:spacing w:before="120" w:after="40"/>
        <w:jc w:val="center"/>
        <w:rPr>
          <w:rFonts w:hint="eastAsia"/>
        </w:rPr>
      </w:pPr>
      <w:r>
        <w:rPr>
          <w:noProof/>
        </w:rPr>
        <w:drawing>
          <wp:inline distT="0" distB="0" distL="0" distR="0" wp14:anchorId="042281EA" wp14:editId="3ADEA9BA">
            <wp:extent cx="5989320" cy="278075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one_source_many.png"/>
                    <pic:cNvPicPr/>
                  </pic:nvPicPr>
                  <pic:blipFill>
                    <a:blip r:embed="rId28"/>
                    <a:stretch>
                      <a:fillRect/>
                    </a:stretch>
                  </pic:blipFill>
                  <pic:spPr>
                    <a:xfrm>
                      <a:off x="0" y="0"/>
                      <a:ext cx="5989320" cy="2780756"/>
                    </a:xfrm>
                    <a:prstGeom prst="rect">
                      <a:avLst/>
                    </a:prstGeom>
                  </pic:spPr>
                </pic:pic>
              </a:graphicData>
            </a:graphic>
          </wp:inline>
        </w:drawing>
      </w:r>
    </w:p>
    <w:p w14:paraId="2AA06F51" w14:textId="77777777" w:rsidR="007D4762" w:rsidRDefault="00772FB4">
      <w:pPr>
        <w:spacing w:before="80" w:after="120"/>
        <w:jc w:val="center"/>
        <w:rPr>
          <w:rFonts w:hint="eastAsia"/>
        </w:rPr>
      </w:pPr>
      <w:r>
        <w:rPr>
          <w:rFonts w:eastAsia="Noto Sans" w:cs="Noto Sans"/>
          <w:b/>
          <w:color w:val="5F6C73"/>
          <w:sz w:val="18"/>
        </w:rPr>
        <w:t>Figure 21. One source scalar may have several independent transforms.</w:t>
      </w:r>
    </w:p>
    <w:p w14:paraId="67DB52A9" w14:textId="77777777" w:rsidR="007D4762" w:rsidRDefault="00772FB4">
      <w:pPr>
        <w:keepNext/>
        <w:spacing w:before="120" w:after="40"/>
        <w:jc w:val="center"/>
        <w:rPr>
          <w:rFonts w:hint="eastAsia"/>
        </w:rPr>
      </w:pPr>
      <w:r>
        <w:rPr>
          <w:noProof/>
        </w:rPr>
        <w:drawing>
          <wp:inline distT="0" distB="0" distL="0" distR="0" wp14:anchorId="0B22157F" wp14:editId="359F6335">
            <wp:extent cx="5989320" cy="278075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many_sources_one_target.png"/>
                    <pic:cNvPicPr/>
                  </pic:nvPicPr>
                  <pic:blipFill>
                    <a:blip r:embed="rId29"/>
                    <a:stretch>
                      <a:fillRect/>
                    </a:stretch>
                  </pic:blipFill>
                  <pic:spPr>
                    <a:xfrm>
                      <a:off x="0" y="0"/>
                      <a:ext cx="5989320" cy="2780756"/>
                    </a:xfrm>
                    <a:prstGeom prst="rect">
                      <a:avLst/>
                    </a:prstGeom>
                  </pic:spPr>
                </pic:pic>
              </a:graphicData>
            </a:graphic>
          </wp:inline>
        </w:drawing>
      </w:r>
    </w:p>
    <w:p w14:paraId="63FF0E3C" w14:textId="77777777" w:rsidR="007D4762" w:rsidRDefault="00772FB4">
      <w:pPr>
        <w:spacing w:before="80" w:after="120"/>
        <w:jc w:val="center"/>
        <w:rPr>
          <w:rFonts w:hint="eastAsia"/>
        </w:rPr>
      </w:pPr>
      <w:r>
        <w:rPr>
          <w:rFonts w:eastAsia="Noto Sans" w:cs="Noto Sans"/>
          <w:b/>
          <w:color w:val="5F6C73"/>
          <w:sz w:val="18"/>
        </w:rPr>
        <w:t>Figure 22. Different source semantics can project into the same target modality without becoming semantically equivalent.</w:t>
      </w:r>
    </w:p>
    <w:tbl>
      <w:tblPr>
        <w:tblW w:w="0" w:type="auto"/>
        <w:jc w:val="center"/>
        <w:tblLayout w:type="fixed"/>
        <w:tblLook w:val="04A0" w:firstRow="1" w:lastRow="0" w:firstColumn="1" w:lastColumn="0" w:noHBand="0" w:noVBand="1"/>
      </w:tblPr>
      <w:tblGrid>
        <w:gridCol w:w="9878"/>
      </w:tblGrid>
      <w:tr w:rsidR="007D4762" w14:paraId="75C0F36A"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4AD202C4" w14:textId="77777777" w:rsidR="007D4762" w:rsidRDefault="00772FB4">
            <w:pPr>
              <w:spacing w:after="0" w:line="283" w:lineRule="auto"/>
              <w:rPr>
                <w:rFonts w:hint="eastAsia"/>
              </w:rPr>
            </w:pPr>
            <w:r>
              <w:rPr>
                <w:rFonts w:eastAsia="Noto Sans" w:cs="Noto Sans"/>
                <w:b/>
                <w:color w:val="B4763B"/>
              </w:rPr>
              <w:t>AAA-L06 · TRANSFORM EXPLICITNESS</w:t>
            </w:r>
            <w:r>
              <w:br/>
            </w:r>
            <w:r>
              <w:rPr>
                <w:rFonts w:ascii="DejaVu Sans" w:eastAsia="DejaVu Sans" w:hAnsi="DejaVu Sans" w:cs="DejaVu Sans"/>
                <w:color w:val="24323A"/>
                <w:sz w:val="20"/>
              </w:rPr>
              <w:t>Cross-modality projection should use declared transforms rather than hidden equivalence assumptions. Pitch → Color and Temperature → Color are separate contracts even though both terminate in Color.</w:t>
            </w:r>
          </w:p>
        </w:tc>
      </w:tr>
    </w:tbl>
    <w:p w14:paraId="06471E06" w14:textId="77777777" w:rsidR="007D4762" w:rsidRDefault="007D4762">
      <w:pPr>
        <w:spacing w:after="40"/>
        <w:rPr>
          <w:rFonts w:hint="eastAsia"/>
        </w:rPr>
      </w:pPr>
    </w:p>
    <w:p w14:paraId="71579109" w14:textId="77777777" w:rsidR="007D4762" w:rsidRDefault="00772FB4">
      <w:pPr>
        <w:keepNext/>
        <w:spacing w:before="120" w:after="40"/>
        <w:jc w:val="center"/>
        <w:rPr>
          <w:rFonts w:hint="eastAsia"/>
        </w:rPr>
      </w:pPr>
      <w:r>
        <w:rPr>
          <w:noProof/>
        </w:rPr>
        <w:drawing>
          <wp:inline distT="0" distB="0" distL="0" distR="0" wp14:anchorId="3EADB954" wp14:editId="29AB9386">
            <wp:extent cx="5989320" cy="2010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transform_composition.png"/>
                    <pic:cNvPicPr/>
                  </pic:nvPicPr>
                  <pic:blipFill>
                    <a:blip r:embed="rId30"/>
                    <a:stretch>
                      <a:fillRect/>
                    </a:stretch>
                  </pic:blipFill>
                  <pic:spPr>
                    <a:xfrm>
                      <a:off x="0" y="0"/>
                      <a:ext cx="5989320" cy="2010700"/>
                    </a:xfrm>
                    <a:prstGeom prst="rect">
                      <a:avLst/>
                    </a:prstGeom>
                  </pic:spPr>
                </pic:pic>
              </a:graphicData>
            </a:graphic>
          </wp:inline>
        </w:drawing>
      </w:r>
    </w:p>
    <w:p w14:paraId="476403B3" w14:textId="77777777" w:rsidR="007D4762" w:rsidRDefault="00772FB4">
      <w:pPr>
        <w:spacing w:before="80" w:after="120"/>
        <w:jc w:val="center"/>
        <w:rPr>
          <w:rFonts w:hint="eastAsia"/>
        </w:rPr>
      </w:pPr>
      <w:r>
        <w:rPr>
          <w:rFonts w:eastAsia="Noto Sans" w:cs="Noto Sans"/>
          <w:b/>
          <w:color w:val="5F6C73"/>
          <w:sz w:val="18"/>
        </w:rPr>
        <w:t>Figure 23. Transforms may be composed into explicit chains when a single mapping is insufficient.</w:t>
      </w:r>
    </w:p>
    <w:p w14:paraId="62EEC66A" w14:textId="77777777" w:rsidR="007D4762" w:rsidRDefault="00772FB4">
      <w:pPr>
        <w:pStyle w:val="Heading1"/>
      </w:pPr>
      <w:r>
        <w:t>V. Expressions, Lifetime, and Canonical Boundaries</w:t>
      </w:r>
    </w:p>
    <w:p w14:paraId="7D3EA8EB" w14:textId="77777777" w:rsidR="007D4762" w:rsidRDefault="00772FB4">
      <w:pPr>
        <w:spacing w:after="140" w:line="278" w:lineRule="auto"/>
        <w:rPr>
          <w:rFonts w:hint="eastAsia"/>
        </w:rPr>
      </w:pPr>
      <w:r>
        <w:rPr>
          <w:rFonts w:eastAsia="Noto Sans" w:cs="Noto Sans"/>
          <w:color w:val="24323A"/>
        </w:rPr>
        <w:t>Expressions are runtime realizations. They can be visible, audible, animated, spatial, tactile where supported, or otherwise perceptual. Their default lifecycle is short: generate, render, remain active for the required interval, then expire.</w:t>
      </w:r>
    </w:p>
    <w:p w14:paraId="67E34C75" w14:textId="77777777" w:rsidR="007D4762" w:rsidRDefault="00772FB4">
      <w:pPr>
        <w:keepNext/>
        <w:spacing w:before="120" w:after="40"/>
        <w:jc w:val="center"/>
        <w:rPr>
          <w:rFonts w:hint="eastAsia"/>
        </w:rPr>
      </w:pPr>
      <w:r>
        <w:rPr>
          <w:noProof/>
        </w:rPr>
        <w:drawing>
          <wp:inline distT="0" distB="0" distL="0" distR="0" wp14:anchorId="36474483" wp14:editId="671C1E58">
            <wp:extent cx="5989320" cy="183957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expression_lifetime.png"/>
                    <pic:cNvPicPr/>
                  </pic:nvPicPr>
                  <pic:blipFill>
                    <a:blip r:embed="rId31"/>
                    <a:stretch>
                      <a:fillRect/>
                    </a:stretch>
                  </pic:blipFill>
                  <pic:spPr>
                    <a:xfrm>
                      <a:off x="0" y="0"/>
                      <a:ext cx="5989320" cy="1839577"/>
                    </a:xfrm>
                    <a:prstGeom prst="rect">
                      <a:avLst/>
                    </a:prstGeom>
                  </pic:spPr>
                </pic:pic>
              </a:graphicData>
            </a:graphic>
          </wp:inline>
        </w:drawing>
      </w:r>
    </w:p>
    <w:p w14:paraId="15F925E8" w14:textId="77777777" w:rsidR="007D4762" w:rsidRDefault="00772FB4">
      <w:pPr>
        <w:spacing w:before="80" w:after="120"/>
        <w:jc w:val="center"/>
        <w:rPr>
          <w:rFonts w:hint="eastAsia"/>
        </w:rPr>
      </w:pPr>
      <w:r>
        <w:rPr>
          <w:rFonts w:eastAsia="Noto Sans" w:cs="Noto Sans"/>
          <w:b/>
          <w:color w:val="5F6C73"/>
          <w:sz w:val="18"/>
        </w:rPr>
        <w:t>Figure 24. Expression lifetime compared with persistent canonical state.</w:t>
      </w:r>
    </w:p>
    <w:p w14:paraId="1230035C" w14:textId="77777777" w:rsidR="007D4762" w:rsidRDefault="00772FB4">
      <w:pPr>
        <w:spacing w:after="140" w:line="278" w:lineRule="auto"/>
        <w:rPr>
          <w:rFonts w:hint="eastAsia"/>
        </w:rPr>
      </w:pPr>
      <w:r>
        <w:rPr>
          <w:rFonts w:eastAsia="Noto Sans" w:cs="Noto Sans"/>
          <w:color w:val="24323A"/>
        </w:rPr>
        <w:t>The architecture therefore does not require an ever-growing permanent log of every shimmer, blink, particle, social joke, or AVA movement. Logging may be enabled for debugging, replay, QA, testing, audit-sensitive interaction, or deliberate archival use, but transient expression remains the default.</w:t>
      </w:r>
    </w:p>
    <w:tbl>
      <w:tblPr>
        <w:tblW w:w="0" w:type="auto"/>
        <w:jc w:val="center"/>
        <w:tblLayout w:type="fixed"/>
        <w:tblLook w:val="04A0" w:firstRow="1" w:lastRow="0" w:firstColumn="1" w:lastColumn="0" w:noHBand="0" w:noVBand="1"/>
      </w:tblPr>
      <w:tblGrid>
        <w:gridCol w:w="9878"/>
      </w:tblGrid>
      <w:tr w:rsidR="007D4762" w14:paraId="5AAC5E61"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56FD9E3D" w14:textId="77777777" w:rsidR="007D4762" w:rsidRDefault="00772FB4">
            <w:pPr>
              <w:spacing w:after="0" w:line="283" w:lineRule="auto"/>
              <w:rPr>
                <w:rFonts w:hint="eastAsia"/>
              </w:rPr>
            </w:pPr>
            <w:r>
              <w:rPr>
                <w:rFonts w:eastAsia="Noto Sans" w:cs="Noto Sans"/>
                <w:b/>
                <w:color w:val="B4763B"/>
              </w:rPr>
              <w:t>AAA-L08 · TRANSIENT EXPRESSION</w:t>
            </w:r>
            <w:r>
              <w:br/>
            </w:r>
            <w:r>
              <w:rPr>
                <w:rFonts w:eastAsia="Noto Sans" w:cs="Noto Sans"/>
                <w:color w:val="24323A"/>
                <w:sz w:val="20"/>
              </w:rPr>
              <w:t>Expressions should normally render and expire. Persistence is an explicit instrumentation or archival decision, not the default behavior of AAA.</w:t>
            </w:r>
          </w:p>
        </w:tc>
      </w:tr>
    </w:tbl>
    <w:p w14:paraId="21AD8F60" w14:textId="77777777" w:rsidR="007D4762" w:rsidRDefault="007D4762">
      <w:pPr>
        <w:spacing w:after="40"/>
        <w:rPr>
          <w:rFonts w:hint="eastAsia"/>
        </w:rPr>
      </w:pPr>
    </w:p>
    <w:p w14:paraId="1A620B14" w14:textId="77777777" w:rsidR="007D4762" w:rsidRDefault="00772FB4">
      <w:pPr>
        <w:pStyle w:val="Heading2"/>
      </w:pPr>
      <w:r>
        <w:t>AAA does not own canonical mutation</w:t>
      </w:r>
    </w:p>
    <w:p w14:paraId="3E4FB065" w14:textId="77777777" w:rsidR="007D4762" w:rsidRDefault="00772FB4">
      <w:pPr>
        <w:keepNext/>
        <w:spacing w:before="120" w:after="40"/>
        <w:jc w:val="center"/>
        <w:rPr>
          <w:rFonts w:hint="eastAsia"/>
        </w:rPr>
      </w:pPr>
      <w:r>
        <w:rPr>
          <w:noProof/>
        </w:rPr>
        <w:drawing>
          <wp:inline distT="0" distB="0" distL="0" distR="0" wp14:anchorId="3CC4FE1F" wp14:editId="6C55B12B">
            <wp:extent cx="5989320" cy="2010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no_mutation.png"/>
                    <pic:cNvPicPr/>
                  </pic:nvPicPr>
                  <pic:blipFill>
                    <a:blip r:embed="rId32"/>
                    <a:stretch>
                      <a:fillRect/>
                    </a:stretch>
                  </pic:blipFill>
                  <pic:spPr>
                    <a:xfrm>
                      <a:off x="0" y="0"/>
                      <a:ext cx="5989320" cy="2010700"/>
                    </a:xfrm>
                    <a:prstGeom prst="rect">
                      <a:avLst/>
                    </a:prstGeom>
                  </pic:spPr>
                </pic:pic>
              </a:graphicData>
            </a:graphic>
          </wp:inline>
        </w:drawing>
      </w:r>
    </w:p>
    <w:p w14:paraId="122EDA07" w14:textId="77777777" w:rsidR="007D4762" w:rsidRDefault="00772FB4">
      <w:pPr>
        <w:spacing w:before="80" w:after="120"/>
        <w:jc w:val="center"/>
        <w:rPr>
          <w:rFonts w:hint="eastAsia"/>
        </w:rPr>
      </w:pPr>
      <w:r>
        <w:rPr>
          <w:rFonts w:eastAsia="Noto Sans" w:cs="Noto Sans"/>
          <w:b/>
          <w:color w:val="5F6C73"/>
          <w:sz w:val="18"/>
        </w:rPr>
        <w:t>Figure 25. AAA may surface an interaction, while canonical mutation still follows governed system pathways.</w:t>
      </w:r>
    </w:p>
    <w:p w14:paraId="2A6EEF06" w14:textId="77777777" w:rsidR="007D4762" w:rsidRDefault="00772FB4">
      <w:pPr>
        <w:spacing w:after="140" w:line="278" w:lineRule="auto"/>
        <w:rPr>
          <w:rFonts w:hint="eastAsia"/>
        </w:rPr>
      </w:pPr>
      <w:r>
        <w:rPr>
          <w:rFonts w:eastAsia="Noto Sans" w:cs="Noto Sans"/>
          <w:color w:val="24323A"/>
        </w:rPr>
        <w:t>An AAA can show an Approve button, point out a conflict, paint over profanity, or attach a note to a visible region. If the user requests an actual data change, that action routes through the existing authorized Operator, Rules, permissions, and Registry logic. The projection layer does not gain mutation authority merely because it displayed the control.</w:t>
      </w:r>
    </w:p>
    <w:tbl>
      <w:tblPr>
        <w:tblW w:w="0" w:type="auto"/>
        <w:jc w:val="center"/>
        <w:tblLayout w:type="fixed"/>
        <w:tblLook w:val="04A0" w:firstRow="1" w:lastRow="0" w:firstColumn="1" w:lastColumn="0" w:noHBand="0" w:noVBand="1"/>
      </w:tblPr>
      <w:tblGrid>
        <w:gridCol w:w="9878"/>
      </w:tblGrid>
      <w:tr w:rsidR="007D4762" w14:paraId="7F58B82B"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7CD480A8" w14:textId="77777777" w:rsidR="007D4762" w:rsidRDefault="00772FB4">
            <w:pPr>
              <w:spacing w:after="0" w:line="283" w:lineRule="auto"/>
              <w:rPr>
                <w:rFonts w:hint="eastAsia"/>
              </w:rPr>
            </w:pPr>
            <w:r>
              <w:rPr>
                <w:rFonts w:eastAsia="Noto Sans" w:cs="Noto Sans"/>
                <w:b/>
                <w:color w:val="B4763B"/>
              </w:rPr>
              <w:t>AAA-L09 · GOVERNED MUTATION</w:t>
            </w:r>
            <w:r>
              <w:br/>
            </w:r>
            <w:r>
              <w:rPr>
                <w:rFonts w:eastAsia="Noto Sans" w:cs="Noto Sans"/>
                <w:color w:val="24323A"/>
                <w:sz w:val="20"/>
              </w:rPr>
              <w:t>AAA may expose existing governed actions. It does not silently bypass the system pathways that own canonical change.</w:t>
            </w:r>
          </w:p>
        </w:tc>
      </w:tr>
    </w:tbl>
    <w:p w14:paraId="099E55AA" w14:textId="77777777" w:rsidR="007D4762" w:rsidRDefault="007D4762">
      <w:pPr>
        <w:spacing w:after="40"/>
        <w:rPr>
          <w:rFonts w:hint="eastAsia"/>
        </w:rPr>
      </w:pPr>
    </w:p>
    <w:p w14:paraId="1A4920F8" w14:textId="77777777" w:rsidR="007D4762" w:rsidRDefault="00772FB4">
      <w:pPr>
        <w:pStyle w:val="Heading1"/>
      </w:pPr>
      <w:r>
        <w:t>VI. Association and Record-Driven Composition</w:t>
      </w:r>
    </w:p>
    <w:p w14:paraId="02828524" w14:textId="77777777" w:rsidR="007D4762" w:rsidRDefault="00772FB4">
      <w:pPr>
        <w:spacing w:after="140" w:line="278" w:lineRule="auto"/>
        <w:rPr>
          <w:rFonts w:hint="eastAsia"/>
        </w:rPr>
      </w:pPr>
      <w:r>
        <w:rPr>
          <w:rFonts w:eastAsia="Noto Sans" w:cs="Noto Sans"/>
          <w:color w:val="24323A"/>
        </w:rPr>
        <w:t>AAA is not merely an effects engine. Before something can be expressed, the Application must resolve what is being associated: a target, a relation, current context, relevant semantic state, and an available Capability. Once resolved, the Capability sends a Packet into the Transform layer.</w:t>
      </w:r>
    </w:p>
    <w:p w14:paraId="643A6EA6" w14:textId="77777777" w:rsidR="007D4762" w:rsidRDefault="00772FB4">
      <w:pPr>
        <w:keepNext/>
        <w:spacing w:before="120" w:after="40"/>
        <w:jc w:val="center"/>
        <w:rPr>
          <w:rFonts w:hint="eastAsia"/>
        </w:rPr>
      </w:pPr>
      <w:r>
        <w:rPr>
          <w:noProof/>
        </w:rPr>
        <w:drawing>
          <wp:inline distT="0" distB="0" distL="0" distR="0" wp14:anchorId="2E7AAA85" wp14:editId="32EC795F">
            <wp:extent cx="5989320" cy="205348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association_primitive.png"/>
                    <pic:cNvPicPr/>
                  </pic:nvPicPr>
                  <pic:blipFill>
                    <a:blip r:embed="rId33"/>
                    <a:stretch>
                      <a:fillRect/>
                    </a:stretch>
                  </pic:blipFill>
                  <pic:spPr>
                    <a:xfrm>
                      <a:off x="0" y="0"/>
                      <a:ext cx="5989320" cy="2053481"/>
                    </a:xfrm>
                    <a:prstGeom prst="rect">
                      <a:avLst/>
                    </a:prstGeom>
                  </pic:spPr>
                </pic:pic>
              </a:graphicData>
            </a:graphic>
          </wp:inline>
        </w:drawing>
      </w:r>
    </w:p>
    <w:p w14:paraId="30B3B578" w14:textId="77777777" w:rsidR="007D4762" w:rsidRDefault="00772FB4">
      <w:pPr>
        <w:spacing w:before="80" w:after="120"/>
        <w:jc w:val="center"/>
        <w:rPr>
          <w:rFonts w:hint="eastAsia"/>
        </w:rPr>
      </w:pPr>
      <w:r>
        <w:rPr>
          <w:rFonts w:eastAsia="Noto Sans" w:cs="Noto Sans"/>
          <w:b/>
          <w:color w:val="5F6C73"/>
          <w:sz w:val="18"/>
        </w:rPr>
        <w:t>Figure 26. Association is the primitive that precedes expression.</w:t>
      </w:r>
    </w:p>
    <w:p w14:paraId="79457AEE" w14:textId="77777777" w:rsidR="007D4762" w:rsidRDefault="00772FB4">
      <w:pPr>
        <w:keepNext/>
        <w:spacing w:before="120" w:after="40"/>
        <w:jc w:val="center"/>
        <w:rPr>
          <w:rFonts w:hint="eastAsia"/>
        </w:rPr>
      </w:pPr>
      <w:r>
        <w:rPr>
          <w:noProof/>
        </w:rPr>
        <w:drawing>
          <wp:inline distT="0" distB="0" distL="0" distR="0" wp14:anchorId="34F90F2C" wp14:editId="51C7E6C5">
            <wp:extent cx="5989320" cy="32513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dragon.png"/>
                    <pic:cNvPicPr/>
                  </pic:nvPicPr>
                  <pic:blipFill>
                    <a:blip r:embed="rId34"/>
                    <a:stretch>
                      <a:fillRect/>
                    </a:stretch>
                  </pic:blipFill>
                  <pic:spPr>
                    <a:xfrm>
                      <a:off x="0" y="0"/>
                      <a:ext cx="5989320" cy="3251345"/>
                    </a:xfrm>
                    <a:prstGeom prst="rect">
                      <a:avLst/>
                    </a:prstGeom>
                  </pic:spPr>
                </pic:pic>
              </a:graphicData>
            </a:graphic>
          </wp:inline>
        </w:drawing>
      </w:r>
    </w:p>
    <w:p w14:paraId="798A0175" w14:textId="77777777" w:rsidR="007D4762" w:rsidRDefault="00772FB4">
      <w:pPr>
        <w:spacing w:before="80" w:after="120"/>
        <w:jc w:val="center"/>
        <w:rPr>
          <w:rFonts w:hint="eastAsia"/>
        </w:rPr>
      </w:pPr>
      <w:r>
        <w:rPr>
          <w:rFonts w:eastAsia="Noto Sans" w:cs="Noto Sans"/>
          <w:b/>
          <w:color w:val="5F6C73"/>
          <w:sz w:val="18"/>
        </w:rPr>
        <w:t>Figure 27. AAA can traverse the DRAGON cybernetic loop to resolve identity, applicability, guidance, agentive capability, normative constraints, and operational values.</w:t>
      </w:r>
    </w:p>
    <w:p w14:paraId="3E66CF3A" w14:textId="77777777" w:rsidR="007D4762" w:rsidRDefault="00772FB4">
      <w:pPr>
        <w:spacing w:after="140" w:line="278" w:lineRule="auto"/>
        <w:rPr>
          <w:rFonts w:hint="eastAsia"/>
        </w:rPr>
      </w:pPr>
      <w:r>
        <w:rPr>
          <w:rFonts w:eastAsia="Noto Sans" w:cs="Noto Sans"/>
          <w:color w:val="24323A"/>
        </w:rPr>
        <w:t>The DRAGON diagram is a capability map rather than a claim that every AAA must traverse every position in a fixed linear order. An Application should use only the governed structures necessary to resolve its association.</w:t>
      </w:r>
    </w:p>
    <w:p w14:paraId="0928C94D" w14:textId="77777777" w:rsidR="007D4762" w:rsidRDefault="00772FB4">
      <w:pPr>
        <w:pStyle w:val="Heading2"/>
      </w:pPr>
      <w:r>
        <w:t>Composition tables</w:t>
      </w:r>
    </w:p>
    <w:p w14:paraId="7CBF51A8" w14:textId="77777777" w:rsidR="007D4762" w:rsidRDefault="00772FB4">
      <w:pPr>
        <w:keepNext/>
        <w:spacing w:before="120" w:after="40"/>
        <w:jc w:val="center"/>
        <w:rPr>
          <w:rFonts w:hint="eastAsia"/>
        </w:rPr>
      </w:pPr>
      <w:r>
        <w:rPr>
          <w:noProof/>
        </w:rPr>
        <w:drawing>
          <wp:inline distT="0" distB="0" distL="0" distR="0" wp14:anchorId="7CED00F5" wp14:editId="2B4ABEB3">
            <wp:extent cx="5989320" cy="342246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table_architecture.png"/>
                    <pic:cNvPicPr/>
                  </pic:nvPicPr>
                  <pic:blipFill>
                    <a:blip r:embed="rId35"/>
                    <a:stretch>
                      <a:fillRect/>
                    </a:stretch>
                  </pic:blipFill>
                  <pic:spPr>
                    <a:xfrm>
                      <a:off x="0" y="0"/>
                      <a:ext cx="5989320" cy="3422469"/>
                    </a:xfrm>
                    <a:prstGeom prst="rect">
                      <a:avLst/>
                    </a:prstGeom>
                  </pic:spPr>
                </pic:pic>
              </a:graphicData>
            </a:graphic>
          </wp:inline>
        </w:drawing>
      </w:r>
    </w:p>
    <w:p w14:paraId="52AC8D32" w14:textId="77777777" w:rsidR="007D4762" w:rsidRDefault="00772FB4">
      <w:pPr>
        <w:spacing w:before="80" w:after="120"/>
        <w:jc w:val="center"/>
        <w:rPr>
          <w:rFonts w:hint="eastAsia"/>
        </w:rPr>
      </w:pPr>
      <w:r>
        <w:rPr>
          <w:rFonts w:eastAsia="Noto Sans" w:cs="Noto Sans"/>
          <w:b/>
          <w:color w:val="5F6C73"/>
          <w:sz w:val="18"/>
        </w:rPr>
        <w:t>Figure 28. Recommended table architecture for composing AAA Applications.</w:t>
      </w:r>
    </w:p>
    <w:tbl>
      <w:tblPr>
        <w:tblW w:w="0" w:type="auto"/>
        <w:jc w:val="center"/>
        <w:tblLayout w:type="fixed"/>
        <w:tblLook w:val="04A0" w:firstRow="1" w:lastRow="0" w:firstColumn="1" w:lastColumn="0" w:noHBand="0" w:noVBand="1"/>
      </w:tblPr>
      <w:tblGrid>
        <w:gridCol w:w="4939"/>
        <w:gridCol w:w="6048"/>
      </w:tblGrid>
      <w:tr w:rsidR="007D4762" w14:paraId="6BE70561" w14:textId="77777777">
        <w:trPr>
          <w:tblHeader/>
          <w:jc w:val="center"/>
        </w:trPr>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40B1980C" w14:textId="77777777" w:rsidR="007D4762" w:rsidRDefault="00772FB4">
            <w:pPr>
              <w:spacing w:after="0" w:line="252" w:lineRule="auto"/>
              <w:jc w:val="center"/>
              <w:rPr>
                <w:rFonts w:hint="eastAsia"/>
              </w:rPr>
            </w:pPr>
            <w:r>
              <w:rPr>
                <w:rFonts w:eastAsia="Noto Sans" w:cs="Noto Sans"/>
                <w:b/>
                <w:color w:val="FFFFFF"/>
                <w:sz w:val="18"/>
              </w:rPr>
              <w:t>Table</w:t>
            </w:r>
          </w:p>
        </w:tc>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7822D8E0" w14:textId="77777777" w:rsidR="007D4762" w:rsidRDefault="00772FB4">
            <w:pPr>
              <w:spacing w:after="0" w:line="252" w:lineRule="auto"/>
              <w:jc w:val="center"/>
              <w:rPr>
                <w:rFonts w:hint="eastAsia"/>
              </w:rPr>
            </w:pPr>
            <w:r>
              <w:rPr>
                <w:rFonts w:eastAsia="Noto Sans" w:cs="Noto Sans"/>
                <w:b/>
                <w:color w:val="FFFFFF"/>
                <w:sz w:val="18"/>
              </w:rPr>
              <w:t>Primary Role</w:t>
            </w:r>
          </w:p>
        </w:tc>
      </w:tr>
      <w:tr w:rsidR="007D4762" w14:paraId="7BBFC9E5"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8C64BC2" w14:textId="77777777" w:rsidR="007D4762" w:rsidRDefault="00772FB4">
            <w:pPr>
              <w:spacing w:after="0" w:line="259" w:lineRule="auto"/>
              <w:jc w:val="center"/>
              <w:rPr>
                <w:rFonts w:hint="eastAsia"/>
              </w:rPr>
            </w:pPr>
            <w:r>
              <w:rPr>
                <w:rFonts w:eastAsia="Noto Sans" w:cs="Noto Sans"/>
                <w:color w:val="24323A"/>
                <w:sz w:val="18"/>
              </w:rPr>
              <w:t>AAA Applications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A550C26" w14:textId="77777777" w:rsidR="007D4762" w:rsidRDefault="00772FB4">
            <w:pPr>
              <w:spacing w:after="0" w:line="259" w:lineRule="auto"/>
              <w:rPr>
                <w:rFonts w:hint="eastAsia"/>
              </w:rPr>
            </w:pPr>
            <w:r>
              <w:rPr>
                <w:rFonts w:ascii="DejaVu Sans" w:eastAsia="DejaVu Sans" w:hAnsi="DejaVu Sans" w:cs="DejaVu Sans"/>
                <w:color w:val="24323A"/>
                <w:sz w:val="18"/>
              </w:rPr>
              <w:t xml:space="preserve">Stores complete </w:t>
            </w:r>
            <w:r>
              <w:rPr>
                <w:rFonts w:ascii="DejaVu Sans" w:eastAsia="DejaVu Sans" w:hAnsi="DejaVu Sans" w:cs="DejaVu Sans"/>
                <w:color w:val="24323A"/>
                <w:sz w:val="18"/>
              </w:rPr>
              <w:t>⬢</w:t>
            </w:r>
            <w:r>
              <w:rPr>
                <w:rFonts w:ascii="DejaVu Sans" w:eastAsia="DejaVu Sans" w:hAnsi="DejaVu Sans" w:cs="DejaVu Sans"/>
                <w:color w:val="24323A"/>
                <w:sz w:val="18"/>
              </w:rPr>
              <w:t>[ Application ]</w:t>
            </w:r>
            <w:r>
              <w:rPr>
                <w:rFonts w:ascii="DejaVu Sans" w:eastAsia="DejaVu Sans" w:hAnsi="DejaVu Sans" w:cs="DejaVu Sans"/>
                <w:color w:val="24323A"/>
                <w:sz w:val="18"/>
              </w:rPr>
              <w:t>⬢</w:t>
            </w:r>
            <w:r>
              <w:rPr>
                <w:rFonts w:ascii="DejaVu Sans" w:eastAsia="DejaVu Sans" w:hAnsi="DejaVu Sans" w:cs="DejaVu Sans"/>
                <w:color w:val="24323A"/>
                <w:sz w:val="18"/>
              </w:rPr>
              <w:t xml:space="preserve"> records.</w:t>
            </w:r>
          </w:p>
        </w:tc>
      </w:tr>
      <w:tr w:rsidR="007D4762" w14:paraId="398F2932"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7B149F6" w14:textId="77777777" w:rsidR="007D4762" w:rsidRDefault="00772FB4">
            <w:pPr>
              <w:spacing w:after="0" w:line="259" w:lineRule="auto"/>
              <w:jc w:val="center"/>
              <w:rPr>
                <w:rFonts w:hint="eastAsia"/>
              </w:rPr>
            </w:pPr>
            <w:r>
              <w:rPr>
                <w:rFonts w:eastAsia="Noto Sans" w:cs="Noto Sans"/>
                <w:color w:val="24323A"/>
                <w:sz w:val="18"/>
              </w:rPr>
              <w:t>AAA Capabilities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76F07E8" w14:textId="77777777" w:rsidR="007D4762" w:rsidRDefault="00772FB4">
            <w:pPr>
              <w:spacing w:after="0" w:line="259" w:lineRule="auto"/>
              <w:rPr>
                <w:rFonts w:hint="eastAsia"/>
              </w:rPr>
            </w:pPr>
            <w:r>
              <w:rPr>
                <w:rFonts w:ascii="DejaVu Sans" w:eastAsia="DejaVu Sans" w:hAnsi="DejaVu Sans" w:cs="DejaVu Sans"/>
                <w:color w:val="24323A"/>
                <w:sz w:val="18"/>
              </w:rPr>
              <w:t xml:space="preserve">Stores reusable </w:t>
            </w:r>
            <w:r>
              <w:rPr>
                <w:rFonts w:ascii="DejaVu Sans" w:eastAsia="DejaVu Sans" w:hAnsi="DejaVu Sans" w:cs="DejaVu Sans"/>
                <w:color w:val="24323A"/>
                <w:sz w:val="18"/>
              </w:rPr>
              <w:t>⬢</w:t>
            </w:r>
            <w:r>
              <w:rPr>
                <w:rFonts w:ascii="DejaVu Sans" w:eastAsia="DejaVu Sans" w:hAnsi="DejaVu Sans" w:cs="DejaVu Sans"/>
                <w:color w:val="24323A"/>
                <w:sz w:val="18"/>
              </w:rPr>
              <w:t>| Capability |</w:t>
            </w:r>
            <w:r>
              <w:rPr>
                <w:rFonts w:ascii="DejaVu Sans" w:eastAsia="DejaVu Sans" w:hAnsi="DejaVu Sans" w:cs="DejaVu Sans"/>
                <w:color w:val="24323A"/>
                <w:sz w:val="18"/>
              </w:rPr>
              <w:t>⬢</w:t>
            </w:r>
            <w:r>
              <w:rPr>
                <w:rFonts w:ascii="DejaVu Sans" w:eastAsia="DejaVu Sans" w:hAnsi="DejaVu Sans" w:cs="DejaVu Sans"/>
                <w:color w:val="24323A"/>
                <w:sz w:val="18"/>
              </w:rPr>
              <w:t xml:space="preserve"> definitions.</w:t>
            </w:r>
          </w:p>
        </w:tc>
      </w:tr>
      <w:tr w:rsidR="007D4762" w14:paraId="29F29169"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42C3BCE" w14:textId="77777777" w:rsidR="007D4762" w:rsidRDefault="00772FB4">
            <w:pPr>
              <w:spacing w:after="0" w:line="259" w:lineRule="auto"/>
              <w:jc w:val="center"/>
              <w:rPr>
                <w:rFonts w:hint="eastAsia"/>
              </w:rPr>
            </w:pPr>
            <w:r>
              <w:rPr>
                <w:rFonts w:eastAsia="Noto Sans" w:cs="Noto Sans"/>
                <w:color w:val="24323A"/>
                <w:sz w:val="18"/>
              </w:rPr>
              <w:t>AAA Loadouts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FFF231A" w14:textId="77777777" w:rsidR="007D4762" w:rsidRDefault="00772FB4">
            <w:pPr>
              <w:spacing w:after="0" w:line="259" w:lineRule="auto"/>
              <w:rPr>
                <w:rFonts w:hint="eastAsia"/>
              </w:rPr>
            </w:pPr>
            <w:r>
              <w:rPr>
                <w:rFonts w:ascii="DejaVu Sans" w:eastAsia="DejaVu Sans" w:hAnsi="DejaVu Sans" w:cs="DejaVu Sans"/>
                <w:color w:val="24323A"/>
                <w:sz w:val="18"/>
              </w:rPr>
              <w:t xml:space="preserve">Stores </w:t>
            </w:r>
            <w:r>
              <w:rPr>
                <w:rFonts w:ascii="DejaVu Sans" w:eastAsia="DejaVu Sans" w:hAnsi="DejaVu Sans" w:cs="DejaVu Sans"/>
                <w:color w:val="24323A"/>
                <w:sz w:val="18"/>
              </w:rPr>
              <w:t>⬢</w:t>
            </w:r>
            <w:r>
              <w:rPr>
                <w:rFonts w:ascii="DejaVu Sans" w:eastAsia="DejaVu Sans" w:hAnsi="DejaVu Sans" w:cs="DejaVu Sans"/>
                <w:color w:val="24323A"/>
                <w:sz w:val="18"/>
              </w:rPr>
              <w:t>|[ Loadout ]|</w:t>
            </w:r>
            <w:r>
              <w:rPr>
                <w:rFonts w:ascii="DejaVu Sans" w:eastAsia="DejaVu Sans" w:hAnsi="DejaVu Sans" w:cs="DejaVu Sans"/>
                <w:color w:val="24323A"/>
                <w:sz w:val="18"/>
              </w:rPr>
              <w:t>⬢</w:t>
            </w:r>
            <w:r>
              <w:rPr>
                <w:rFonts w:ascii="DejaVu Sans" w:eastAsia="DejaVu Sans" w:hAnsi="DejaVu Sans" w:cs="DejaVu Sans"/>
                <w:color w:val="24323A"/>
                <w:sz w:val="18"/>
              </w:rPr>
              <w:t xml:space="preserve"> collections and ordering.</w:t>
            </w:r>
          </w:p>
        </w:tc>
      </w:tr>
      <w:tr w:rsidR="007D4762" w14:paraId="16AD6652"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9C13173" w14:textId="77777777" w:rsidR="007D4762" w:rsidRDefault="00772FB4">
            <w:pPr>
              <w:spacing w:after="0" w:line="259" w:lineRule="auto"/>
              <w:jc w:val="center"/>
              <w:rPr>
                <w:rFonts w:hint="eastAsia"/>
              </w:rPr>
            </w:pPr>
            <w:r>
              <w:rPr>
                <w:rFonts w:eastAsia="Noto Sans" w:cs="Noto Sans"/>
                <w:color w:val="24323A"/>
                <w:sz w:val="18"/>
              </w:rPr>
              <w:t>AAA Triggers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392ED7B" w14:textId="77777777" w:rsidR="007D4762" w:rsidRDefault="00772FB4">
            <w:pPr>
              <w:spacing w:after="0" w:line="259" w:lineRule="auto"/>
              <w:rPr>
                <w:rFonts w:hint="eastAsia"/>
              </w:rPr>
            </w:pPr>
            <w:r>
              <w:rPr>
                <w:rFonts w:eastAsia="Noto Sans" w:cs="Noto Sans"/>
                <w:color w:val="24323A"/>
                <w:sz w:val="18"/>
              </w:rPr>
              <w:t>Defines events or conditions that initiate resolution.</w:t>
            </w:r>
          </w:p>
        </w:tc>
      </w:tr>
      <w:tr w:rsidR="007D4762" w14:paraId="3846E032"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53B1B14" w14:textId="77777777" w:rsidR="007D4762" w:rsidRDefault="00772FB4">
            <w:pPr>
              <w:spacing w:after="0" w:line="259" w:lineRule="auto"/>
              <w:jc w:val="center"/>
              <w:rPr>
                <w:rFonts w:hint="eastAsia"/>
              </w:rPr>
            </w:pPr>
            <w:r>
              <w:rPr>
                <w:rFonts w:eastAsia="Noto Sans" w:cs="Noto Sans"/>
                <w:color w:val="24323A"/>
                <w:sz w:val="18"/>
              </w:rPr>
              <w:t>AAA Associations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78A8617" w14:textId="77777777" w:rsidR="007D4762" w:rsidRDefault="00772FB4">
            <w:pPr>
              <w:spacing w:after="0" w:line="259" w:lineRule="auto"/>
              <w:rPr>
                <w:rFonts w:hint="eastAsia"/>
              </w:rPr>
            </w:pPr>
            <w:r>
              <w:rPr>
                <w:rFonts w:eastAsia="Noto Sans" w:cs="Noto Sans"/>
                <w:color w:val="24323A"/>
                <w:sz w:val="18"/>
              </w:rPr>
              <w:t>Defines target selection and graph traversal behavior.</w:t>
            </w:r>
          </w:p>
        </w:tc>
      </w:tr>
      <w:tr w:rsidR="007D4762" w14:paraId="79CC7837"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213AEB7" w14:textId="77777777" w:rsidR="007D4762" w:rsidRDefault="00772FB4">
            <w:pPr>
              <w:spacing w:after="0" w:line="259" w:lineRule="auto"/>
              <w:jc w:val="center"/>
              <w:rPr>
                <w:rFonts w:hint="eastAsia"/>
              </w:rPr>
            </w:pPr>
            <w:r>
              <w:rPr>
                <w:rFonts w:eastAsia="Noto Sans" w:cs="Noto Sans"/>
                <w:color w:val="24323A"/>
                <w:sz w:val="18"/>
              </w:rPr>
              <w:t>AAA Transform Registry</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8226013" w14:textId="77777777" w:rsidR="007D4762" w:rsidRDefault="00772FB4">
            <w:pPr>
              <w:spacing w:after="0" w:line="259" w:lineRule="auto"/>
              <w:rPr>
                <w:rFonts w:hint="eastAsia"/>
              </w:rPr>
            </w:pPr>
            <w:r>
              <w:rPr>
                <w:rFonts w:ascii="DejaVu Sans" w:eastAsia="DejaVu Sans" w:hAnsi="DejaVu Sans" w:cs="DejaVu Sans"/>
                <w:color w:val="24323A"/>
                <w:sz w:val="18"/>
              </w:rPr>
              <w:t>Stores x▪</w:t>
            </w:r>
            <w:r>
              <w:rPr>
                <w:rFonts w:ascii="DejaVu Sans" w:eastAsia="DejaVu Sans" w:hAnsi="DejaVu Sans" w:cs="DejaVu Sans"/>
                <w:color w:val="24323A"/>
                <w:sz w:val="18"/>
              </w:rPr>
              <w:t>︎</w:t>
            </w:r>
            <w:r>
              <w:rPr>
                <w:rFonts w:ascii="DejaVu Sans" w:eastAsia="DejaVu Sans" w:hAnsi="DejaVu Sans" w:cs="DejaVu Sans"/>
                <w:color w:val="24323A"/>
                <w:sz w:val="18"/>
              </w:rPr>
              <w:t>x source-to-target mapping contracts.</w:t>
            </w:r>
          </w:p>
        </w:tc>
      </w:tr>
      <w:tr w:rsidR="007D4762" w14:paraId="54E3A188"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42CC27A" w14:textId="77777777" w:rsidR="007D4762" w:rsidRDefault="00772FB4">
            <w:pPr>
              <w:spacing w:after="0" w:line="259" w:lineRule="auto"/>
              <w:jc w:val="center"/>
              <w:rPr>
                <w:rFonts w:hint="eastAsia"/>
              </w:rPr>
            </w:pPr>
            <w:r>
              <w:rPr>
                <w:rFonts w:eastAsia="Noto Sans" w:cs="Noto Sans"/>
                <w:color w:val="24323A"/>
                <w:sz w:val="18"/>
              </w:rPr>
              <w:t>AAA Transform Bindings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42D9CC3" w14:textId="77777777" w:rsidR="007D4762" w:rsidRDefault="00772FB4">
            <w:pPr>
              <w:spacing w:after="0" w:line="259" w:lineRule="auto"/>
              <w:rPr>
                <w:rFonts w:hint="eastAsia"/>
              </w:rPr>
            </w:pPr>
            <w:r>
              <w:rPr>
                <w:rFonts w:eastAsia="Noto Sans" w:cs="Noto Sans"/>
                <w:color w:val="24323A"/>
                <w:sz w:val="18"/>
              </w:rPr>
              <w:t>Connects source scalar values, transforms, and target properties.</w:t>
            </w:r>
          </w:p>
        </w:tc>
      </w:tr>
      <w:tr w:rsidR="007D4762" w14:paraId="3A0C0620"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BB8BD31" w14:textId="77777777" w:rsidR="007D4762" w:rsidRDefault="00772FB4">
            <w:pPr>
              <w:spacing w:after="0" w:line="259" w:lineRule="auto"/>
              <w:jc w:val="center"/>
              <w:rPr>
                <w:rFonts w:hint="eastAsia"/>
              </w:rPr>
            </w:pPr>
            <w:r>
              <w:rPr>
                <w:rFonts w:eastAsia="Noto Sans" w:cs="Noto Sans"/>
                <w:color w:val="24323A"/>
                <w:sz w:val="18"/>
              </w:rPr>
              <w:t>AAA Surface Bindings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93ED206" w14:textId="77777777" w:rsidR="007D4762" w:rsidRDefault="00772FB4">
            <w:pPr>
              <w:spacing w:after="0" w:line="259" w:lineRule="auto"/>
              <w:rPr>
                <w:rFonts w:hint="eastAsia"/>
              </w:rPr>
            </w:pPr>
            <w:r>
              <w:rPr>
                <w:rFonts w:eastAsia="Noto Sans" w:cs="Noto Sans"/>
                <w:color w:val="24323A"/>
                <w:sz w:val="18"/>
              </w:rPr>
              <w:t>Declares where/how resolved Expressions may appear in DARTBOARD or AVA.</w:t>
            </w:r>
          </w:p>
        </w:tc>
      </w:tr>
      <w:tr w:rsidR="007D4762" w14:paraId="32DC0B3B"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A53BA36" w14:textId="77777777" w:rsidR="007D4762" w:rsidRDefault="00772FB4">
            <w:pPr>
              <w:spacing w:after="0" w:line="259" w:lineRule="auto"/>
              <w:jc w:val="center"/>
              <w:rPr>
                <w:rFonts w:hint="eastAsia"/>
              </w:rPr>
            </w:pPr>
            <w:r>
              <w:rPr>
                <w:rFonts w:eastAsia="Noto Sans" w:cs="Noto Sans"/>
                <w:color w:val="24323A"/>
                <w:sz w:val="18"/>
              </w:rPr>
              <w:t>AAA Permissions / Scope</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91B997B" w14:textId="77777777" w:rsidR="007D4762" w:rsidRDefault="00772FB4">
            <w:pPr>
              <w:spacing w:after="0" w:line="259" w:lineRule="auto"/>
              <w:rPr>
                <w:rFonts w:hint="eastAsia"/>
              </w:rPr>
            </w:pPr>
            <w:r>
              <w:rPr>
                <w:rFonts w:eastAsia="Noto Sans" w:cs="Noto Sans"/>
                <w:color w:val="24323A"/>
                <w:sz w:val="18"/>
              </w:rPr>
              <w:t>Controls local, targeted, group, shared, and presentation visibility.</w:t>
            </w:r>
          </w:p>
        </w:tc>
      </w:tr>
      <w:tr w:rsidR="007D4762" w14:paraId="4118C4CC" w14:textId="77777777">
        <w:trPr>
          <w:cantSplit/>
          <w:jc w:val="center"/>
        </w:trPr>
        <w:tc>
          <w:tcPr>
            <w:tcW w:w="316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EA7A08A" w14:textId="77777777" w:rsidR="007D4762" w:rsidRDefault="00772FB4">
            <w:pPr>
              <w:spacing w:after="0" w:line="259" w:lineRule="auto"/>
              <w:jc w:val="center"/>
              <w:rPr>
                <w:rFonts w:hint="eastAsia"/>
              </w:rPr>
            </w:pPr>
            <w:r>
              <w:rPr>
                <w:rFonts w:eastAsia="Noto Sans" w:cs="Noto Sans"/>
                <w:color w:val="24323A"/>
                <w:sz w:val="18"/>
              </w:rPr>
              <w:t>Application–Capability Bindings</w:t>
            </w:r>
          </w:p>
        </w:tc>
        <w:tc>
          <w:tcPr>
            <w:tcW w:w="604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FC69A43" w14:textId="77777777" w:rsidR="007D4762" w:rsidRDefault="00772FB4">
            <w:pPr>
              <w:spacing w:after="0" w:line="259" w:lineRule="auto"/>
              <w:rPr>
                <w:rFonts w:hint="eastAsia"/>
              </w:rPr>
            </w:pPr>
            <w:r>
              <w:rPr>
                <w:rFonts w:eastAsia="Noto Sans" w:cs="Noto Sans"/>
                <w:color w:val="24323A"/>
                <w:sz w:val="18"/>
              </w:rPr>
              <w:t>Supports reusable many-to-many composition between Applications and Capabilities.</w:t>
            </w:r>
          </w:p>
        </w:tc>
      </w:tr>
    </w:tbl>
    <w:p w14:paraId="6E429262" w14:textId="77777777" w:rsidR="007D4762" w:rsidRDefault="007D4762">
      <w:pPr>
        <w:spacing w:after="80"/>
        <w:rPr>
          <w:rFonts w:hint="eastAsia"/>
        </w:rPr>
      </w:pPr>
    </w:p>
    <w:p w14:paraId="0AF6B65C" w14:textId="77777777" w:rsidR="007D4762" w:rsidRDefault="00772FB4">
      <w:pPr>
        <w:keepNext/>
        <w:spacing w:before="120" w:after="40"/>
        <w:jc w:val="center"/>
        <w:rPr>
          <w:rFonts w:hint="eastAsia"/>
        </w:rPr>
      </w:pPr>
      <w:r>
        <w:rPr>
          <w:noProof/>
        </w:rPr>
        <w:drawing>
          <wp:inline distT="0" distB="0" distL="0" distR="0" wp14:anchorId="6D82B111" wp14:editId="49CFC36C">
            <wp:extent cx="5989320" cy="265241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_registry_runtime.png"/>
                    <pic:cNvPicPr/>
                  </pic:nvPicPr>
                  <pic:blipFill>
                    <a:blip r:embed="rId36"/>
                    <a:stretch>
                      <a:fillRect/>
                    </a:stretch>
                  </pic:blipFill>
                  <pic:spPr>
                    <a:xfrm>
                      <a:off x="0" y="0"/>
                      <a:ext cx="5989320" cy="2652413"/>
                    </a:xfrm>
                    <a:prstGeom prst="rect">
                      <a:avLst/>
                    </a:prstGeom>
                  </pic:spPr>
                </pic:pic>
              </a:graphicData>
            </a:graphic>
          </wp:inline>
        </w:drawing>
      </w:r>
    </w:p>
    <w:p w14:paraId="35BEAB88" w14:textId="77777777" w:rsidR="007D4762" w:rsidRDefault="00772FB4">
      <w:pPr>
        <w:spacing w:before="80" w:after="120"/>
        <w:jc w:val="center"/>
        <w:rPr>
          <w:rFonts w:hint="eastAsia"/>
        </w:rPr>
      </w:pPr>
      <w:r>
        <w:rPr>
          <w:rFonts w:eastAsia="Noto Sans" w:cs="Noto Sans"/>
          <w:b/>
          <w:color w:val="5F6C73"/>
          <w:sz w:val="18"/>
        </w:rPr>
        <w:t>Figure 29. Durable registry objects versus transient runtime objects.</w:t>
      </w:r>
    </w:p>
    <w:p w14:paraId="6EC75E83" w14:textId="77777777" w:rsidR="007D4762" w:rsidRDefault="00772FB4">
      <w:pPr>
        <w:spacing w:after="140" w:line="278" w:lineRule="auto"/>
        <w:rPr>
          <w:rFonts w:hint="eastAsia"/>
        </w:rPr>
      </w:pPr>
      <w:r>
        <w:rPr>
          <w:rFonts w:eastAsia="Noto Sans" w:cs="Noto Sans"/>
          <w:color w:val="24323A"/>
        </w:rPr>
        <w:t>A permanent Expressions table is intentionally not required. The system can compose Applications and transforms from durable records while producing Packets and Expressions only when invoked. If later workflows require replayable authored expression patterns, those should be named separately from actual runtime Expressions so the language remains unambiguous.</w:t>
      </w:r>
    </w:p>
    <w:p w14:paraId="7181CD2F" w14:textId="77777777" w:rsidR="007D4762" w:rsidRDefault="00772FB4">
      <w:pPr>
        <w:pStyle w:val="Heading1"/>
      </w:pPr>
      <w:r>
        <w:t>VII. AVA and DARTBOARD</w:t>
      </w:r>
    </w:p>
    <w:p w14:paraId="1BA97F2F" w14:textId="77777777" w:rsidR="007D4762" w:rsidRDefault="00772FB4">
      <w:pPr>
        <w:spacing w:after="140" w:line="278" w:lineRule="auto"/>
        <w:rPr>
          <w:rFonts w:hint="eastAsia"/>
        </w:rPr>
      </w:pPr>
      <w:r>
        <w:rPr>
          <w:rFonts w:eastAsia="Noto Sans" w:cs="Noto Sans"/>
          <w:color w:val="24323A"/>
        </w:rPr>
        <w:t>AVA - Awakened Virtual Animus - is not the same thing as AAA. AVA is the persistent embodied interaction point through which AAA can be surfaced. AAA is the application and association layer. AVA may remain docked as Home, float over DARTBOARD, host an active Application, become an expressive target, and return to its dock.</w:t>
      </w:r>
    </w:p>
    <w:p w14:paraId="5080F255" w14:textId="77777777" w:rsidR="007D4762" w:rsidRDefault="00772FB4">
      <w:pPr>
        <w:keepNext/>
        <w:spacing w:before="120" w:after="40"/>
        <w:jc w:val="center"/>
        <w:rPr>
          <w:rFonts w:hint="eastAsia"/>
        </w:rPr>
      </w:pPr>
      <w:r>
        <w:rPr>
          <w:noProof/>
        </w:rPr>
        <w:drawing>
          <wp:inline distT="0" distB="0" distL="0" distR="0" wp14:anchorId="4288F5CE" wp14:editId="1B4AA512">
            <wp:extent cx="5989320" cy="2395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_collapsed_ava.png"/>
                    <pic:cNvPicPr/>
                  </pic:nvPicPr>
                  <pic:blipFill>
                    <a:blip r:embed="rId37"/>
                    <a:stretch>
                      <a:fillRect/>
                    </a:stretch>
                  </pic:blipFill>
                  <pic:spPr>
                    <a:xfrm>
                      <a:off x="0" y="0"/>
                      <a:ext cx="5989320" cy="2395728"/>
                    </a:xfrm>
                    <a:prstGeom prst="rect">
                      <a:avLst/>
                    </a:prstGeom>
                  </pic:spPr>
                </pic:pic>
              </a:graphicData>
            </a:graphic>
          </wp:inline>
        </w:drawing>
      </w:r>
    </w:p>
    <w:p w14:paraId="7DDD92EC" w14:textId="77777777" w:rsidR="007D4762" w:rsidRDefault="00772FB4">
      <w:pPr>
        <w:spacing w:before="80" w:after="120"/>
        <w:jc w:val="center"/>
        <w:rPr>
          <w:rFonts w:hint="eastAsia"/>
        </w:rPr>
      </w:pPr>
      <w:r>
        <w:rPr>
          <w:rFonts w:eastAsia="Noto Sans" w:cs="Noto Sans"/>
          <w:b/>
          <w:color w:val="5F6C73"/>
          <w:sz w:val="18"/>
        </w:rPr>
        <w:t xml:space="preserve">Figure 30. Collapsed AVA: </w:t>
      </w:r>
      <w:r>
        <w:rPr>
          <w:rFonts w:eastAsia="Noto Sans" w:cs="Noto Sans"/>
          <w:b/>
          <w:color w:val="5F6C73"/>
          <w:sz w:val="18"/>
        </w:rPr>
        <w:t>⬢</w:t>
      </w:r>
      <w:r>
        <w:rPr>
          <w:rFonts w:eastAsia="Noto Sans" w:cs="Noto Sans"/>
          <w:b/>
          <w:color w:val="5F6C73"/>
          <w:sz w:val="18"/>
        </w:rPr>
        <w:t>▪</w:t>
      </w:r>
      <w:r>
        <w:rPr>
          <w:rFonts w:eastAsia="Noto Sans" w:cs="Noto Sans"/>
          <w:b/>
          <w:color w:val="5F6C73"/>
          <w:sz w:val="18"/>
        </w:rPr>
        <w:t>︎</w:t>
      </w:r>
      <w:r>
        <w:rPr>
          <w:rFonts w:eastAsia="Noto Sans" w:cs="Noto Sans"/>
          <w:b/>
          <w:color w:val="5F6C73"/>
          <w:sz w:val="18"/>
        </w:rPr>
        <w:t>⬢</w:t>
      </w:r>
      <w:r>
        <w:rPr>
          <w:rFonts w:eastAsia="Noto Sans" w:cs="Noto Sans"/>
          <w:b/>
          <w:color w:val="5F6C73"/>
          <w:sz w:val="18"/>
        </w:rPr>
        <w:t xml:space="preserve"> as the persistent minimal access point.</w:t>
      </w:r>
    </w:p>
    <w:p w14:paraId="385A6517" w14:textId="77777777" w:rsidR="007D4762" w:rsidRDefault="00772FB4">
      <w:pPr>
        <w:keepNext/>
        <w:spacing w:before="120" w:after="40"/>
        <w:jc w:val="center"/>
        <w:rPr>
          <w:rFonts w:hint="eastAsia"/>
        </w:rPr>
      </w:pPr>
      <w:r>
        <w:rPr>
          <w:noProof/>
        </w:rPr>
        <w:drawing>
          <wp:inline distT="0" distB="0" distL="0" distR="0" wp14:anchorId="19AB7716" wp14:editId="62044EC6">
            <wp:extent cx="5989320" cy="265241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_ava_story.png"/>
                    <pic:cNvPicPr/>
                  </pic:nvPicPr>
                  <pic:blipFill>
                    <a:blip r:embed="rId38"/>
                    <a:stretch>
                      <a:fillRect/>
                    </a:stretch>
                  </pic:blipFill>
                  <pic:spPr>
                    <a:xfrm>
                      <a:off x="0" y="0"/>
                      <a:ext cx="5989320" cy="2652413"/>
                    </a:xfrm>
                    <a:prstGeom prst="rect">
                      <a:avLst/>
                    </a:prstGeom>
                  </pic:spPr>
                </pic:pic>
              </a:graphicData>
            </a:graphic>
          </wp:inline>
        </w:drawing>
      </w:r>
    </w:p>
    <w:p w14:paraId="7EE4F8D8" w14:textId="77777777" w:rsidR="007D4762" w:rsidRDefault="00772FB4">
      <w:pPr>
        <w:spacing w:before="80" w:after="120"/>
        <w:jc w:val="center"/>
        <w:rPr>
          <w:rFonts w:hint="eastAsia"/>
        </w:rPr>
      </w:pPr>
      <w:r>
        <w:rPr>
          <w:rFonts w:eastAsia="Noto Sans" w:cs="Noto Sans"/>
          <w:b/>
          <w:color w:val="5F6C73"/>
          <w:sz w:val="18"/>
        </w:rPr>
        <w:t>Figure 31. Docked, floating, and active AVA states.</w:t>
      </w:r>
    </w:p>
    <w:p w14:paraId="312B8057" w14:textId="77777777" w:rsidR="007D4762" w:rsidRDefault="00772FB4">
      <w:pPr>
        <w:spacing w:after="140" w:line="278" w:lineRule="auto"/>
        <w:rPr>
          <w:rFonts w:hint="eastAsia"/>
        </w:rPr>
      </w:pPr>
      <w:r>
        <w:rPr>
          <w:rFonts w:eastAsia="Noto Sans" w:cs="Noto Sans"/>
          <w:color w:val="24323A"/>
        </w:rPr>
        <w:t>The collapsed notation is intentionally compact: a semantic point inside the AAA loop. It does not require AVA to be literally implemented as a Semantic Kernel Bit; it communicates the idea of a large associative environment collapsed into a tiny persistent handle.</w:t>
      </w:r>
    </w:p>
    <w:p w14:paraId="6CE74579" w14:textId="77777777" w:rsidR="007D4762" w:rsidRDefault="00772FB4">
      <w:pPr>
        <w:pStyle w:val="Heading2"/>
      </w:pPr>
      <w:r>
        <w:t>Projection layers</w:t>
      </w:r>
    </w:p>
    <w:p w14:paraId="7F6111D0" w14:textId="77777777" w:rsidR="007D4762" w:rsidRDefault="00772FB4">
      <w:pPr>
        <w:keepNext/>
        <w:spacing w:before="120" w:after="40"/>
        <w:jc w:val="center"/>
        <w:rPr>
          <w:rFonts w:hint="eastAsia"/>
        </w:rPr>
      </w:pPr>
      <w:r>
        <w:rPr>
          <w:noProof/>
        </w:rPr>
        <w:drawing>
          <wp:inline distT="0" distB="0" distL="0" distR="0" wp14:anchorId="5A4EDC38" wp14:editId="1E632577">
            <wp:extent cx="5989320" cy="278075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_dartboard_layers.png"/>
                    <pic:cNvPicPr/>
                  </pic:nvPicPr>
                  <pic:blipFill>
                    <a:blip r:embed="rId39"/>
                    <a:stretch>
                      <a:fillRect/>
                    </a:stretch>
                  </pic:blipFill>
                  <pic:spPr>
                    <a:xfrm>
                      <a:off x="0" y="0"/>
                      <a:ext cx="5989320" cy="2780756"/>
                    </a:xfrm>
                    <a:prstGeom prst="rect">
                      <a:avLst/>
                    </a:prstGeom>
                  </pic:spPr>
                </pic:pic>
              </a:graphicData>
            </a:graphic>
          </wp:inline>
        </w:drawing>
      </w:r>
    </w:p>
    <w:p w14:paraId="49F5571E" w14:textId="77777777" w:rsidR="007D4762" w:rsidRDefault="00772FB4">
      <w:pPr>
        <w:spacing w:before="80" w:after="120"/>
        <w:jc w:val="center"/>
        <w:rPr>
          <w:rFonts w:hint="eastAsia"/>
        </w:rPr>
      </w:pPr>
      <w:r>
        <w:rPr>
          <w:rFonts w:eastAsia="Noto Sans" w:cs="Noto Sans"/>
          <w:b/>
          <w:color w:val="5F6C73"/>
          <w:sz w:val="18"/>
        </w:rPr>
        <w:t>Figure 32. AAA Expressions sit above the DARTBOARD and canonical state layers.</w:t>
      </w:r>
    </w:p>
    <w:p w14:paraId="641BEBCB" w14:textId="77777777" w:rsidR="007D4762" w:rsidRDefault="00772FB4">
      <w:pPr>
        <w:spacing w:after="140" w:line="278" w:lineRule="auto"/>
        <w:rPr>
          <w:rFonts w:hint="eastAsia"/>
        </w:rPr>
      </w:pPr>
      <w:r>
        <w:rPr>
          <w:rFonts w:eastAsia="Noto Sans" w:cs="Noto Sans"/>
          <w:color w:val="24323A"/>
        </w:rPr>
        <w:t>The layer model makes destructive editing unnecessary. A censor AAA can visually cover a word while the original string remains present. A social AAA can graffiti the newest words in a shared document without writing into the document. Disabling the projection removes the expression immediately.</w:t>
      </w:r>
    </w:p>
    <w:tbl>
      <w:tblPr>
        <w:tblW w:w="0" w:type="auto"/>
        <w:jc w:val="center"/>
        <w:tblLayout w:type="fixed"/>
        <w:tblLook w:val="04A0" w:firstRow="1" w:lastRow="0" w:firstColumn="1" w:lastColumn="0" w:noHBand="0" w:noVBand="1"/>
      </w:tblPr>
      <w:tblGrid>
        <w:gridCol w:w="9878"/>
      </w:tblGrid>
      <w:tr w:rsidR="007D4762" w14:paraId="74949CDB"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1E31B90B" w14:textId="77777777" w:rsidR="007D4762" w:rsidRDefault="00772FB4">
            <w:pPr>
              <w:spacing w:after="0" w:line="283" w:lineRule="auto"/>
              <w:rPr>
                <w:rFonts w:hint="eastAsia"/>
              </w:rPr>
            </w:pPr>
            <w:r>
              <w:rPr>
                <w:rFonts w:eastAsia="Noto Sans" w:cs="Noto Sans"/>
                <w:b/>
                <w:color w:val="B4763B"/>
              </w:rPr>
              <w:t>AAA-L10 · TOGGLEABILITY</w:t>
            </w:r>
            <w:r>
              <w:br/>
            </w:r>
            <w:r>
              <w:rPr>
                <w:rFonts w:eastAsia="Noto Sans" w:cs="Noto Sans"/>
                <w:color w:val="24323A"/>
                <w:sz w:val="20"/>
              </w:rPr>
              <w:t>Disabling an AAA removes its projection without requiring reconstruction of canonical source data.</w:t>
            </w:r>
          </w:p>
        </w:tc>
      </w:tr>
    </w:tbl>
    <w:p w14:paraId="045270CD" w14:textId="77777777" w:rsidR="007D4762" w:rsidRDefault="007D4762">
      <w:pPr>
        <w:spacing w:after="40"/>
        <w:rPr>
          <w:rFonts w:hint="eastAsia"/>
        </w:rPr>
      </w:pPr>
    </w:p>
    <w:p w14:paraId="69BE29E2" w14:textId="77777777" w:rsidR="007D4762" w:rsidRDefault="00772FB4">
      <w:pPr>
        <w:pStyle w:val="Heading1"/>
      </w:pPr>
      <w:r>
        <w:t>VIII. Interoperability</w:t>
      </w:r>
    </w:p>
    <w:p w14:paraId="3F59B2E5" w14:textId="77777777" w:rsidR="007D4762" w:rsidRDefault="00772FB4">
      <w:pPr>
        <w:pStyle w:val="Heading2"/>
      </w:pPr>
      <w:r>
        <w:t>AAA + EFFECTS</w:t>
      </w:r>
    </w:p>
    <w:p w14:paraId="6F30D554" w14:textId="77777777" w:rsidR="007D4762" w:rsidRDefault="00772FB4">
      <w:pPr>
        <w:keepNext/>
        <w:spacing w:before="120" w:after="40"/>
        <w:jc w:val="center"/>
        <w:rPr>
          <w:rFonts w:hint="eastAsia"/>
        </w:rPr>
      </w:pPr>
      <w:r>
        <w:rPr>
          <w:noProof/>
        </w:rPr>
        <w:drawing>
          <wp:inline distT="0" distB="0" distL="0" distR="0" wp14:anchorId="5CA106E4" wp14:editId="28924FAB">
            <wp:extent cx="5989320" cy="205348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_effects.png"/>
                    <pic:cNvPicPr/>
                  </pic:nvPicPr>
                  <pic:blipFill>
                    <a:blip r:embed="rId40"/>
                    <a:stretch>
                      <a:fillRect/>
                    </a:stretch>
                  </pic:blipFill>
                  <pic:spPr>
                    <a:xfrm>
                      <a:off x="0" y="0"/>
                      <a:ext cx="5989320" cy="2053481"/>
                    </a:xfrm>
                    <a:prstGeom prst="rect">
                      <a:avLst/>
                    </a:prstGeom>
                  </pic:spPr>
                </pic:pic>
              </a:graphicData>
            </a:graphic>
          </wp:inline>
        </w:drawing>
      </w:r>
    </w:p>
    <w:p w14:paraId="3F74E510" w14:textId="77777777" w:rsidR="007D4762" w:rsidRDefault="00772FB4">
      <w:pPr>
        <w:spacing w:before="80" w:after="120"/>
        <w:jc w:val="center"/>
        <w:rPr>
          <w:rFonts w:hint="eastAsia"/>
        </w:rPr>
      </w:pPr>
      <w:r>
        <w:rPr>
          <w:rFonts w:eastAsia="Noto Sans" w:cs="Noto Sans"/>
          <w:b/>
          <w:color w:val="5F6C73"/>
          <w:sz w:val="18"/>
        </w:rPr>
        <w:t>Figure 33. AAA resolves semantic state and transformed values; EFFECTS provides the expressive modalities that render them.</w:t>
      </w:r>
    </w:p>
    <w:p w14:paraId="02845FB9" w14:textId="77777777" w:rsidR="007D4762" w:rsidRDefault="00772FB4">
      <w:pPr>
        <w:spacing w:after="140" w:line="278" w:lineRule="auto"/>
        <w:rPr>
          <w:rFonts w:hint="eastAsia"/>
        </w:rPr>
      </w:pPr>
      <w:r>
        <w:rPr>
          <w:rFonts w:eastAsia="Noto Sans" w:cs="Noto Sans"/>
          <w:color w:val="24323A"/>
        </w:rPr>
        <w:t>AAA answers what association should be surfaced and sends the relevant Packet. x▪</w:t>
      </w:r>
      <w:r>
        <w:rPr>
          <w:rFonts w:eastAsia="Noto Sans" w:cs="Noto Sans"/>
          <w:color w:val="24323A"/>
        </w:rPr>
        <w:t>︎</w:t>
      </w:r>
      <w:r>
        <w:rPr>
          <w:rFonts w:eastAsia="Noto Sans" w:cs="Noto Sans"/>
          <w:color w:val="24323A"/>
        </w:rPr>
        <w:t>x resolves the target values. EFFECTS supplies the expressive vocabulary - color, motion, sound, particles, shape, shimmer, fade, and other modalities - through which those values become perceptible.</w:t>
      </w:r>
    </w:p>
    <w:p w14:paraId="2B58E592" w14:textId="77777777" w:rsidR="007D4762" w:rsidRDefault="00772FB4">
      <w:pPr>
        <w:pStyle w:val="Heading2"/>
      </w:pPr>
      <w:r>
        <w:t>AAA + BOOTSTRAP</w:t>
      </w:r>
    </w:p>
    <w:p w14:paraId="0C6BCFB6" w14:textId="77777777" w:rsidR="007D4762" w:rsidRDefault="00772FB4">
      <w:pPr>
        <w:keepNext/>
        <w:spacing w:before="120" w:after="40"/>
        <w:jc w:val="center"/>
        <w:rPr>
          <w:rFonts w:hint="eastAsia"/>
        </w:rPr>
      </w:pPr>
      <w:r>
        <w:rPr>
          <w:noProof/>
        </w:rPr>
        <w:drawing>
          <wp:inline distT="0" distB="0" distL="0" distR="0" wp14:anchorId="100709BF" wp14:editId="790DA7D2">
            <wp:extent cx="5989320" cy="205348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_bootstrap.png"/>
                    <pic:cNvPicPr/>
                  </pic:nvPicPr>
                  <pic:blipFill>
                    <a:blip r:embed="rId41"/>
                    <a:stretch>
                      <a:fillRect/>
                    </a:stretch>
                  </pic:blipFill>
                  <pic:spPr>
                    <a:xfrm>
                      <a:off x="0" y="0"/>
                      <a:ext cx="5989320" cy="2053481"/>
                    </a:xfrm>
                    <a:prstGeom prst="rect">
                      <a:avLst/>
                    </a:prstGeom>
                  </pic:spPr>
                </pic:pic>
              </a:graphicData>
            </a:graphic>
          </wp:inline>
        </w:drawing>
      </w:r>
    </w:p>
    <w:p w14:paraId="1F0C300B" w14:textId="77777777" w:rsidR="007D4762" w:rsidRDefault="00772FB4">
      <w:pPr>
        <w:spacing w:before="80" w:after="120"/>
        <w:jc w:val="center"/>
        <w:rPr>
          <w:rFonts w:hint="eastAsia"/>
        </w:rPr>
      </w:pPr>
      <w:r>
        <w:rPr>
          <w:rFonts w:eastAsia="Noto Sans" w:cs="Noto Sans"/>
          <w:b/>
          <w:color w:val="5F6C73"/>
          <w:sz w:val="18"/>
        </w:rPr>
        <w:t>Figure 34. A knowledge-dependent AAA can use BOOTSTRAP to obtain bounded context before expression.</w:t>
      </w:r>
    </w:p>
    <w:p w14:paraId="319BCEF1" w14:textId="77777777" w:rsidR="007D4762" w:rsidRDefault="00772FB4">
      <w:pPr>
        <w:spacing w:after="140" w:line="278" w:lineRule="auto"/>
        <w:rPr>
          <w:rFonts w:hint="eastAsia"/>
        </w:rPr>
      </w:pPr>
      <w:r>
        <w:rPr>
          <w:rFonts w:eastAsia="Noto Sans" w:cs="Noto Sans"/>
          <w:color w:val="24323A"/>
        </w:rPr>
        <w:t>Semantic Zoom and Chat demonstrate this boundary. AAA does not own the definition or conversational knowledge. It resolves the selected subject, obtains the governed bounded context, then exposes an existing capability through AVA or DARTBOARD.</w:t>
      </w:r>
    </w:p>
    <w:p w14:paraId="415ECF30" w14:textId="77777777" w:rsidR="007D4762" w:rsidRDefault="00772FB4">
      <w:pPr>
        <w:pStyle w:val="Heading1"/>
      </w:pPr>
      <w:r>
        <w:t>IX. Worked Atlas Association Applications</w:t>
      </w:r>
    </w:p>
    <w:p w14:paraId="6D3F43E5" w14:textId="77777777" w:rsidR="007D4762" w:rsidRDefault="00772FB4">
      <w:pPr>
        <w:spacing w:after="140" w:line="278" w:lineRule="auto"/>
        <w:rPr>
          <w:rFonts w:hint="eastAsia"/>
        </w:rPr>
      </w:pPr>
      <w:r>
        <w:rPr>
          <w:rFonts w:eastAsia="Noto Sans" w:cs="Noto Sans"/>
          <w:color w:val="24323A"/>
        </w:rPr>
        <w:t>The examples below deliberately mix serious and absurd applications. This is architectural, not decorative: the same disciplined runtime grammar should support both. The difference is the selected association and transform, not the integrity of the underlying data.</w:t>
      </w:r>
    </w:p>
    <w:p w14:paraId="2F1C91C4" w14:textId="77777777" w:rsidR="007D4762" w:rsidRDefault="00772FB4">
      <w:pPr>
        <w:pStyle w:val="Heading2"/>
      </w:pPr>
      <w:r>
        <w:t>Semantic Zoom</w:t>
      </w:r>
    </w:p>
    <w:p w14:paraId="7610E37E" w14:textId="77777777" w:rsidR="007D4762" w:rsidRDefault="00772FB4">
      <w:pPr>
        <w:keepNext/>
        <w:spacing w:before="120" w:after="40"/>
        <w:jc w:val="center"/>
        <w:rPr>
          <w:rFonts w:hint="eastAsia"/>
        </w:rPr>
      </w:pPr>
      <w:r>
        <w:rPr>
          <w:noProof/>
        </w:rPr>
        <w:drawing>
          <wp:inline distT="0" distB="0" distL="0" distR="0" wp14:anchorId="1BEC0F6A" wp14:editId="4A180D2E">
            <wp:extent cx="5989320" cy="209626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_semantic_zoom.png"/>
                    <pic:cNvPicPr/>
                  </pic:nvPicPr>
                  <pic:blipFill>
                    <a:blip r:embed="rId42"/>
                    <a:stretch>
                      <a:fillRect/>
                    </a:stretch>
                  </pic:blipFill>
                  <pic:spPr>
                    <a:xfrm>
                      <a:off x="0" y="0"/>
                      <a:ext cx="5989320" cy="2096262"/>
                    </a:xfrm>
                    <a:prstGeom prst="rect">
                      <a:avLst/>
                    </a:prstGeom>
                  </pic:spPr>
                </pic:pic>
              </a:graphicData>
            </a:graphic>
          </wp:inline>
        </w:drawing>
      </w:r>
    </w:p>
    <w:p w14:paraId="00F44A12" w14:textId="77777777" w:rsidR="007D4762" w:rsidRDefault="00772FB4">
      <w:pPr>
        <w:spacing w:before="80" w:after="120"/>
        <w:jc w:val="center"/>
        <w:rPr>
          <w:rFonts w:hint="eastAsia"/>
        </w:rPr>
      </w:pPr>
      <w:r>
        <w:rPr>
          <w:rFonts w:eastAsia="Noto Sans" w:cs="Noto Sans"/>
          <w:b/>
          <w:color w:val="5F6C73"/>
          <w:sz w:val="18"/>
        </w:rPr>
        <w:t>Figure 35. Semantic Zoom: hover → resolve identity → retrieve meaning → express context.</w:t>
      </w:r>
    </w:p>
    <w:p w14:paraId="36CA3A3B" w14:textId="77777777" w:rsidR="007D4762" w:rsidRDefault="00772FB4">
      <w:pPr>
        <w:spacing w:after="140" w:line="278" w:lineRule="auto"/>
        <w:rPr>
          <w:rFonts w:hint="eastAsia"/>
        </w:rPr>
      </w:pPr>
      <w:r>
        <w:rPr>
          <w:rFonts w:eastAsia="Noto Sans" w:cs="Noto Sans"/>
          <w:color w:val="24323A"/>
        </w:rPr>
        <w:t>Semantic Zoom turns an unfamiliar symbol, word, or object into an immediate teaching surface. The selected item remains unchanged; AVA or DARTBOARD temporarily surfaces its existing semantic identity and description.</w:t>
      </w:r>
    </w:p>
    <w:p w14:paraId="0728AAED" w14:textId="77777777" w:rsidR="007D4762" w:rsidRDefault="00772FB4">
      <w:pPr>
        <w:pStyle w:val="Heading2"/>
      </w:pPr>
      <w:r>
        <w:t>Chat</w:t>
      </w:r>
    </w:p>
    <w:p w14:paraId="3E31FB99" w14:textId="77777777" w:rsidR="007D4762" w:rsidRDefault="00772FB4">
      <w:pPr>
        <w:keepNext/>
        <w:spacing w:before="120" w:after="40"/>
        <w:jc w:val="center"/>
        <w:rPr>
          <w:rFonts w:hint="eastAsia"/>
        </w:rPr>
      </w:pPr>
      <w:r>
        <w:rPr>
          <w:noProof/>
        </w:rPr>
        <w:drawing>
          <wp:inline distT="0" distB="0" distL="0" distR="0" wp14:anchorId="17BE75FB" wp14:editId="00C0D09D">
            <wp:extent cx="5989320" cy="205348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6_chat.png"/>
                    <pic:cNvPicPr/>
                  </pic:nvPicPr>
                  <pic:blipFill>
                    <a:blip r:embed="rId43"/>
                    <a:stretch>
                      <a:fillRect/>
                    </a:stretch>
                  </pic:blipFill>
                  <pic:spPr>
                    <a:xfrm>
                      <a:off x="0" y="0"/>
                      <a:ext cx="5989320" cy="2053481"/>
                    </a:xfrm>
                    <a:prstGeom prst="rect">
                      <a:avLst/>
                    </a:prstGeom>
                  </pic:spPr>
                </pic:pic>
              </a:graphicData>
            </a:graphic>
          </wp:inline>
        </w:drawing>
      </w:r>
    </w:p>
    <w:p w14:paraId="1E8DEA96" w14:textId="77777777" w:rsidR="007D4762" w:rsidRDefault="00772FB4">
      <w:pPr>
        <w:spacing w:before="80" w:after="120"/>
        <w:jc w:val="center"/>
        <w:rPr>
          <w:rFonts w:hint="eastAsia"/>
        </w:rPr>
      </w:pPr>
      <w:r>
        <w:rPr>
          <w:rFonts w:eastAsia="Noto Sans" w:cs="Noto Sans"/>
          <w:b/>
          <w:color w:val="5F6C73"/>
          <w:sz w:val="18"/>
        </w:rPr>
        <w:t>Figure 36. Chat: the selected object provides an exact conversational point with bounded context.</w:t>
      </w:r>
    </w:p>
    <w:p w14:paraId="456D3357" w14:textId="77777777" w:rsidR="007D4762" w:rsidRDefault="00772FB4">
      <w:pPr>
        <w:spacing w:after="140" w:line="278" w:lineRule="auto"/>
        <w:rPr>
          <w:rFonts w:hint="eastAsia"/>
        </w:rPr>
      </w:pPr>
      <w:r>
        <w:rPr>
          <w:rFonts w:eastAsia="Noto Sans" w:cs="Noto Sans"/>
          <w:color w:val="24323A"/>
        </w:rPr>
        <w:t>Chat is not a new intelligence system inside AAA. The system already supports reasoning and contextual retrieval. The Application supplies a convenient associative entry point so the user can converse about the currently selected semantic object.</w:t>
      </w:r>
    </w:p>
    <w:p w14:paraId="095768F3" w14:textId="77777777" w:rsidR="007D4762" w:rsidRDefault="00772FB4">
      <w:pPr>
        <w:pStyle w:val="Heading2"/>
      </w:pPr>
      <w:r>
        <w:t>Review</w:t>
      </w:r>
    </w:p>
    <w:p w14:paraId="7961EBAB" w14:textId="77777777" w:rsidR="007D4762" w:rsidRDefault="00772FB4">
      <w:pPr>
        <w:keepNext/>
        <w:spacing w:before="120" w:after="40"/>
        <w:jc w:val="center"/>
        <w:rPr>
          <w:rFonts w:hint="eastAsia"/>
        </w:rPr>
      </w:pPr>
      <w:r>
        <w:rPr>
          <w:noProof/>
        </w:rPr>
        <w:drawing>
          <wp:inline distT="0" distB="0" distL="0" distR="0" wp14:anchorId="000FD3E2" wp14:editId="7A402518">
            <wp:extent cx="5989320" cy="20534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_review.png"/>
                    <pic:cNvPicPr/>
                  </pic:nvPicPr>
                  <pic:blipFill>
                    <a:blip r:embed="rId44"/>
                    <a:stretch>
                      <a:fillRect/>
                    </a:stretch>
                  </pic:blipFill>
                  <pic:spPr>
                    <a:xfrm>
                      <a:off x="0" y="0"/>
                      <a:ext cx="5989320" cy="2053481"/>
                    </a:xfrm>
                    <a:prstGeom prst="rect">
                      <a:avLst/>
                    </a:prstGeom>
                  </pic:spPr>
                </pic:pic>
              </a:graphicData>
            </a:graphic>
          </wp:inline>
        </w:drawing>
      </w:r>
    </w:p>
    <w:p w14:paraId="3C9B0492" w14:textId="77777777" w:rsidR="007D4762" w:rsidRDefault="00772FB4">
      <w:pPr>
        <w:spacing w:before="80" w:after="120"/>
        <w:jc w:val="center"/>
        <w:rPr>
          <w:rFonts w:hint="eastAsia"/>
        </w:rPr>
      </w:pPr>
      <w:r>
        <w:rPr>
          <w:rFonts w:eastAsia="Noto Sans" w:cs="Noto Sans"/>
          <w:b/>
          <w:color w:val="5F6C73"/>
          <w:sz w:val="18"/>
        </w:rPr>
        <w:t>Figure 37. Review: surface unresolved work, then route actual decisions through governed mutation.</w:t>
      </w:r>
    </w:p>
    <w:p w14:paraId="220B1BD9" w14:textId="77777777" w:rsidR="007D4762" w:rsidRDefault="00772FB4">
      <w:pPr>
        <w:spacing w:after="140" w:line="278" w:lineRule="auto"/>
        <w:rPr>
          <w:rFonts w:hint="eastAsia"/>
        </w:rPr>
      </w:pPr>
      <w:r>
        <w:rPr>
          <w:rFonts w:eastAsia="Noto Sans" w:cs="Noto Sans"/>
          <w:color w:val="24323A"/>
        </w:rPr>
        <w:t>Review can highlight conflicts, missing definitions, or records requiring judgment. Its Expressions point, annotate, rank, or explain. Approved changes still pass through the appropriate system authority.</w:t>
      </w:r>
    </w:p>
    <w:p w14:paraId="1F382043" w14:textId="77777777" w:rsidR="007D4762" w:rsidRDefault="00772FB4">
      <w:pPr>
        <w:pStyle w:val="Heading2"/>
      </w:pPr>
      <w:r>
        <w:t>Music</w:t>
      </w:r>
    </w:p>
    <w:p w14:paraId="473A684E" w14:textId="77777777" w:rsidR="007D4762" w:rsidRDefault="00772FB4">
      <w:pPr>
        <w:keepNext/>
        <w:spacing w:before="120" w:after="40"/>
        <w:jc w:val="center"/>
        <w:rPr>
          <w:rFonts w:hint="eastAsia"/>
        </w:rPr>
      </w:pPr>
      <w:r>
        <w:rPr>
          <w:noProof/>
        </w:rPr>
        <w:drawing>
          <wp:inline distT="0" distB="0" distL="0" distR="0" wp14:anchorId="09DC0491" wp14:editId="58A7D8DC">
            <wp:extent cx="5989320" cy="29946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8_music.png"/>
                    <pic:cNvPicPr/>
                  </pic:nvPicPr>
                  <pic:blipFill>
                    <a:blip r:embed="rId45"/>
                    <a:stretch>
                      <a:fillRect/>
                    </a:stretch>
                  </pic:blipFill>
                  <pic:spPr>
                    <a:xfrm>
                      <a:off x="0" y="0"/>
                      <a:ext cx="5989320" cy="2994660"/>
                    </a:xfrm>
                    <a:prstGeom prst="rect">
                      <a:avLst/>
                    </a:prstGeom>
                  </pic:spPr>
                </pic:pic>
              </a:graphicData>
            </a:graphic>
          </wp:inline>
        </w:drawing>
      </w:r>
    </w:p>
    <w:p w14:paraId="26C05A7E" w14:textId="77777777" w:rsidR="007D4762" w:rsidRDefault="00772FB4">
      <w:pPr>
        <w:spacing w:before="80" w:after="120"/>
        <w:jc w:val="center"/>
        <w:rPr>
          <w:rFonts w:hint="eastAsia"/>
        </w:rPr>
      </w:pPr>
      <w:r>
        <w:rPr>
          <w:rFonts w:eastAsia="Noto Sans" w:cs="Noto Sans"/>
          <w:b/>
          <w:color w:val="5F6C73"/>
          <w:sz w:val="18"/>
        </w:rPr>
        <w:t>Figure 38. Music AAA: several musical scalar dimensions drive several perceptual transforms.</w:t>
      </w:r>
    </w:p>
    <w:p w14:paraId="3C5C6BAA" w14:textId="77777777" w:rsidR="007D4762" w:rsidRDefault="00772FB4">
      <w:pPr>
        <w:spacing w:after="140" w:line="278" w:lineRule="auto"/>
        <w:rPr>
          <w:rFonts w:hint="eastAsia"/>
        </w:rPr>
      </w:pPr>
      <w:r>
        <w:rPr>
          <w:rFonts w:eastAsia="Noto Sans" w:cs="Noto Sans"/>
          <w:color w:val="24323A"/>
        </w:rPr>
        <w:t>Music demonstrates fan-out across modalities. Pitch may control Color, Beat may control scale pulses, Frequency may control particle spacing, and Intensity may control deformation. Each mapping is separately registered. The resulting simultaneous outputs form an Expression Bundle.</w:t>
      </w:r>
    </w:p>
    <w:p w14:paraId="409B3512" w14:textId="77777777" w:rsidR="007D4762" w:rsidRDefault="00772FB4">
      <w:pPr>
        <w:pStyle w:val="Heading2"/>
      </w:pPr>
      <w:r>
        <w:t>Macro Particles</w:t>
      </w:r>
    </w:p>
    <w:p w14:paraId="1D4FC4FD" w14:textId="77777777" w:rsidR="007D4762" w:rsidRDefault="00772FB4">
      <w:pPr>
        <w:keepNext/>
        <w:spacing w:before="120" w:after="40"/>
        <w:jc w:val="center"/>
        <w:rPr>
          <w:rFonts w:hint="eastAsia"/>
        </w:rPr>
      </w:pPr>
      <w:r>
        <w:rPr>
          <w:noProof/>
        </w:rPr>
        <w:drawing>
          <wp:inline distT="0" distB="0" distL="0" distR="0" wp14:anchorId="3A3753E0" wp14:editId="77999E0D">
            <wp:extent cx="5989320" cy="286631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9_macro_particles.png"/>
                    <pic:cNvPicPr/>
                  </pic:nvPicPr>
                  <pic:blipFill>
                    <a:blip r:embed="rId46"/>
                    <a:stretch>
                      <a:fillRect/>
                    </a:stretch>
                  </pic:blipFill>
                  <pic:spPr>
                    <a:xfrm>
                      <a:off x="0" y="0"/>
                      <a:ext cx="5989320" cy="2866317"/>
                    </a:xfrm>
                    <a:prstGeom prst="rect">
                      <a:avLst/>
                    </a:prstGeom>
                  </pic:spPr>
                </pic:pic>
              </a:graphicData>
            </a:graphic>
          </wp:inline>
        </w:drawing>
      </w:r>
    </w:p>
    <w:p w14:paraId="1844E266" w14:textId="77777777" w:rsidR="007D4762" w:rsidRDefault="00772FB4">
      <w:pPr>
        <w:spacing w:before="80" w:after="120"/>
        <w:jc w:val="center"/>
        <w:rPr>
          <w:rFonts w:hint="eastAsia"/>
        </w:rPr>
      </w:pPr>
      <w:r>
        <w:rPr>
          <w:rFonts w:eastAsia="Noto Sans" w:cs="Noto Sans"/>
          <w:b/>
          <w:color w:val="5F6C73"/>
          <w:sz w:val="18"/>
        </w:rPr>
        <w:t>Figure 39. Macro Particles: nutrition scalars mapped into visible particle densities.</w:t>
      </w:r>
    </w:p>
    <w:p w14:paraId="25AE1748" w14:textId="77777777" w:rsidR="007D4762" w:rsidRDefault="00772FB4">
      <w:pPr>
        <w:spacing w:after="140" w:line="278" w:lineRule="auto"/>
        <w:rPr>
          <w:rFonts w:hint="eastAsia"/>
        </w:rPr>
      </w:pPr>
      <w:r>
        <w:rPr>
          <w:rFonts w:eastAsia="Noto Sans" w:cs="Noto Sans"/>
          <w:color w:val="24323A"/>
        </w:rPr>
        <w:t>A food record can expose Protein, Fat, and Carbohydrate scalar BitGroups. The Application can transform those values into red, blue, and yellow particle densities respectively. The visualization does not change nutrition data and does not claim the nutrient literally is a color; it is an explicit perceptual mapping.</w:t>
      </w:r>
    </w:p>
    <w:p w14:paraId="22BFEFC9" w14:textId="77777777" w:rsidR="007D4762" w:rsidRDefault="00772FB4">
      <w:pPr>
        <w:pStyle w:val="Heading2"/>
      </w:pPr>
      <w:r>
        <w:t>Happy Memory</w:t>
      </w:r>
    </w:p>
    <w:p w14:paraId="385EC890" w14:textId="77777777" w:rsidR="007D4762" w:rsidRDefault="00772FB4">
      <w:pPr>
        <w:keepNext/>
        <w:spacing w:before="120" w:after="40"/>
        <w:jc w:val="center"/>
        <w:rPr>
          <w:rFonts w:hint="eastAsia"/>
        </w:rPr>
      </w:pPr>
      <w:r>
        <w:rPr>
          <w:noProof/>
        </w:rPr>
        <w:drawing>
          <wp:inline distT="0" distB="0" distL="0" distR="0" wp14:anchorId="5B514538" wp14:editId="57D94FC8">
            <wp:extent cx="5989320" cy="209626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0_happy_memory.png"/>
                    <pic:cNvPicPr/>
                  </pic:nvPicPr>
                  <pic:blipFill>
                    <a:blip r:embed="rId47"/>
                    <a:stretch>
                      <a:fillRect/>
                    </a:stretch>
                  </pic:blipFill>
                  <pic:spPr>
                    <a:xfrm>
                      <a:off x="0" y="0"/>
                      <a:ext cx="5989320" cy="2096262"/>
                    </a:xfrm>
                    <a:prstGeom prst="rect">
                      <a:avLst/>
                    </a:prstGeom>
                  </pic:spPr>
                </pic:pic>
              </a:graphicData>
            </a:graphic>
          </wp:inline>
        </w:drawing>
      </w:r>
    </w:p>
    <w:p w14:paraId="27410E49" w14:textId="77777777" w:rsidR="007D4762" w:rsidRDefault="00772FB4">
      <w:pPr>
        <w:spacing w:before="80" w:after="120"/>
        <w:jc w:val="center"/>
        <w:rPr>
          <w:rFonts w:hint="eastAsia"/>
        </w:rPr>
      </w:pPr>
      <w:r>
        <w:rPr>
          <w:rFonts w:eastAsia="Noto Sans" w:cs="Noto Sans"/>
          <w:b/>
          <w:color w:val="5F6C73"/>
          <w:sz w:val="18"/>
        </w:rPr>
        <w:t>Figure 40. Happy Memory: relation traversal selects a positive linked memory and surfaces it transiently.</w:t>
      </w:r>
    </w:p>
    <w:p w14:paraId="05CDD56C" w14:textId="77777777" w:rsidR="007D4762" w:rsidRDefault="00772FB4">
      <w:pPr>
        <w:spacing w:after="140" w:line="278" w:lineRule="auto"/>
        <w:rPr>
          <w:rFonts w:hint="eastAsia"/>
        </w:rPr>
      </w:pPr>
      <w:r>
        <w:rPr>
          <w:rFonts w:eastAsia="Noto Sans" w:cs="Noto Sans"/>
          <w:color w:val="24323A"/>
        </w:rPr>
        <w:t>A selected NodeKey can route into related Memories, apply the system's chosen positive-affect criteria, and surface the best-fitting result beside AVA. Again, the Application is a projection over existing graph relations rather than a new memory store.</w:t>
      </w:r>
    </w:p>
    <w:p w14:paraId="44814DFA" w14:textId="77777777" w:rsidR="007D4762" w:rsidRDefault="00772FB4">
      <w:pPr>
        <w:pStyle w:val="Heading2"/>
      </w:pPr>
      <w:r>
        <w:t>Sports Drop</w:t>
      </w:r>
    </w:p>
    <w:p w14:paraId="2F993D13" w14:textId="77777777" w:rsidR="007D4762" w:rsidRDefault="00772FB4">
      <w:pPr>
        <w:keepNext/>
        <w:spacing w:before="120" w:after="40"/>
        <w:jc w:val="center"/>
        <w:rPr>
          <w:rFonts w:hint="eastAsia"/>
        </w:rPr>
      </w:pPr>
      <w:r>
        <w:rPr>
          <w:noProof/>
        </w:rPr>
        <w:drawing>
          <wp:inline distT="0" distB="0" distL="0" distR="0" wp14:anchorId="46D68EB6" wp14:editId="302DBAE7">
            <wp:extent cx="5989320" cy="265241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1_sports_drop.png"/>
                    <pic:cNvPicPr/>
                  </pic:nvPicPr>
                  <pic:blipFill>
                    <a:blip r:embed="rId48"/>
                    <a:stretch>
                      <a:fillRect/>
                    </a:stretch>
                  </pic:blipFill>
                  <pic:spPr>
                    <a:xfrm>
                      <a:off x="0" y="0"/>
                      <a:ext cx="5989320" cy="2652413"/>
                    </a:xfrm>
                    <a:prstGeom prst="rect">
                      <a:avLst/>
                    </a:prstGeom>
                  </pic:spPr>
                </pic:pic>
              </a:graphicData>
            </a:graphic>
          </wp:inline>
        </w:drawing>
      </w:r>
    </w:p>
    <w:p w14:paraId="24C8BFCC" w14:textId="77777777" w:rsidR="007D4762" w:rsidRDefault="00772FB4">
      <w:pPr>
        <w:spacing w:before="80" w:after="120"/>
        <w:jc w:val="center"/>
        <w:rPr>
          <w:rFonts w:hint="eastAsia"/>
        </w:rPr>
      </w:pPr>
      <w:r>
        <w:rPr>
          <w:rFonts w:eastAsia="Noto Sans" w:cs="Noto Sans"/>
          <w:b/>
          <w:color w:val="5F6C73"/>
          <w:sz w:val="18"/>
        </w:rPr>
        <w:t>Figure 41. Sports Drop: serious relationship data projected as a deliberately playful visual.</w:t>
      </w:r>
    </w:p>
    <w:p w14:paraId="4472A9EF" w14:textId="77777777" w:rsidR="007D4762" w:rsidRDefault="00772FB4">
      <w:pPr>
        <w:spacing w:after="140" w:line="278" w:lineRule="auto"/>
        <w:rPr>
          <w:rFonts w:hint="eastAsia"/>
        </w:rPr>
      </w:pPr>
      <w:r>
        <w:rPr>
          <w:rFonts w:eastAsia="Noto Sans" w:cs="Noto Sans"/>
          <w:color w:val="24323A"/>
        </w:rPr>
        <w:t>A collaborator can be associated with sports previously played together. The corresponding sports assets can then fall onto or around that collaborator's interface representation. The underlying relation remains a normal graph fact; the falling ball is merely the chosen expression.</w:t>
      </w:r>
    </w:p>
    <w:p w14:paraId="7DEE11D5" w14:textId="77777777" w:rsidR="007D4762" w:rsidRDefault="00772FB4">
      <w:pPr>
        <w:pStyle w:val="Heading2"/>
      </w:pPr>
      <w:r>
        <w:t>Shared Friend Drop</w:t>
      </w:r>
    </w:p>
    <w:p w14:paraId="312F1AAE" w14:textId="77777777" w:rsidR="007D4762" w:rsidRDefault="00772FB4">
      <w:pPr>
        <w:keepNext/>
        <w:spacing w:before="120" w:after="40"/>
        <w:jc w:val="center"/>
        <w:rPr>
          <w:rFonts w:hint="eastAsia"/>
        </w:rPr>
      </w:pPr>
      <w:r>
        <w:rPr>
          <w:noProof/>
        </w:rPr>
        <w:drawing>
          <wp:inline distT="0" distB="0" distL="0" distR="0" wp14:anchorId="65680123" wp14:editId="62009805">
            <wp:extent cx="5989320" cy="273797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2_shared_friend.png"/>
                    <pic:cNvPicPr/>
                  </pic:nvPicPr>
                  <pic:blipFill>
                    <a:blip r:embed="rId49"/>
                    <a:stretch>
                      <a:fillRect/>
                    </a:stretch>
                  </pic:blipFill>
                  <pic:spPr>
                    <a:xfrm>
                      <a:off x="0" y="0"/>
                      <a:ext cx="5989320" cy="2737975"/>
                    </a:xfrm>
                    <a:prstGeom prst="rect">
                      <a:avLst/>
                    </a:prstGeom>
                  </pic:spPr>
                </pic:pic>
              </a:graphicData>
            </a:graphic>
          </wp:inline>
        </w:drawing>
      </w:r>
    </w:p>
    <w:p w14:paraId="771F5A40" w14:textId="77777777" w:rsidR="007D4762" w:rsidRDefault="00772FB4">
      <w:pPr>
        <w:spacing w:before="80" w:after="120"/>
        <w:jc w:val="center"/>
        <w:rPr>
          <w:rFonts w:hint="eastAsia"/>
        </w:rPr>
      </w:pPr>
      <w:r>
        <w:rPr>
          <w:rFonts w:eastAsia="Noto Sans" w:cs="Noto Sans"/>
          <w:b/>
          <w:color w:val="5F6C73"/>
          <w:sz w:val="18"/>
        </w:rPr>
        <w:t>Figure 42. Shared Friend Drop: mutual-friend relations become transient visual objects.</w:t>
      </w:r>
    </w:p>
    <w:p w14:paraId="08D64FAD" w14:textId="77777777" w:rsidR="007D4762" w:rsidRDefault="00772FB4">
      <w:pPr>
        <w:spacing w:after="140" w:line="278" w:lineRule="auto"/>
        <w:rPr>
          <w:rFonts w:hint="eastAsia"/>
        </w:rPr>
      </w:pPr>
      <w:r>
        <w:rPr>
          <w:rFonts w:eastAsia="Noto Sans" w:cs="Noto Sans"/>
          <w:color w:val="24323A"/>
        </w:rPr>
        <w:t>The same composition pattern works when the projected object is another person or graph node. A mutual-friend query returns eligible identities, which the Application surfaces with its chosen visual behavior.</w:t>
      </w:r>
    </w:p>
    <w:p w14:paraId="20BB4E15" w14:textId="77777777" w:rsidR="007D4762" w:rsidRDefault="00772FB4">
      <w:pPr>
        <w:pStyle w:val="Heading2"/>
      </w:pPr>
      <w:r>
        <w:t>Censor Painter and Language Scold</w:t>
      </w:r>
    </w:p>
    <w:p w14:paraId="4CAF31E0" w14:textId="77777777" w:rsidR="007D4762" w:rsidRDefault="00772FB4">
      <w:pPr>
        <w:keepNext/>
        <w:spacing w:before="120" w:after="40"/>
        <w:jc w:val="center"/>
        <w:rPr>
          <w:rFonts w:hint="eastAsia"/>
        </w:rPr>
      </w:pPr>
      <w:r>
        <w:rPr>
          <w:noProof/>
        </w:rPr>
        <w:drawing>
          <wp:inline distT="0" distB="0" distL="0" distR="0" wp14:anchorId="4BD4DEC4" wp14:editId="4072F512">
            <wp:extent cx="5989320" cy="265241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3_censor_scold.png"/>
                    <pic:cNvPicPr/>
                  </pic:nvPicPr>
                  <pic:blipFill>
                    <a:blip r:embed="rId50"/>
                    <a:stretch>
                      <a:fillRect/>
                    </a:stretch>
                  </pic:blipFill>
                  <pic:spPr>
                    <a:xfrm>
                      <a:off x="0" y="0"/>
                      <a:ext cx="5989320" cy="2652413"/>
                    </a:xfrm>
                    <a:prstGeom prst="rect">
                      <a:avLst/>
                    </a:prstGeom>
                  </pic:spPr>
                </pic:pic>
              </a:graphicData>
            </a:graphic>
          </wp:inline>
        </w:drawing>
      </w:r>
    </w:p>
    <w:p w14:paraId="78194BB1" w14:textId="77777777" w:rsidR="007D4762" w:rsidRDefault="00772FB4">
      <w:pPr>
        <w:spacing w:before="80" w:after="120"/>
        <w:jc w:val="center"/>
        <w:rPr>
          <w:rFonts w:hint="eastAsia"/>
        </w:rPr>
      </w:pPr>
      <w:r>
        <w:rPr>
          <w:rFonts w:eastAsia="Noto Sans" w:cs="Noto Sans"/>
          <w:b/>
          <w:color w:val="5F6C73"/>
          <w:sz w:val="18"/>
        </w:rPr>
        <w:t>Figure 43. Two Applications can share the same language trigger while producing completely different projections.</w:t>
      </w:r>
    </w:p>
    <w:p w14:paraId="7D79C606" w14:textId="77777777" w:rsidR="007D4762" w:rsidRDefault="00772FB4">
      <w:pPr>
        <w:spacing w:after="140" w:line="278" w:lineRule="auto"/>
        <w:rPr>
          <w:rFonts w:hint="eastAsia"/>
        </w:rPr>
      </w:pPr>
      <w:r>
        <w:rPr>
          <w:rFonts w:eastAsia="Noto Sans" w:cs="Noto Sans"/>
          <w:color w:val="24323A"/>
        </w:rPr>
        <w:t>One Application can have AVA fly down and paint over configured words. Another can point at the same word and scold the user. In both cases the source text remains canonical and untouched. Turning off the AAA reveals the original wording instantly.</w:t>
      </w:r>
    </w:p>
    <w:p w14:paraId="43AED6A1" w14:textId="77777777" w:rsidR="007D4762" w:rsidRDefault="00772FB4">
      <w:pPr>
        <w:pStyle w:val="Heading1"/>
      </w:pPr>
      <w:r>
        <w:t>X. Shared Workspaces and Social Projection</w:t>
      </w:r>
    </w:p>
    <w:p w14:paraId="256CC178" w14:textId="77777777" w:rsidR="007D4762" w:rsidRDefault="00772FB4">
      <w:pPr>
        <w:spacing w:after="140" w:line="278" w:lineRule="auto"/>
        <w:rPr>
          <w:rFonts w:hint="eastAsia"/>
        </w:rPr>
      </w:pPr>
      <w:r>
        <w:rPr>
          <w:rFonts w:eastAsia="Noto Sans" w:cs="Noto Sans"/>
          <w:color w:val="24323A"/>
        </w:rPr>
        <w:t>Non-destructive projection becomes especially powerful in collaborative environments. Several users can share the same canonical workspace while each sees a different local AAA layer. Targeted interactions can be sent to one collaborator, shared Applications can be visible to the whole workspace, and presentation layers can be scoped to an audience.</w:t>
      </w:r>
    </w:p>
    <w:p w14:paraId="5846F069" w14:textId="77777777" w:rsidR="007D4762" w:rsidRDefault="00772FB4">
      <w:pPr>
        <w:keepNext/>
        <w:spacing w:before="120" w:after="40"/>
        <w:jc w:val="center"/>
        <w:rPr>
          <w:rFonts w:hint="eastAsia"/>
        </w:rPr>
      </w:pPr>
      <w:r>
        <w:rPr>
          <w:noProof/>
        </w:rPr>
        <w:drawing>
          <wp:inline distT="0" distB="0" distL="0" distR="0" wp14:anchorId="153094A6" wp14:editId="03C3675F">
            <wp:extent cx="5989320" cy="35080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4_shared_workspace.png"/>
                    <pic:cNvPicPr/>
                  </pic:nvPicPr>
                  <pic:blipFill>
                    <a:blip r:embed="rId51"/>
                    <a:stretch>
                      <a:fillRect/>
                    </a:stretch>
                  </pic:blipFill>
                  <pic:spPr>
                    <a:xfrm>
                      <a:off x="0" y="0"/>
                      <a:ext cx="5989320" cy="3508030"/>
                    </a:xfrm>
                    <a:prstGeom prst="rect">
                      <a:avLst/>
                    </a:prstGeom>
                  </pic:spPr>
                </pic:pic>
              </a:graphicData>
            </a:graphic>
          </wp:inline>
        </w:drawing>
      </w:r>
    </w:p>
    <w:p w14:paraId="3481C17D" w14:textId="77777777" w:rsidR="007D4762" w:rsidRDefault="00772FB4">
      <w:pPr>
        <w:spacing w:before="80" w:after="120"/>
        <w:jc w:val="center"/>
        <w:rPr>
          <w:rFonts w:hint="eastAsia"/>
        </w:rPr>
      </w:pPr>
      <w:r>
        <w:rPr>
          <w:rFonts w:eastAsia="Noto Sans" w:cs="Noto Sans"/>
          <w:b/>
          <w:color w:val="5F6C73"/>
          <w:sz w:val="18"/>
        </w:rPr>
        <w:t>Figure 44. Multiple AAA perceptual layers over one shared canonical DARTBOARD.</w:t>
      </w:r>
    </w:p>
    <w:p w14:paraId="70E8ADFA" w14:textId="77777777" w:rsidR="007D4762" w:rsidRDefault="00772FB4">
      <w:pPr>
        <w:keepNext/>
        <w:spacing w:before="120" w:after="40"/>
        <w:jc w:val="center"/>
        <w:rPr>
          <w:rFonts w:hint="eastAsia"/>
        </w:rPr>
      </w:pPr>
      <w:r>
        <w:rPr>
          <w:noProof/>
        </w:rPr>
        <w:drawing>
          <wp:inline distT="0" distB="0" distL="0" distR="0" wp14:anchorId="7A614A6D" wp14:editId="01712A2B">
            <wp:extent cx="5989320" cy="265241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5_scope.png"/>
                    <pic:cNvPicPr/>
                  </pic:nvPicPr>
                  <pic:blipFill>
                    <a:blip r:embed="rId52"/>
                    <a:stretch>
                      <a:fillRect/>
                    </a:stretch>
                  </pic:blipFill>
                  <pic:spPr>
                    <a:xfrm>
                      <a:off x="0" y="0"/>
                      <a:ext cx="5989320" cy="2652413"/>
                    </a:xfrm>
                    <a:prstGeom prst="rect">
                      <a:avLst/>
                    </a:prstGeom>
                  </pic:spPr>
                </pic:pic>
              </a:graphicData>
            </a:graphic>
          </wp:inline>
        </w:drawing>
      </w:r>
    </w:p>
    <w:p w14:paraId="29673A4C" w14:textId="77777777" w:rsidR="007D4762" w:rsidRDefault="00772FB4">
      <w:pPr>
        <w:spacing w:before="80" w:after="120"/>
        <w:jc w:val="center"/>
        <w:rPr>
          <w:rFonts w:hint="eastAsia"/>
        </w:rPr>
      </w:pPr>
      <w:r>
        <w:rPr>
          <w:rFonts w:eastAsia="Noto Sans" w:cs="Noto Sans"/>
          <w:b/>
          <w:color w:val="5F6C73"/>
          <w:sz w:val="18"/>
        </w:rPr>
        <w:t>Figure 45. Expression scope: local, targeted, group, shared, or presentation.</w:t>
      </w:r>
    </w:p>
    <w:p w14:paraId="78342D6E" w14:textId="77777777" w:rsidR="007D4762" w:rsidRDefault="00772FB4">
      <w:pPr>
        <w:spacing w:after="140" w:line="278" w:lineRule="auto"/>
        <w:rPr>
          <w:rFonts w:hint="eastAsia"/>
        </w:rPr>
      </w:pPr>
      <w:r>
        <w:rPr>
          <w:rFonts w:eastAsia="Noto Sans" w:cs="Noto Sans"/>
          <w:color w:val="24323A"/>
        </w:rPr>
        <w:t>Scope belongs to expression delivery, not semantic truth. A targeted graffiti expression does not become shared document content merely because it is anchored to a shared paragraph.</w:t>
      </w:r>
    </w:p>
    <w:p w14:paraId="04BFBB2B" w14:textId="77777777" w:rsidR="007D4762" w:rsidRDefault="00772FB4">
      <w:pPr>
        <w:pStyle w:val="Heading2"/>
      </w:pPr>
      <w:r>
        <w:t>AVA-to-AVA interaction</w:t>
      </w:r>
    </w:p>
    <w:p w14:paraId="4A7C0ACE" w14:textId="77777777" w:rsidR="007D4762" w:rsidRDefault="00772FB4">
      <w:pPr>
        <w:keepNext/>
        <w:spacing w:before="120" w:after="40"/>
        <w:jc w:val="center"/>
        <w:rPr>
          <w:rFonts w:hint="eastAsia"/>
        </w:rPr>
      </w:pPr>
      <w:r>
        <w:rPr>
          <w:noProof/>
        </w:rPr>
        <w:drawing>
          <wp:inline distT="0" distB="0" distL="0" distR="0" wp14:anchorId="6D6B5CC1" wp14:editId="4AD24D9A">
            <wp:extent cx="5989320" cy="213904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6_ava_to_ava.png"/>
                    <pic:cNvPicPr/>
                  </pic:nvPicPr>
                  <pic:blipFill>
                    <a:blip r:embed="rId53"/>
                    <a:stretch>
                      <a:fillRect/>
                    </a:stretch>
                  </pic:blipFill>
                  <pic:spPr>
                    <a:xfrm>
                      <a:off x="0" y="0"/>
                      <a:ext cx="5989320" cy="2139043"/>
                    </a:xfrm>
                    <a:prstGeom prst="rect">
                      <a:avLst/>
                    </a:prstGeom>
                  </pic:spPr>
                </pic:pic>
              </a:graphicData>
            </a:graphic>
          </wp:inline>
        </w:drawing>
      </w:r>
    </w:p>
    <w:p w14:paraId="13B764CB" w14:textId="77777777" w:rsidR="007D4762" w:rsidRDefault="00772FB4">
      <w:pPr>
        <w:spacing w:before="80" w:after="120"/>
        <w:jc w:val="center"/>
        <w:rPr>
          <w:rFonts w:hint="eastAsia"/>
        </w:rPr>
      </w:pPr>
      <w:r>
        <w:rPr>
          <w:rFonts w:eastAsia="Noto Sans" w:cs="Noto Sans"/>
          <w:b/>
          <w:color w:val="5F6C73"/>
          <w:sz w:val="18"/>
        </w:rPr>
        <w:t>Figure 46. AVA itself can be an expressive target in a shared workspace.</w:t>
      </w:r>
    </w:p>
    <w:p w14:paraId="7DA27F0F" w14:textId="77777777" w:rsidR="007D4762" w:rsidRDefault="00772FB4">
      <w:pPr>
        <w:spacing w:after="140" w:line="278" w:lineRule="auto"/>
        <w:rPr>
          <w:rFonts w:hint="eastAsia"/>
        </w:rPr>
      </w:pPr>
      <w:r>
        <w:rPr>
          <w:rFonts w:eastAsia="Noto Sans" w:cs="Noto Sans"/>
          <w:color w:val="24323A"/>
        </w:rPr>
        <w:t>An AVA can fly over to another participant's AVA, point, react, carry a tiny message, or trigger another permitted social expression. These interactions can remain transient and user-governed.</w:t>
      </w:r>
    </w:p>
    <w:p w14:paraId="5DF14EF2" w14:textId="77777777" w:rsidR="007D4762" w:rsidRDefault="00772FB4">
      <w:pPr>
        <w:pStyle w:val="Heading2"/>
      </w:pPr>
      <w:r>
        <w:t>Permissions and focus</w:t>
      </w:r>
    </w:p>
    <w:p w14:paraId="0D6E745B" w14:textId="77777777" w:rsidR="007D4762" w:rsidRDefault="00772FB4">
      <w:pPr>
        <w:keepNext/>
        <w:spacing w:before="120" w:after="40"/>
        <w:jc w:val="center"/>
        <w:rPr>
          <w:rFonts w:hint="eastAsia"/>
        </w:rPr>
      </w:pPr>
      <w:r>
        <w:rPr>
          <w:noProof/>
        </w:rPr>
        <w:drawing>
          <wp:inline distT="0" distB="0" distL="0" distR="0" wp14:anchorId="00F7EB22" wp14:editId="42043731">
            <wp:extent cx="5989320" cy="265241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7_permissions.png"/>
                    <pic:cNvPicPr/>
                  </pic:nvPicPr>
                  <pic:blipFill>
                    <a:blip r:embed="rId54"/>
                    <a:stretch>
                      <a:fillRect/>
                    </a:stretch>
                  </pic:blipFill>
                  <pic:spPr>
                    <a:xfrm>
                      <a:off x="0" y="0"/>
                      <a:ext cx="5989320" cy="2652413"/>
                    </a:xfrm>
                    <a:prstGeom prst="rect">
                      <a:avLst/>
                    </a:prstGeom>
                  </pic:spPr>
                </pic:pic>
              </a:graphicData>
            </a:graphic>
          </wp:inline>
        </w:drawing>
      </w:r>
    </w:p>
    <w:p w14:paraId="617283C0" w14:textId="77777777" w:rsidR="007D4762" w:rsidRDefault="00772FB4">
      <w:pPr>
        <w:spacing w:before="80" w:after="120"/>
        <w:jc w:val="center"/>
        <w:rPr>
          <w:rFonts w:hint="eastAsia"/>
        </w:rPr>
      </w:pPr>
      <w:r>
        <w:rPr>
          <w:rFonts w:eastAsia="Noto Sans" w:cs="Noto Sans"/>
          <w:b/>
          <w:color w:val="5F6C73"/>
          <w:sz w:val="18"/>
        </w:rPr>
        <w:t>Figure 47. Example social projection permissions.</w:t>
      </w:r>
    </w:p>
    <w:p w14:paraId="01353B8A" w14:textId="77777777" w:rsidR="007D4762" w:rsidRDefault="00772FB4">
      <w:pPr>
        <w:spacing w:after="140" w:line="278" w:lineRule="auto"/>
        <w:rPr>
          <w:rFonts w:hint="eastAsia"/>
        </w:rPr>
      </w:pPr>
      <w:r>
        <w:rPr>
          <w:rFonts w:eastAsia="Noto Sans" w:cs="Noto Sans"/>
          <w:color w:val="24323A"/>
        </w:rPr>
        <w:t>Permission controls are important because the same architecture that enables delightful collaboration could otherwise become distracting. Users should be able to allow or block AVA visits, targeted sound, graffiti, persistent overlays, or social effects during focus states without disabling the underlying shared workspace.</w:t>
      </w:r>
    </w:p>
    <w:tbl>
      <w:tblPr>
        <w:tblW w:w="0" w:type="auto"/>
        <w:jc w:val="center"/>
        <w:tblLayout w:type="fixed"/>
        <w:tblLook w:val="04A0" w:firstRow="1" w:lastRow="0" w:firstColumn="1" w:lastColumn="0" w:noHBand="0" w:noVBand="1"/>
      </w:tblPr>
      <w:tblGrid>
        <w:gridCol w:w="9878"/>
      </w:tblGrid>
      <w:tr w:rsidR="007D4762" w14:paraId="2DBA3138"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7239C7FD" w14:textId="77777777" w:rsidR="007D4762" w:rsidRDefault="00772FB4">
            <w:pPr>
              <w:spacing w:after="0" w:line="283" w:lineRule="auto"/>
              <w:rPr>
                <w:rFonts w:hint="eastAsia"/>
              </w:rPr>
            </w:pPr>
            <w:r>
              <w:rPr>
                <w:rFonts w:eastAsia="Noto Sans" w:cs="Noto Sans"/>
                <w:b/>
                <w:color w:val="B4763B"/>
              </w:rPr>
              <w:t>AAA-L12 · USER-CONTROLLED PROJECTION</w:t>
            </w:r>
            <w:r>
              <w:br/>
            </w:r>
            <w:r>
              <w:rPr>
                <w:rFonts w:eastAsia="Noto Sans" w:cs="Noto Sans"/>
                <w:color w:val="24323A"/>
                <w:sz w:val="20"/>
              </w:rPr>
              <w:t>Users control which AAA Applications, Loadouts, transforms, social scopes, and perceptual interactions are active for their experience.</w:t>
            </w:r>
          </w:p>
        </w:tc>
      </w:tr>
    </w:tbl>
    <w:p w14:paraId="5AFEFD65" w14:textId="77777777" w:rsidR="007D4762" w:rsidRDefault="007D4762">
      <w:pPr>
        <w:spacing w:after="40"/>
        <w:rPr>
          <w:rFonts w:hint="eastAsia"/>
        </w:rPr>
      </w:pPr>
    </w:p>
    <w:p w14:paraId="034BF38C" w14:textId="77777777" w:rsidR="007D4762" w:rsidRDefault="00772FB4">
      <w:pPr>
        <w:keepNext/>
        <w:spacing w:before="120" w:after="40"/>
        <w:jc w:val="center"/>
        <w:rPr>
          <w:rFonts w:hint="eastAsia"/>
        </w:rPr>
      </w:pPr>
      <w:r>
        <w:rPr>
          <w:noProof/>
        </w:rPr>
        <w:drawing>
          <wp:inline distT="0" distB="0" distL="0" distR="0" wp14:anchorId="36C6235A" wp14:editId="6A46FCC0">
            <wp:extent cx="5989320" cy="265241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8_toggle_off.png"/>
                    <pic:cNvPicPr/>
                  </pic:nvPicPr>
                  <pic:blipFill>
                    <a:blip r:embed="rId55"/>
                    <a:stretch>
                      <a:fillRect/>
                    </a:stretch>
                  </pic:blipFill>
                  <pic:spPr>
                    <a:xfrm>
                      <a:off x="0" y="0"/>
                      <a:ext cx="5989320" cy="2652413"/>
                    </a:xfrm>
                    <a:prstGeom prst="rect">
                      <a:avLst/>
                    </a:prstGeom>
                  </pic:spPr>
                </pic:pic>
              </a:graphicData>
            </a:graphic>
          </wp:inline>
        </w:drawing>
      </w:r>
    </w:p>
    <w:p w14:paraId="13CAEBE6" w14:textId="77777777" w:rsidR="007D4762" w:rsidRDefault="00772FB4">
      <w:pPr>
        <w:spacing w:before="80" w:after="120"/>
        <w:jc w:val="center"/>
        <w:rPr>
          <w:rFonts w:hint="eastAsia"/>
        </w:rPr>
      </w:pPr>
      <w:r>
        <w:rPr>
          <w:rFonts w:eastAsia="Noto Sans" w:cs="Noto Sans"/>
          <w:b/>
          <w:color w:val="5F6C73"/>
          <w:sz w:val="18"/>
        </w:rPr>
        <w:t>Figure 48. The entire expressive layer can be toggled away while the workspace remains intact.</w:t>
      </w:r>
    </w:p>
    <w:p w14:paraId="6AC88636" w14:textId="77777777" w:rsidR="007D4762" w:rsidRDefault="00772FB4">
      <w:pPr>
        <w:pStyle w:val="Heading1"/>
      </w:pPr>
      <w:r>
        <w:t>XI. Reuse, Scaling, and Creative Multiplication</w:t>
      </w:r>
    </w:p>
    <w:p w14:paraId="29D1A42E" w14:textId="77777777" w:rsidR="007D4762" w:rsidRDefault="00772FB4">
      <w:pPr>
        <w:spacing w:after="140" w:line="278" w:lineRule="auto"/>
        <w:rPr>
          <w:rFonts w:hint="eastAsia"/>
        </w:rPr>
      </w:pPr>
      <w:r>
        <w:rPr>
          <w:rFonts w:eastAsia="Noto Sans" w:cs="Noto Sans"/>
          <w:color w:val="24323A"/>
        </w:rPr>
        <w:t>AAA becomes cheaper to extend as the reusable libraries grow. A Capability such as “Spawn Visual Asset” can support several Applications. A Transform such as Pitch → Color can be reused wherever its semantic and target contracts are compatible. Applications therefore become compositions of existing graph intelligence rather than isolated custom programs.</w:t>
      </w:r>
    </w:p>
    <w:p w14:paraId="6A943507" w14:textId="77777777" w:rsidR="007D4762" w:rsidRDefault="00772FB4">
      <w:pPr>
        <w:keepNext/>
        <w:spacing w:before="120" w:after="40"/>
        <w:jc w:val="center"/>
        <w:rPr>
          <w:rFonts w:hint="eastAsia"/>
        </w:rPr>
      </w:pPr>
      <w:r>
        <w:rPr>
          <w:noProof/>
        </w:rPr>
        <w:drawing>
          <wp:inline distT="0" distB="0" distL="0" distR="0" wp14:anchorId="405B2F69" wp14:editId="0536AAF0">
            <wp:extent cx="5989320" cy="2780756"/>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9_capability_reuse.png"/>
                    <pic:cNvPicPr/>
                  </pic:nvPicPr>
                  <pic:blipFill>
                    <a:blip r:embed="rId56"/>
                    <a:stretch>
                      <a:fillRect/>
                    </a:stretch>
                  </pic:blipFill>
                  <pic:spPr>
                    <a:xfrm>
                      <a:off x="0" y="0"/>
                      <a:ext cx="5989320" cy="2780756"/>
                    </a:xfrm>
                    <a:prstGeom prst="rect">
                      <a:avLst/>
                    </a:prstGeom>
                  </pic:spPr>
                </pic:pic>
              </a:graphicData>
            </a:graphic>
          </wp:inline>
        </w:drawing>
      </w:r>
    </w:p>
    <w:p w14:paraId="52C32FD9" w14:textId="77777777" w:rsidR="007D4762" w:rsidRDefault="00772FB4">
      <w:pPr>
        <w:spacing w:before="80" w:after="120"/>
        <w:jc w:val="center"/>
        <w:rPr>
          <w:rFonts w:hint="eastAsia"/>
        </w:rPr>
      </w:pPr>
      <w:r>
        <w:rPr>
          <w:rFonts w:eastAsia="Noto Sans" w:cs="Noto Sans"/>
          <w:b/>
          <w:color w:val="5F6C73"/>
          <w:sz w:val="18"/>
        </w:rPr>
        <w:t>Figure 49. One reusable Capability can support several Applications.</w:t>
      </w:r>
    </w:p>
    <w:p w14:paraId="250F7DA9" w14:textId="77777777" w:rsidR="007D4762" w:rsidRDefault="00772FB4">
      <w:pPr>
        <w:keepNext/>
        <w:spacing w:before="120" w:after="40"/>
        <w:jc w:val="center"/>
        <w:rPr>
          <w:rFonts w:hint="eastAsia"/>
        </w:rPr>
      </w:pPr>
      <w:r>
        <w:rPr>
          <w:noProof/>
        </w:rPr>
        <w:drawing>
          <wp:inline distT="0" distB="0" distL="0" distR="0" wp14:anchorId="1D4859DC" wp14:editId="7BAC07E3">
            <wp:extent cx="5989320" cy="278075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0_transform_library.png"/>
                    <pic:cNvPicPr/>
                  </pic:nvPicPr>
                  <pic:blipFill>
                    <a:blip r:embed="rId57"/>
                    <a:stretch>
                      <a:fillRect/>
                    </a:stretch>
                  </pic:blipFill>
                  <pic:spPr>
                    <a:xfrm>
                      <a:off x="0" y="0"/>
                      <a:ext cx="5989320" cy="2780756"/>
                    </a:xfrm>
                    <a:prstGeom prst="rect">
                      <a:avLst/>
                    </a:prstGeom>
                  </pic:spPr>
                </pic:pic>
              </a:graphicData>
            </a:graphic>
          </wp:inline>
        </w:drawing>
      </w:r>
    </w:p>
    <w:p w14:paraId="5E549076" w14:textId="77777777" w:rsidR="007D4762" w:rsidRDefault="00772FB4">
      <w:pPr>
        <w:spacing w:before="80" w:after="120"/>
        <w:jc w:val="center"/>
        <w:rPr>
          <w:rFonts w:hint="eastAsia"/>
        </w:rPr>
      </w:pPr>
      <w:r>
        <w:rPr>
          <w:rFonts w:eastAsia="Noto Sans" w:cs="Noto Sans"/>
          <w:b/>
          <w:color w:val="5F6C73"/>
          <w:sz w:val="18"/>
        </w:rPr>
        <w:t>Figure 50. A reusable Transform library separates mapping contracts from individual Applications.</w:t>
      </w:r>
    </w:p>
    <w:tbl>
      <w:tblPr>
        <w:tblW w:w="0" w:type="auto"/>
        <w:jc w:val="center"/>
        <w:tblLayout w:type="fixed"/>
        <w:tblLook w:val="04A0" w:firstRow="1" w:lastRow="0" w:firstColumn="1" w:lastColumn="0" w:noHBand="0" w:noVBand="1"/>
      </w:tblPr>
      <w:tblGrid>
        <w:gridCol w:w="9878"/>
      </w:tblGrid>
      <w:tr w:rsidR="007D4762" w14:paraId="70BEF466"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6D36F76D" w14:textId="77777777" w:rsidR="007D4762" w:rsidRDefault="00772FB4">
            <w:pPr>
              <w:spacing w:after="0" w:line="283" w:lineRule="auto"/>
              <w:rPr>
                <w:rFonts w:hint="eastAsia"/>
              </w:rPr>
            </w:pPr>
            <w:r>
              <w:rPr>
                <w:rFonts w:eastAsia="Noto Sans" w:cs="Noto Sans"/>
                <w:b/>
                <w:color w:val="B4763B"/>
              </w:rPr>
              <w:t>AAA-L11 · CAPABILITY AND TRANSFORM REUSE</w:t>
            </w:r>
            <w:r>
              <w:br/>
            </w:r>
            <w:r>
              <w:rPr>
                <w:rFonts w:eastAsia="Noto Sans" w:cs="Noto Sans"/>
                <w:color w:val="24323A"/>
                <w:sz w:val="20"/>
              </w:rPr>
              <w:t>Reusable Capabilities and Transforms may support multiple Applications where their declared contracts are compatible. Reuse does not permit silent semantic remapping.</w:t>
            </w:r>
          </w:p>
        </w:tc>
      </w:tr>
    </w:tbl>
    <w:p w14:paraId="68B2EB28" w14:textId="77777777" w:rsidR="007D4762" w:rsidRDefault="007D4762">
      <w:pPr>
        <w:spacing w:after="40"/>
        <w:rPr>
          <w:rFonts w:hint="eastAsia"/>
        </w:rPr>
      </w:pPr>
    </w:p>
    <w:p w14:paraId="32F45258" w14:textId="77777777" w:rsidR="007D4762" w:rsidRDefault="00772FB4">
      <w:pPr>
        <w:pStyle w:val="Heading2"/>
      </w:pPr>
      <w:r>
        <w:t>Application composition</w:t>
      </w:r>
    </w:p>
    <w:p w14:paraId="6207DAA0" w14:textId="77777777" w:rsidR="007D4762" w:rsidRDefault="00772FB4">
      <w:pPr>
        <w:keepNext/>
        <w:spacing w:before="120" w:after="40"/>
        <w:jc w:val="center"/>
        <w:rPr>
          <w:rFonts w:hint="eastAsia"/>
        </w:rPr>
      </w:pPr>
      <w:r>
        <w:rPr>
          <w:noProof/>
        </w:rPr>
        <w:drawing>
          <wp:inline distT="0" distB="0" distL="0" distR="0" wp14:anchorId="11B78DCC" wp14:editId="49C78807">
            <wp:extent cx="5989320" cy="2780756"/>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1_application_composition.png"/>
                    <pic:cNvPicPr/>
                  </pic:nvPicPr>
                  <pic:blipFill>
                    <a:blip r:embed="rId58"/>
                    <a:stretch>
                      <a:fillRect/>
                    </a:stretch>
                  </pic:blipFill>
                  <pic:spPr>
                    <a:xfrm>
                      <a:off x="0" y="0"/>
                      <a:ext cx="5989320" cy="2780756"/>
                    </a:xfrm>
                    <a:prstGeom prst="rect">
                      <a:avLst/>
                    </a:prstGeom>
                  </pic:spPr>
                </pic:pic>
              </a:graphicData>
            </a:graphic>
          </wp:inline>
        </w:drawing>
      </w:r>
    </w:p>
    <w:p w14:paraId="625B121A" w14:textId="77777777" w:rsidR="007D4762" w:rsidRDefault="00772FB4">
      <w:pPr>
        <w:spacing w:before="80" w:after="120"/>
        <w:jc w:val="center"/>
        <w:rPr>
          <w:rFonts w:hint="eastAsia"/>
        </w:rPr>
      </w:pPr>
      <w:r>
        <w:rPr>
          <w:rFonts w:eastAsia="Noto Sans" w:cs="Noto Sans"/>
          <w:b/>
          <w:color w:val="5F6C73"/>
          <w:sz w:val="18"/>
        </w:rPr>
        <w:t>Figure 51. An Application is a composition of reusable capabilities rather than a monolithic behavior.</w:t>
      </w:r>
    </w:p>
    <w:p w14:paraId="5AD25173" w14:textId="77777777" w:rsidR="007D4762" w:rsidRDefault="00772FB4">
      <w:pPr>
        <w:spacing w:after="140" w:line="278" w:lineRule="auto"/>
        <w:rPr>
          <w:rFonts w:hint="eastAsia"/>
        </w:rPr>
      </w:pPr>
      <w:r>
        <w:rPr>
          <w:rFonts w:eastAsia="Noto Sans" w:cs="Noto Sans"/>
          <w:color w:val="24323A"/>
        </w:rPr>
        <w:t>Semantic Zoom, for example, can reuse target resolution, context loading, and surface presentation capabilities. The record-driven model lets new Applications emerge by binding known pieces rather than rebuilding the same logic repeatedly.</w:t>
      </w:r>
    </w:p>
    <w:p w14:paraId="518B9918" w14:textId="77777777" w:rsidR="007D4762" w:rsidRDefault="00772FB4">
      <w:pPr>
        <w:pStyle w:val="Heading2"/>
      </w:pPr>
      <w:r>
        <w:t>Loadouts</w:t>
      </w:r>
    </w:p>
    <w:p w14:paraId="737D1245" w14:textId="77777777" w:rsidR="007D4762" w:rsidRDefault="00772FB4">
      <w:pPr>
        <w:keepNext/>
        <w:spacing w:before="120" w:after="40"/>
        <w:jc w:val="center"/>
        <w:rPr>
          <w:rFonts w:hint="eastAsia"/>
        </w:rPr>
      </w:pPr>
      <w:r>
        <w:rPr>
          <w:noProof/>
        </w:rPr>
        <w:drawing>
          <wp:inline distT="0" distB="0" distL="0" distR="0" wp14:anchorId="06BA41DF" wp14:editId="327DCCDF">
            <wp:extent cx="5989320" cy="325134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2_loadouts.png"/>
                    <pic:cNvPicPr/>
                  </pic:nvPicPr>
                  <pic:blipFill>
                    <a:blip r:embed="rId59"/>
                    <a:stretch>
                      <a:fillRect/>
                    </a:stretch>
                  </pic:blipFill>
                  <pic:spPr>
                    <a:xfrm>
                      <a:off x="0" y="0"/>
                      <a:ext cx="5989320" cy="3251345"/>
                    </a:xfrm>
                    <a:prstGeom prst="rect">
                      <a:avLst/>
                    </a:prstGeom>
                  </pic:spPr>
                </pic:pic>
              </a:graphicData>
            </a:graphic>
          </wp:inline>
        </w:drawing>
      </w:r>
    </w:p>
    <w:p w14:paraId="2032D821" w14:textId="77777777" w:rsidR="007D4762" w:rsidRDefault="00772FB4">
      <w:pPr>
        <w:spacing w:before="80" w:after="120"/>
        <w:jc w:val="center"/>
        <w:rPr>
          <w:rFonts w:hint="eastAsia"/>
        </w:rPr>
      </w:pPr>
      <w:r>
        <w:rPr>
          <w:rFonts w:eastAsia="Noto Sans" w:cs="Noto Sans"/>
          <w:b/>
          <w:color w:val="5F6C73"/>
          <w:sz w:val="18"/>
        </w:rPr>
        <w:t>Figure 52. Loadouts group Applications for different working modes without changing system meaning.</w:t>
      </w:r>
    </w:p>
    <w:p w14:paraId="599A3597" w14:textId="77777777" w:rsidR="007D4762" w:rsidRDefault="00772FB4">
      <w:pPr>
        <w:spacing w:after="140" w:line="278" w:lineRule="auto"/>
        <w:rPr>
          <w:rFonts w:hint="eastAsia"/>
        </w:rPr>
      </w:pPr>
      <w:r>
        <w:rPr>
          <w:rFonts w:eastAsia="Noto Sans" w:cs="Noto Sans"/>
          <w:color w:val="24323A"/>
        </w:rPr>
        <w:t>A Study Loadout can emphasize Semantic Zoom, Chat, Trivia, and Guides. A Build Loadout can prioritize Review, Inspect, Compare, and Chat. An Art Loadout can emphasize Music and ambient effects. A deliberately chaotic social Loadout can contain Sports Drop, Friend Drop, Graffiti, and Language Scold. These are user-facing selections, not semantic partitions of the underlying graph.</w:t>
      </w:r>
    </w:p>
    <w:p w14:paraId="0C06C643" w14:textId="77777777" w:rsidR="007D4762" w:rsidRDefault="00772FB4">
      <w:pPr>
        <w:pStyle w:val="Heading2"/>
      </w:pPr>
      <w:r>
        <w:t>One graph, many experiences</w:t>
      </w:r>
    </w:p>
    <w:p w14:paraId="7AF0BB19" w14:textId="77777777" w:rsidR="007D4762" w:rsidRDefault="00772FB4">
      <w:pPr>
        <w:keepNext/>
        <w:spacing w:before="120" w:after="40"/>
        <w:jc w:val="center"/>
        <w:rPr>
          <w:rFonts w:hint="eastAsia"/>
        </w:rPr>
      </w:pPr>
      <w:r>
        <w:rPr>
          <w:noProof/>
        </w:rPr>
        <w:drawing>
          <wp:inline distT="0" distB="0" distL="0" distR="0" wp14:anchorId="1F295E15" wp14:editId="110B01A8">
            <wp:extent cx="5989320" cy="2866317"/>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3_one_graph_many.png"/>
                    <pic:cNvPicPr/>
                  </pic:nvPicPr>
                  <pic:blipFill>
                    <a:blip r:embed="rId60"/>
                    <a:stretch>
                      <a:fillRect/>
                    </a:stretch>
                  </pic:blipFill>
                  <pic:spPr>
                    <a:xfrm>
                      <a:off x="0" y="0"/>
                      <a:ext cx="5989320" cy="2866317"/>
                    </a:xfrm>
                    <a:prstGeom prst="rect">
                      <a:avLst/>
                    </a:prstGeom>
                  </pic:spPr>
                </pic:pic>
              </a:graphicData>
            </a:graphic>
          </wp:inline>
        </w:drawing>
      </w:r>
    </w:p>
    <w:p w14:paraId="0046A838" w14:textId="77777777" w:rsidR="007D4762" w:rsidRDefault="00772FB4">
      <w:pPr>
        <w:spacing w:before="80" w:after="120"/>
        <w:jc w:val="center"/>
        <w:rPr>
          <w:rFonts w:hint="eastAsia"/>
        </w:rPr>
      </w:pPr>
      <w:r>
        <w:rPr>
          <w:rFonts w:eastAsia="Noto Sans" w:cs="Noto Sans"/>
          <w:b/>
          <w:color w:val="5F6C73"/>
          <w:sz w:val="18"/>
        </w:rPr>
        <w:t>Figure 53. One NodeKey can support many unrelated AAA experiences because each Application selects a different association.</w:t>
      </w:r>
    </w:p>
    <w:p w14:paraId="31B022AB" w14:textId="77777777" w:rsidR="007D4762" w:rsidRDefault="00772FB4">
      <w:pPr>
        <w:spacing w:after="140" w:line="278" w:lineRule="auto"/>
        <w:rPr>
          <w:rFonts w:hint="eastAsia"/>
        </w:rPr>
      </w:pPr>
      <w:r>
        <w:rPr>
          <w:rFonts w:eastAsia="Noto Sans" w:cs="Noto Sans"/>
          <w:color w:val="24323A"/>
        </w:rPr>
        <w:t>A single food NodeKey can support a definition, nutrition visualization, memory surfacing, trivia, comparison, or social joke without duplicating the source object. As the graph becomes richer, the number of meaningful associative projections grows combinatorially.</w:t>
      </w:r>
    </w:p>
    <w:p w14:paraId="4D2EC80C" w14:textId="77777777" w:rsidR="007D4762" w:rsidRDefault="00772FB4">
      <w:pPr>
        <w:keepNext/>
        <w:spacing w:before="120" w:after="40"/>
        <w:jc w:val="center"/>
        <w:rPr>
          <w:rFonts w:hint="eastAsia"/>
        </w:rPr>
      </w:pPr>
      <w:r>
        <w:rPr>
          <w:noProof/>
        </w:rPr>
        <w:drawing>
          <wp:inline distT="0" distB="0" distL="0" distR="0" wp14:anchorId="6E4B3C15" wp14:editId="574CD85B">
            <wp:extent cx="5989320" cy="2866317"/>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4_rigor_freedom.png"/>
                    <pic:cNvPicPr/>
                  </pic:nvPicPr>
                  <pic:blipFill>
                    <a:blip r:embed="rId61"/>
                    <a:stretch>
                      <a:fillRect/>
                    </a:stretch>
                  </pic:blipFill>
                  <pic:spPr>
                    <a:xfrm>
                      <a:off x="0" y="0"/>
                      <a:ext cx="5989320" cy="2866317"/>
                    </a:xfrm>
                    <a:prstGeom prst="rect">
                      <a:avLst/>
                    </a:prstGeom>
                  </pic:spPr>
                </pic:pic>
              </a:graphicData>
            </a:graphic>
          </wp:inline>
        </w:drawing>
      </w:r>
    </w:p>
    <w:p w14:paraId="16BD58FE" w14:textId="77777777" w:rsidR="007D4762" w:rsidRDefault="00772FB4">
      <w:pPr>
        <w:spacing w:before="80" w:after="120"/>
        <w:jc w:val="center"/>
        <w:rPr>
          <w:rFonts w:hint="eastAsia"/>
        </w:rPr>
      </w:pPr>
      <w:r>
        <w:rPr>
          <w:rFonts w:eastAsia="Noto Sans" w:cs="Noto Sans"/>
          <w:b/>
          <w:color w:val="5F6C73"/>
          <w:sz w:val="18"/>
        </w:rPr>
        <w:t>Figure 54. Canonical rigor and expressive freedom are intentionally decoupled.</w:t>
      </w:r>
    </w:p>
    <w:p w14:paraId="790BB993" w14:textId="77777777" w:rsidR="007D4762" w:rsidRDefault="00772FB4">
      <w:pPr>
        <w:spacing w:after="140" w:line="278" w:lineRule="auto"/>
        <w:rPr>
          <w:rFonts w:hint="eastAsia"/>
        </w:rPr>
      </w:pPr>
      <w:r>
        <w:rPr>
          <w:rFonts w:eastAsia="Noto Sans" w:cs="Noto Sans"/>
          <w:color w:val="24323A"/>
        </w:rPr>
        <w:t>This separation is the philosophical center of AAA. The Registry can be serious, governed, and exact while the visible experience can be educational, analytical, beautiful, strange, or completely unhinged. The more disciplined the source architecture is, the safer it becomes to be playful at the projection layer.</w:t>
      </w:r>
    </w:p>
    <w:p w14:paraId="51DB2A2C" w14:textId="77777777" w:rsidR="007D4762" w:rsidRDefault="00772FB4">
      <w:pPr>
        <w:keepNext/>
        <w:spacing w:before="120" w:after="40"/>
        <w:jc w:val="center"/>
        <w:rPr>
          <w:rFonts w:hint="eastAsia"/>
        </w:rPr>
      </w:pPr>
      <w:r>
        <w:rPr>
          <w:noProof/>
        </w:rPr>
        <w:drawing>
          <wp:inline distT="0" distB="0" distL="0" distR="0" wp14:anchorId="3A14F619" wp14:editId="5131EB28">
            <wp:extent cx="5989320" cy="2652413"/>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5_not_ai.png"/>
                    <pic:cNvPicPr/>
                  </pic:nvPicPr>
                  <pic:blipFill>
                    <a:blip r:embed="rId62"/>
                    <a:stretch>
                      <a:fillRect/>
                    </a:stretch>
                  </pic:blipFill>
                  <pic:spPr>
                    <a:xfrm>
                      <a:off x="0" y="0"/>
                      <a:ext cx="5989320" cy="2652413"/>
                    </a:xfrm>
                    <a:prstGeom prst="rect">
                      <a:avLst/>
                    </a:prstGeom>
                  </pic:spPr>
                </pic:pic>
              </a:graphicData>
            </a:graphic>
          </wp:inline>
        </w:drawing>
      </w:r>
    </w:p>
    <w:p w14:paraId="5FEDB7DE" w14:textId="77777777" w:rsidR="007D4762" w:rsidRDefault="00772FB4">
      <w:pPr>
        <w:spacing w:before="80" w:after="120"/>
        <w:jc w:val="center"/>
        <w:rPr>
          <w:rFonts w:hint="eastAsia"/>
        </w:rPr>
      </w:pPr>
      <w:r>
        <w:rPr>
          <w:rFonts w:eastAsia="Noto Sans" w:cs="Noto Sans"/>
          <w:b/>
          <w:color w:val="5F6C73"/>
          <w:sz w:val="18"/>
        </w:rPr>
        <w:t>Figure 55. AAA is not explained as “the AI got clever”; it is registered state routed through inspectable associations and transforms.</w:t>
      </w:r>
    </w:p>
    <w:p w14:paraId="3DB3B057" w14:textId="77777777" w:rsidR="007D4762" w:rsidRDefault="00772FB4">
      <w:pPr>
        <w:keepNext/>
        <w:spacing w:before="120" w:after="40"/>
        <w:jc w:val="center"/>
        <w:rPr>
          <w:rFonts w:hint="eastAsia"/>
        </w:rPr>
      </w:pPr>
      <w:r>
        <w:rPr>
          <w:noProof/>
        </w:rPr>
        <w:drawing>
          <wp:inline distT="0" distB="0" distL="0" distR="0" wp14:anchorId="031741B7" wp14:editId="2E40B757">
            <wp:extent cx="5989320" cy="2780756"/>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6_multiplier.png"/>
                    <pic:cNvPicPr/>
                  </pic:nvPicPr>
                  <pic:blipFill>
                    <a:blip r:embed="rId63"/>
                    <a:stretch>
                      <a:fillRect/>
                    </a:stretch>
                  </pic:blipFill>
                  <pic:spPr>
                    <a:xfrm>
                      <a:off x="0" y="0"/>
                      <a:ext cx="5989320" cy="2780756"/>
                    </a:xfrm>
                    <a:prstGeom prst="rect">
                      <a:avLst/>
                    </a:prstGeom>
                  </pic:spPr>
                </pic:pic>
              </a:graphicData>
            </a:graphic>
          </wp:inline>
        </w:drawing>
      </w:r>
    </w:p>
    <w:p w14:paraId="3180DAA4" w14:textId="77777777" w:rsidR="007D4762" w:rsidRDefault="00772FB4">
      <w:pPr>
        <w:spacing w:before="80" w:after="120"/>
        <w:jc w:val="center"/>
        <w:rPr>
          <w:rFonts w:hint="eastAsia"/>
        </w:rPr>
      </w:pPr>
      <w:r>
        <w:rPr>
          <w:rFonts w:eastAsia="Noto Sans" w:cs="Noto Sans"/>
          <w:b/>
          <w:color w:val="5F6C73"/>
          <w:sz w:val="18"/>
        </w:rPr>
        <w:t>Figure 56. The AAA creative multiplier: richer graph state creates more potential associations and more possible experiences.</w:t>
      </w:r>
    </w:p>
    <w:p w14:paraId="375081AC" w14:textId="77777777" w:rsidR="007D4762" w:rsidRDefault="00772FB4">
      <w:pPr>
        <w:pStyle w:val="Heading1"/>
      </w:pPr>
      <w:r>
        <w:t>XII. Implementation Reference</w:t>
      </w:r>
    </w:p>
    <w:p w14:paraId="268B70E3" w14:textId="77777777" w:rsidR="007D4762" w:rsidRDefault="00772FB4">
      <w:pPr>
        <w:spacing w:after="140" w:line="278" w:lineRule="auto"/>
        <w:rPr>
          <w:rFonts w:hint="eastAsia"/>
        </w:rPr>
      </w:pPr>
      <w:r>
        <w:rPr>
          <w:rFonts w:eastAsia="Noto Sans" w:cs="Noto Sans"/>
          <w:color w:val="24323A"/>
        </w:rPr>
        <w:t>A minimal implementation can begin with durable Tables for Applications, Capabilities, Loadouts, Triggers, Associations, Transform records, Transform Bindings, Surface Bindings, and Permissions. Runtime Packets and Expressions can remain in memory unless a workflow explicitly needs replay or audit persistence.</w:t>
      </w:r>
    </w:p>
    <w:p w14:paraId="4E76804B" w14:textId="77777777" w:rsidR="007D4762" w:rsidRDefault="00772FB4">
      <w:pPr>
        <w:spacing w:after="140" w:line="278" w:lineRule="auto"/>
        <w:rPr>
          <w:rFonts w:hint="eastAsia"/>
        </w:rPr>
      </w:pPr>
      <w:r>
        <w:rPr>
          <w:rFonts w:eastAsia="Noto Sans" w:cs="Noto Sans"/>
          <w:color w:val="24323A"/>
        </w:rPr>
        <w:t>At invocation time, the runtime resolves the selected Application and Capability, obtains the relevant governed scalar BitGroup value or values, sends the Packet (▪</w:t>
      </w:r>
      <w:r>
        <w:rPr>
          <w:rFonts w:eastAsia="Noto Sans" w:cs="Noto Sans"/>
          <w:color w:val="24323A"/>
        </w:rPr>
        <w:t>︎</w:t>
      </w:r>
      <w:r>
        <w:rPr>
          <w:rFonts w:eastAsia="Noto Sans" w:cs="Noto Sans"/>
          <w:color w:val="24323A"/>
        </w:rPr>
        <w:t>-&gt;), applies the registered Transform (x▪</w:t>
      </w:r>
      <w:r>
        <w:rPr>
          <w:rFonts w:eastAsia="Noto Sans" w:cs="Noto Sans"/>
          <w:color w:val="24323A"/>
        </w:rPr>
        <w:t>︎</w:t>
      </w:r>
      <w:r>
        <w:rPr>
          <w:rFonts w:eastAsia="Noto Sans" w:cs="Noto Sans"/>
          <w:color w:val="24323A"/>
        </w:rPr>
        <w:t>x), resolves one or more output values, binds those values to EFFECTS-supported modalities, and renders the resulting Expression or Expression Bundle through AVA or DARTBOARD. If an interaction requests canonical change, the request leaves AAA and enters the existing governed mutation pathway.</w:t>
      </w:r>
    </w:p>
    <w:p w14:paraId="33249031" w14:textId="77777777" w:rsidR="007D4762" w:rsidRDefault="00772FB4">
      <w:pPr>
        <w:keepNext/>
        <w:spacing w:before="120" w:after="40"/>
        <w:jc w:val="center"/>
        <w:rPr>
          <w:rFonts w:hint="eastAsia"/>
        </w:rPr>
      </w:pPr>
      <w:r>
        <w:rPr>
          <w:noProof/>
        </w:rPr>
        <w:drawing>
          <wp:inline distT="0" distB="0" distL="0" distR="0" wp14:anchorId="03C63E62" wp14:editId="6753DB70">
            <wp:extent cx="6080760" cy="4180522"/>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7_full_architecture.png"/>
                    <pic:cNvPicPr/>
                  </pic:nvPicPr>
                  <pic:blipFill>
                    <a:blip r:embed="rId64"/>
                    <a:stretch>
                      <a:fillRect/>
                    </a:stretch>
                  </pic:blipFill>
                  <pic:spPr>
                    <a:xfrm>
                      <a:off x="0" y="0"/>
                      <a:ext cx="6080760" cy="4180522"/>
                    </a:xfrm>
                    <a:prstGeom prst="rect">
                      <a:avLst/>
                    </a:prstGeom>
                  </pic:spPr>
                </pic:pic>
              </a:graphicData>
            </a:graphic>
          </wp:inline>
        </w:drawing>
      </w:r>
    </w:p>
    <w:p w14:paraId="1CBC8491" w14:textId="77777777" w:rsidR="007D4762" w:rsidRDefault="00772FB4">
      <w:pPr>
        <w:spacing w:before="80" w:after="120"/>
        <w:jc w:val="center"/>
        <w:rPr>
          <w:rFonts w:hint="eastAsia"/>
        </w:rPr>
      </w:pPr>
      <w:r>
        <w:rPr>
          <w:rFonts w:eastAsia="Noto Sans" w:cs="Noto Sans"/>
          <w:b/>
          <w:color w:val="5F6C73"/>
          <w:sz w:val="18"/>
        </w:rPr>
        <w:t>Figure 57. Full AAA architecture: from trigger and application selection through Packet, Transform, Expression Bundle, DARTBOARD, and AVA.</w:t>
      </w:r>
    </w:p>
    <w:p w14:paraId="07365D36" w14:textId="77777777" w:rsidR="007D4762" w:rsidRDefault="00772FB4">
      <w:pPr>
        <w:pStyle w:val="Heading2"/>
      </w:pPr>
      <w:r>
        <w:t>Design Laws</w:t>
      </w:r>
    </w:p>
    <w:tbl>
      <w:tblPr>
        <w:tblW w:w="0" w:type="auto"/>
        <w:jc w:val="center"/>
        <w:tblLayout w:type="fixed"/>
        <w:tblLook w:val="04A0" w:firstRow="1" w:lastRow="0" w:firstColumn="1" w:lastColumn="0" w:noHBand="0" w:noVBand="1"/>
      </w:tblPr>
      <w:tblGrid>
        <w:gridCol w:w="3293"/>
        <w:gridCol w:w="3293"/>
        <w:gridCol w:w="5328"/>
      </w:tblGrid>
      <w:tr w:rsidR="007D4762" w14:paraId="30209B2F" w14:textId="77777777">
        <w:trPr>
          <w:tblHeader/>
          <w:jc w:val="center"/>
        </w:trPr>
        <w:tc>
          <w:tcPr>
            <w:tcW w:w="3293"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4BA28C60" w14:textId="77777777" w:rsidR="007D4762" w:rsidRDefault="00772FB4">
            <w:pPr>
              <w:spacing w:after="0" w:line="252" w:lineRule="auto"/>
              <w:jc w:val="center"/>
              <w:rPr>
                <w:rFonts w:hint="eastAsia"/>
              </w:rPr>
            </w:pPr>
            <w:r>
              <w:rPr>
                <w:rFonts w:eastAsia="Noto Sans" w:cs="Noto Sans"/>
                <w:b/>
                <w:color w:val="FFFFFF"/>
                <w:sz w:val="18"/>
              </w:rPr>
              <w:t>Law</w:t>
            </w:r>
          </w:p>
        </w:tc>
        <w:tc>
          <w:tcPr>
            <w:tcW w:w="3293"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35F01BB6" w14:textId="77777777" w:rsidR="007D4762" w:rsidRDefault="00772FB4">
            <w:pPr>
              <w:spacing w:after="0" w:line="252" w:lineRule="auto"/>
              <w:jc w:val="center"/>
              <w:rPr>
                <w:rFonts w:hint="eastAsia"/>
              </w:rPr>
            </w:pPr>
            <w:r>
              <w:rPr>
                <w:rFonts w:eastAsia="Noto Sans" w:cs="Noto Sans"/>
                <w:b/>
                <w:color w:val="FFFFFF"/>
                <w:sz w:val="18"/>
              </w:rPr>
              <w:t>Name</w:t>
            </w:r>
          </w:p>
        </w:tc>
        <w:tc>
          <w:tcPr>
            <w:tcW w:w="3293"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5763F0FA" w14:textId="77777777" w:rsidR="007D4762" w:rsidRDefault="00772FB4">
            <w:pPr>
              <w:spacing w:after="0" w:line="252" w:lineRule="auto"/>
              <w:jc w:val="center"/>
              <w:rPr>
                <w:rFonts w:hint="eastAsia"/>
              </w:rPr>
            </w:pPr>
            <w:r>
              <w:rPr>
                <w:rFonts w:eastAsia="Noto Sans" w:cs="Noto Sans"/>
                <w:b/>
                <w:color w:val="FFFFFF"/>
                <w:sz w:val="18"/>
              </w:rPr>
              <w:t>Statement</w:t>
            </w:r>
          </w:p>
        </w:tc>
      </w:tr>
      <w:tr w:rsidR="007D4762" w14:paraId="6AAE082A"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DEE3748" w14:textId="77777777" w:rsidR="007D4762" w:rsidRDefault="00772FB4">
            <w:pPr>
              <w:spacing w:after="0" w:line="259" w:lineRule="auto"/>
              <w:jc w:val="center"/>
              <w:rPr>
                <w:rFonts w:hint="eastAsia"/>
              </w:rPr>
            </w:pPr>
            <w:r>
              <w:rPr>
                <w:rFonts w:eastAsia="Noto Sans" w:cs="Noto Sans"/>
                <w:color w:val="24323A"/>
                <w:sz w:val="18"/>
              </w:rPr>
              <w:t>AAA-L01</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6CBC3DC" w14:textId="77777777" w:rsidR="007D4762" w:rsidRDefault="00772FB4">
            <w:pPr>
              <w:spacing w:after="0" w:line="259" w:lineRule="auto"/>
              <w:rPr>
                <w:rFonts w:hint="eastAsia"/>
              </w:rPr>
            </w:pPr>
            <w:r>
              <w:rPr>
                <w:rFonts w:eastAsia="Noto Sans" w:cs="Noto Sans"/>
                <w:color w:val="24323A"/>
                <w:sz w:val="18"/>
              </w:rPr>
              <w:t>Non-Destructive Projection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225AEC2" w14:textId="77777777" w:rsidR="007D4762" w:rsidRDefault="00772FB4">
            <w:pPr>
              <w:spacing w:after="0" w:line="259" w:lineRule="auto"/>
              <w:rPr>
                <w:rFonts w:hint="eastAsia"/>
              </w:rPr>
            </w:pPr>
            <w:r>
              <w:rPr>
                <w:rFonts w:eastAsia="Noto Sans" w:cs="Noto Sans"/>
                <w:color w:val="24323A"/>
                <w:sz w:val="18"/>
              </w:rPr>
              <w:t>AAA does not silently redefine canonical source semantics.</w:t>
            </w:r>
          </w:p>
        </w:tc>
      </w:tr>
      <w:tr w:rsidR="007D4762" w14:paraId="49A74E0C"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17C1C3C" w14:textId="77777777" w:rsidR="007D4762" w:rsidRDefault="00772FB4">
            <w:pPr>
              <w:spacing w:after="0" w:line="259" w:lineRule="auto"/>
              <w:jc w:val="center"/>
              <w:rPr>
                <w:rFonts w:hint="eastAsia"/>
              </w:rPr>
            </w:pPr>
            <w:r>
              <w:rPr>
                <w:rFonts w:eastAsia="Noto Sans" w:cs="Noto Sans"/>
                <w:color w:val="24323A"/>
                <w:sz w:val="18"/>
              </w:rPr>
              <w:t>AAA-L02</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153EFA2" w14:textId="77777777" w:rsidR="007D4762" w:rsidRDefault="00772FB4">
            <w:pPr>
              <w:spacing w:after="0" w:line="259" w:lineRule="auto"/>
              <w:rPr>
                <w:rFonts w:hint="eastAsia"/>
              </w:rPr>
            </w:pPr>
            <w:r>
              <w:rPr>
                <w:rFonts w:eastAsia="Noto Sans" w:cs="Noto Sans"/>
                <w:color w:val="24323A"/>
                <w:sz w:val="18"/>
              </w:rPr>
              <w:t>Capability / Realization Separation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C1CD86C" w14:textId="77777777" w:rsidR="007D4762" w:rsidRDefault="00772FB4">
            <w:pPr>
              <w:spacing w:after="0" w:line="259" w:lineRule="auto"/>
              <w:rPr>
                <w:rFonts w:hint="eastAsia"/>
              </w:rPr>
            </w:pPr>
            <w:r>
              <w:rPr>
                <w:rFonts w:eastAsia="Noto Sans" w:cs="Noto Sans"/>
                <w:color w:val="24323A"/>
                <w:sz w:val="18"/>
              </w:rPr>
              <w:t>Capability is possibility; Expression is actual output.</w:t>
            </w:r>
          </w:p>
        </w:tc>
      </w:tr>
      <w:tr w:rsidR="007D4762" w14:paraId="6A6BB5FE"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26A0B26" w14:textId="77777777" w:rsidR="007D4762" w:rsidRDefault="00772FB4">
            <w:pPr>
              <w:spacing w:after="0" w:line="259" w:lineRule="auto"/>
              <w:jc w:val="center"/>
              <w:rPr>
                <w:rFonts w:hint="eastAsia"/>
              </w:rPr>
            </w:pPr>
            <w:r>
              <w:rPr>
                <w:rFonts w:eastAsia="Noto Sans" w:cs="Noto Sans"/>
                <w:color w:val="24323A"/>
                <w:sz w:val="18"/>
              </w:rPr>
              <w:t>AAA-L03</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93A7870" w14:textId="77777777" w:rsidR="007D4762" w:rsidRDefault="00772FB4">
            <w:pPr>
              <w:spacing w:after="0" w:line="259" w:lineRule="auto"/>
              <w:rPr>
                <w:rFonts w:hint="eastAsia"/>
              </w:rPr>
            </w:pPr>
            <w:r>
              <w:rPr>
                <w:rFonts w:eastAsia="Noto Sans" w:cs="Noto Sans"/>
                <w:color w:val="24323A"/>
                <w:sz w:val="18"/>
              </w:rPr>
              <w:t>Packet Separation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32B2D0A" w14:textId="77777777" w:rsidR="007D4762" w:rsidRDefault="00772FB4">
            <w:pPr>
              <w:spacing w:after="0" w:line="259" w:lineRule="auto"/>
              <w:rPr>
                <w:rFonts w:hint="eastAsia"/>
              </w:rPr>
            </w:pPr>
            <w:r>
              <w:rPr>
                <w:rFonts w:eastAsia="Noto Sans" w:cs="Noto Sans"/>
                <w:color w:val="24323A"/>
                <w:sz w:val="18"/>
              </w:rPr>
              <w:t>Packet carries semantic input toward expression.</w:t>
            </w:r>
          </w:p>
        </w:tc>
      </w:tr>
      <w:tr w:rsidR="007D4762" w14:paraId="72373CD3"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131B78D" w14:textId="77777777" w:rsidR="007D4762" w:rsidRDefault="00772FB4">
            <w:pPr>
              <w:spacing w:after="0" w:line="259" w:lineRule="auto"/>
              <w:jc w:val="center"/>
              <w:rPr>
                <w:rFonts w:hint="eastAsia"/>
              </w:rPr>
            </w:pPr>
            <w:r>
              <w:rPr>
                <w:rFonts w:eastAsia="Noto Sans" w:cs="Noto Sans"/>
                <w:color w:val="24323A"/>
                <w:sz w:val="18"/>
              </w:rPr>
              <w:t>AAA-L04</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B5B73BE" w14:textId="77777777" w:rsidR="007D4762" w:rsidRDefault="00772FB4">
            <w:pPr>
              <w:spacing w:after="0" w:line="259" w:lineRule="auto"/>
              <w:rPr>
                <w:rFonts w:hint="eastAsia"/>
              </w:rPr>
            </w:pPr>
            <w:r>
              <w:rPr>
                <w:rFonts w:eastAsia="Noto Sans" w:cs="Noto Sans"/>
                <w:color w:val="24323A"/>
                <w:sz w:val="18"/>
              </w:rPr>
              <w:t>Transform Separation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E73F97E" w14:textId="77777777" w:rsidR="007D4762" w:rsidRDefault="00772FB4">
            <w:pPr>
              <w:spacing w:after="0" w:line="259" w:lineRule="auto"/>
              <w:rPr>
                <w:rFonts w:hint="eastAsia"/>
              </w:rPr>
            </w:pPr>
            <w:r>
              <w:rPr>
                <w:rFonts w:eastAsia="Noto Sans" w:cs="Noto Sans"/>
                <w:color w:val="24323A"/>
                <w:sz w:val="18"/>
              </w:rPr>
              <w:t>Transform owns the declared conversion between source and target values.</w:t>
            </w:r>
          </w:p>
        </w:tc>
      </w:tr>
      <w:tr w:rsidR="007D4762" w14:paraId="54C1B4E9"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C2553A0" w14:textId="77777777" w:rsidR="007D4762" w:rsidRDefault="00772FB4">
            <w:pPr>
              <w:spacing w:after="0" w:line="259" w:lineRule="auto"/>
              <w:jc w:val="center"/>
              <w:rPr>
                <w:rFonts w:hint="eastAsia"/>
              </w:rPr>
            </w:pPr>
            <w:r>
              <w:rPr>
                <w:rFonts w:eastAsia="Noto Sans" w:cs="Noto Sans"/>
                <w:color w:val="24323A"/>
                <w:sz w:val="18"/>
              </w:rPr>
              <w:t>AAA-L05</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F060D65" w14:textId="77777777" w:rsidR="007D4762" w:rsidRDefault="00772FB4">
            <w:pPr>
              <w:spacing w:after="0" w:line="259" w:lineRule="auto"/>
              <w:rPr>
                <w:rFonts w:hint="eastAsia"/>
              </w:rPr>
            </w:pPr>
            <w:r>
              <w:rPr>
                <w:rFonts w:eastAsia="Noto Sans" w:cs="Noto Sans"/>
                <w:color w:val="24323A"/>
                <w:sz w:val="18"/>
              </w:rPr>
              <w:t>Expression Bundle Integrity</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63CC797" w14:textId="77777777" w:rsidR="007D4762" w:rsidRDefault="00772FB4">
            <w:pPr>
              <w:spacing w:after="0" w:line="259" w:lineRule="auto"/>
              <w:rPr>
                <w:rFonts w:hint="eastAsia"/>
              </w:rPr>
            </w:pPr>
            <w:r>
              <w:rPr>
                <w:rFonts w:eastAsia="Noto Sans" w:cs="Noto Sans"/>
                <w:color w:val="24323A"/>
                <w:sz w:val="18"/>
              </w:rPr>
              <w:t>A Bundle contains multiple actual Expressions.</w:t>
            </w:r>
          </w:p>
        </w:tc>
      </w:tr>
      <w:tr w:rsidR="007D4762" w14:paraId="3B94E05D"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6462C4F" w14:textId="77777777" w:rsidR="007D4762" w:rsidRDefault="00772FB4">
            <w:pPr>
              <w:spacing w:after="0" w:line="259" w:lineRule="auto"/>
              <w:jc w:val="center"/>
              <w:rPr>
                <w:rFonts w:hint="eastAsia"/>
              </w:rPr>
            </w:pPr>
            <w:r>
              <w:rPr>
                <w:rFonts w:eastAsia="Noto Sans" w:cs="Noto Sans"/>
                <w:color w:val="24323A"/>
                <w:sz w:val="18"/>
              </w:rPr>
              <w:t>AAA-L06</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D1E881F" w14:textId="77777777" w:rsidR="007D4762" w:rsidRDefault="00772FB4">
            <w:pPr>
              <w:spacing w:after="0" w:line="259" w:lineRule="auto"/>
              <w:rPr>
                <w:rFonts w:hint="eastAsia"/>
              </w:rPr>
            </w:pPr>
            <w:r>
              <w:rPr>
                <w:rFonts w:eastAsia="Noto Sans" w:cs="Noto Sans"/>
                <w:color w:val="24323A"/>
                <w:sz w:val="18"/>
              </w:rPr>
              <w:t>Transform Explicitness</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758FAA8" w14:textId="77777777" w:rsidR="007D4762" w:rsidRDefault="00772FB4">
            <w:pPr>
              <w:spacing w:after="0" w:line="259" w:lineRule="auto"/>
              <w:rPr>
                <w:rFonts w:hint="eastAsia"/>
              </w:rPr>
            </w:pPr>
            <w:r>
              <w:rPr>
                <w:rFonts w:eastAsia="Noto Sans" w:cs="Noto Sans"/>
                <w:color w:val="24323A"/>
                <w:sz w:val="18"/>
              </w:rPr>
              <w:t>Cross-modality mappings are declared rather than inferred from visual similarity.</w:t>
            </w:r>
          </w:p>
        </w:tc>
      </w:tr>
      <w:tr w:rsidR="007D4762" w14:paraId="324F36A8"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97027C0" w14:textId="77777777" w:rsidR="007D4762" w:rsidRDefault="00772FB4">
            <w:pPr>
              <w:spacing w:after="0" w:line="259" w:lineRule="auto"/>
              <w:jc w:val="center"/>
              <w:rPr>
                <w:rFonts w:hint="eastAsia"/>
              </w:rPr>
            </w:pPr>
            <w:r>
              <w:rPr>
                <w:rFonts w:eastAsia="Noto Sans" w:cs="Noto Sans"/>
                <w:color w:val="24323A"/>
                <w:sz w:val="18"/>
              </w:rPr>
              <w:t>AAA-L07</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EB1D408" w14:textId="77777777" w:rsidR="007D4762" w:rsidRDefault="00772FB4">
            <w:pPr>
              <w:spacing w:after="0" w:line="259" w:lineRule="auto"/>
              <w:rPr>
                <w:rFonts w:hint="eastAsia"/>
              </w:rPr>
            </w:pPr>
            <w:r>
              <w:rPr>
                <w:rFonts w:eastAsia="Noto Sans" w:cs="Noto Sans"/>
                <w:color w:val="24323A"/>
                <w:sz w:val="18"/>
              </w:rPr>
              <w:t>Semantic Preservation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720043B" w14:textId="77777777" w:rsidR="007D4762" w:rsidRDefault="00772FB4">
            <w:pPr>
              <w:spacing w:after="0" w:line="259" w:lineRule="auto"/>
              <w:rPr>
                <w:rFonts w:hint="eastAsia"/>
              </w:rPr>
            </w:pPr>
            <w:r>
              <w:rPr>
                <w:rFonts w:ascii="DejaVu Sans" w:eastAsia="DejaVu Sans" w:hAnsi="DejaVu Sans" w:cs="DejaVu Sans"/>
                <w:color w:val="24323A"/>
                <w:sz w:val="18"/>
              </w:rPr>
              <w:t>Pitch → Color does not assert Pitch = Color.</w:t>
            </w:r>
          </w:p>
        </w:tc>
      </w:tr>
      <w:tr w:rsidR="007D4762" w14:paraId="68741473"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3F0A21A" w14:textId="77777777" w:rsidR="007D4762" w:rsidRDefault="00772FB4">
            <w:pPr>
              <w:spacing w:after="0" w:line="259" w:lineRule="auto"/>
              <w:jc w:val="center"/>
              <w:rPr>
                <w:rFonts w:hint="eastAsia"/>
              </w:rPr>
            </w:pPr>
            <w:r>
              <w:rPr>
                <w:rFonts w:eastAsia="Noto Sans" w:cs="Noto Sans"/>
                <w:color w:val="24323A"/>
                <w:sz w:val="18"/>
              </w:rPr>
              <w:t>AAA-L08</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1877578" w14:textId="77777777" w:rsidR="007D4762" w:rsidRDefault="00772FB4">
            <w:pPr>
              <w:spacing w:after="0" w:line="259" w:lineRule="auto"/>
              <w:rPr>
                <w:rFonts w:hint="eastAsia"/>
              </w:rPr>
            </w:pPr>
            <w:r>
              <w:rPr>
                <w:rFonts w:eastAsia="Noto Sans" w:cs="Noto Sans"/>
                <w:color w:val="24323A"/>
                <w:sz w:val="18"/>
              </w:rPr>
              <w:t>Transient Expression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4B25503" w14:textId="77777777" w:rsidR="007D4762" w:rsidRDefault="00772FB4">
            <w:pPr>
              <w:spacing w:after="0" w:line="259" w:lineRule="auto"/>
              <w:rPr>
                <w:rFonts w:hint="eastAsia"/>
              </w:rPr>
            </w:pPr>
            <w:r>
              <w:rPr>
                <w:rFonts w:eastAsia="Noto Sans" w:cs="Noto Sans"/>
                <w:color w:val="24323A"/>
                <w:sz w:val="18"/>
              </w:rPr>
              <w:t>Expressions normally render and expire unless persistence is explicitly needed.</w:t>
            </w:r>
          </w:p>
        </w:tc>
      </w:tr>
      <w:tr w:rsidR="007D4762" w14:paraId="5CCA868B"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841811A" w14:textId="77777777" w:rsidR="007D4762" w:rsidRDefault="00772FB4">
            <w:pPr>
              <w:spacing w:after="0" w:line="259" w:lineRule="auto"/>
              <w:jc w:val="center"/>
              <w:rPr>
                <w:rFonts w:hint="eastAsia"/>
              </w:rPr>
            </w:pPr>
            <w:r>
              <w:rPr>
                <w:rFonts w:eastAsia="Noto Sans" w:cs="Noto Sans"/>
                <w:color w:val="24323A"/>
                <w:sz w:val="18"/>
              </w:rPr>
              <w:t>AAA-L09</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402AFEB" w14:textId="77777777" w:rsidR="007D4762" w:rsidRDefault="00772FB4">
            <w:pPr>
              <w:spacing w:after="0" w:line="259" w:lineRule="auto"/>
              <w:rPr>
                <w:rFonts w:hint="eastAsia"/>
              </w:rPr>
            </w:pPr>
            <w:r>
              <w:rPr>
                <w:rFonts w:eastAsia="Noto Sans" w:cs="Noto Sans"/>
                <w:color w:val="24323A"/>
                <w:sz w:val="18"/>
              </w:rPr>
              <w:t>Governed Mutation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6238C4F" w14:textId="77777777" w:rsidR="007D4762" w:rsidRDefault="00772FB4">
            <w:pPr>
              <w:spacing w:after="0" w:line="259" w:lineRule="auto"/>
              <w:rPr>
                <w:rFonts w:hint="eastAsia"/>
              </w:rPr>
            </w:pPr>
            <w:r>
              <w:rPr>
                <w:rFonts w:eastAsia="Noto Sans" w:cs="Noto Sans"/>
                <w:color w:val="24323A"/>
                <w:sz w:val="18"/>
              </w:rPr>
              <w:t>Canonical changes route through the system structures that own mutation.</w:t>
            </w:r>
          </w:p>
        </w:tc>
      </w:tr>
      <w:tr w:rsidR="007D4762" w14:paraId="143943D8"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0986626" w14:textId="77777777" w:rsidR="007D4762" w:rsidRDefault="00772FB4">
            <w:pPr>
              <w:spacing w:after="0" w:line="259" w:lineRule="auto"/>
              <w:jc w:val="center"/>
              <w:rPr>
                <w:rFonts w:hint="eastAsia"/>
              </w:rPr>
            </w:pPr>
            <w:r>
              <w:rPr>
                <w:rFonts w:eastAsia="Noto Sans" w:cs="Noto Sans"/>
                <w:color w:val="24323A"/>
                <w:sz w:val="18"/>
              </w:rPr>
              <w:t>AAA-L10</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193AFF9" w14:textId="77777777" w:rsidR="007D4762" w:rsidRDefault="00772FB4">
            <w:pPr>
              <w:spacing w:after="0" w:line="259" w:lineRule="auto"/>
              <w:rPr>
                <w:rFonts w:hint="eastAsia"/>
              </w:rPr>
            </w:pPr>
            <w:r>
              <w:rPr>
                <w:rFonts w:eastAsia="Noto Sans" w:cs="Noto Sans"/>
                <w:color w:val="24323A"/>
                <w:sz w:val="18"/>
              </w:rPr>
              <w:t>Toggleability</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9D2BA13" w14:textId="77777777" w:rsidR="007D4762" w:rsidRDefault="00772FB4">
            <w:pPr>
              <w:spacing w:after="0" w:line="259" w:lineRule="auto"/>
              <w:rPr>
                <w:rFonts w:hint="eastAsia"/>
              </w:rPr>
            </w:pPr>
            <w:r>
              <w:rPr>
                <w:rFonts w:eastAsia="Noto Sans" w:cs="Noto Sans"/>
                <w:color w:val="24323A"/>
                <w:sz w:val="18"/>
              </w:rPr>
              <w:t>Removing AAA projection leaves canonical source meaning intact.</w:t>
            </w:r>
          </w:p>
        </w:tc>
      </w:tr>
      <w:tr w:rsidR="007D4762" w14:paraId="24F6A742"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3EC803F" w14:textId="77777777" w:rsidR="007D4762" w:rsidRDefault="00772FB4">
            <w:pPr>
              <w:spacing w:after="0" w:line="259" w:lineRule="auto"/>
              <w:jc w:val="center"/>
              <w:rPr>
                <w:rFonts w:hint="eastAsia"/>
              </w:rPr>
            </w:pPr>
            <w:r>
              <w:rPr>
                <w:rFonts w:eastAsia="Noto Sans" w:cs="Noto Sans"/>
                <w:color w:val="24323A"/>
                <w:sz w:val="18"/>
              </w:rPr>
              <w:t>AAA-L11</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300D55D" w14:textId="77777777" w:rsidR="007D4762" w:rsidRDefault="00772FB4">
            <w:pPr>
              <w:spacing w:after="0" w:line="259" w:lineRule="auto"/>
              <w:rPr>
                <w:rFonts w:hint="eastAsia"/>
              </w:rPr>
            </w:pPr>
            <w:r>
              <w:rPr>
                <w:rFonts w:eastAsia="Noto Sans" w:cs="Noto Sans"/>
                <w:color w:val="24323A"/>
                <w:sz w:val="18"/>
              </w:rPr>
              <w:t>Capability and Transform Reuse</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20640F3" w14:textId="77777777" w:rsidR="007D4762" w:rsidRDefault="00772FB4">
            <w:pPr>
              <w:spacing w:after="0" w:line="259" w:lineRule="auto"/>
              <w:rPr>
                <w:rFonts w:hint="eastAsia"/>
              </w:rPr>
            </w:pPr>
            <w:r>
              <w:rPr>
                <w:rFonts w:eastAsia="Noto Sans" w:cs="Noto Sans"/>
                <w:color w:val="24323A"/>
                <w:sz w:val="18"/>
              </w:rPr>
              <w:t>Reusable components may serve multiple Applications when contracts permit.</w:t>
            </w:r>
          </w:p>
        </w:tc>
      </w:tr>
      <w:tr w:rsidR="007D4762" w14:paraId="0428CD41" w14:textId="77777777">
        <w:trPr>
          <w:cantSplit/>
          <w:jc w:val="center"/>
        </w:trPr>
        <w:tc>
          <w:tcPr>
            <w:tcW w:w="1224"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57B67EB" w14:textId="77777777" w:rsidR="007D4762" w:rsidRDefault="00772FB4">
            <w:pPr>
              <w:spacing w:after="0" w:line="259" w:lineRule="auto"/>
              <w:jc w:val="center"/>
              <w:rPr>
                <w:rFonts w:hint="eastAsia"/>
              </w:rPr>
            </w:pPr>
            <w:r>
              <w:rPr>
                <w:rFonts w:eastAsia="Noto Sans" w:cs="Noto Sans"/>
                <w:color w:val="24323A"/>
                <w:sz w:val="18"/>
              </w:rPr>
              <w:t>AAA-L12</w:t>
            </w:r>
          </w:p>
        </w:tc>
        <w:tc>
          <w:tcPr>
            <w:tcW w:w="2520"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A4E6D27" w14:textId="77777777" w:rsidR="007D4762" w:rsidRDefault="00772FB4">
            <w:pPr>
              <w:spacing w:after="0" w:line="259" w:lineRule="auto"/>
              <w:rPr>
                <w:rFonts w:hint="eastAsia"/>
              </w:rPr>
            </w:pPr>
            <w:r>
              <w:rPr>
                <w:rFonts w:eastAsia="Noto Sans" w:cs="Noto Sans"/>
                <w:color w:val="24323A"/>
                <w:sz w:val="18"/>
              </w:rPr>
              <w:t>User-Controlled Projection</w:t>
            </w:r>
          </w:p>
        </w:tc>
        <w:tc>
          <w:tcPr>
            <w:tcW w:w="5328"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DBE2F48" w14:textId="77777777" w:rsidR="007D4762" w:rsidRDefault="00772FB4">
            <w:pPr>
              <w:spacing w:after="0" w:line="259" w:lineRule="auto"/>
              <w:rPr>
                <w:rFonts w:hint="eastAsia"/>
              </w:rPr>
            </w:pPr>
            <w:r>
              <w:rPr>
                <w:rFonts w:eastAsia="Noto Sans" w:cs="Noto Sans"/>
                <w:color w:val="24323A"/>
                <w:sz w:val="18"/>
              </w:rPr>
              <w:t>Users govern active Applications, Loadouts, social scopes, and perceptual interactions.</w:t>
            </w:r>
          </w:p>
        </w:tc>
      </w:tr>
    </w:tbl>
    <w:p w14:paraId="2C56DFE6" w14:textId="77777777" w:rsidR="007D4762" w:rsidRDefault="007D4762">
      <w:pPr>
        <w:spacing w:after="80"/>
        <w:rPr>
          <w:rFonts w:hint="eastAsia"/>
        </w:rPr>
      </w:pPr>
    </w:p>
    <w:p w14:paraId="1BD8579E" w14:textId="77777777" w:rsidR="007D4762" w:rsidRDefault="00772FB4">
      <w:pPr>
        <w:pStyle w:val="Heading1"/>
      </w:pPr>
      <w:r>
        <w:t>Conclusion</w:t>
      </w:r>
    </w:p>
    <w:p w14:paraId="55A612CD" w14:textId="77777777" w:rsidR="007D4762" w:rsidRDefault="00772FB4">
      <w:pPr>
        <w:spacing w:after="140" w:line="278" w:lineRule="auto"/>
        <w:rPr>
          <w:rFonts w:hint="eastAsia"/>
        </w:rPr>
      </w:pPr>
      <w:r>
        <w:rPr>
          <w:rFonts w:eastAsia="Noto Sans" w:cs="Noto Sans"/>
          <w:color w:val="24323A"/>
        </w:rPr>
        <w:t>Atlas Association Applications turn a dense semantic system into a plastic experiential environment without asking the semantic system to become less rigorous. AAA is deliberately optional. Its power comes from using what already exists: governed identities, relations, scalar BitGroups, contextual knowledge, effects, and interface surfaces.</w:t>
      </w:r>
    </w:p>
    <w:p w14:paraId="5F2C2A79" w14:textId="77777777" w:rsidR="007D4762" w:rsidRDefault="00772FB4">
      <w:pPr>
        <w:spacing w:after="140" w:line="278" w:lineRule="auto"/>
        <w:rPr>
          <w:rFonts w:hint="eastAsia"/>
        </w:rPr>
      </w:pPr>
      <w:r>
        <w:rPr>
          <w:rFonts w:eastAsia="Noto Sans" w:cs="Noto Sans"/>
          <w:color w:val="24323A"/>
        </w:rPr>
        <w:t xml:space="preserve">The notation makes that boundary inspectable. </w:t>
      </w:r>
      <w:r>
        <w:rPr>
          <w:rFonts w:eastAsia="Noto Sans" w:cs="Noto Sans"/>
          <w:color w:val="24323A"/>
        </w:rPr>
        <w:t>⬢</w:t>
      </w:r>
      <w:r>
        <w:rPr>
          <w:rFonts w:eastAsia="Noto Sans" w:cs="Noto Sans"/>
          <w:color w:val="24323A"/>
        </w:rPr>
        <w:t>| Capability |</w:t>
      </w:r>
      <w:r>
        <w:rPr>
          <w:rFonts w:eastAsia="Noto Sans" w:cs="Noto Sans"/>
          <w:color w:val="24323A"/>
        </w:rPr>
        <w:t>⬢</w:t>
      </w:r>
      <w:r>
        <w:rPr>
          <w:rFonts w:eastAsia="Noto Sans" w:cs="Noto Sans"/>
          <w:color w:val="24323A"/>
        </w:rPr>
        <w:t xml:space="preserve"> names what can be surfaced. ▪</w:t>
      </w:r>
      <w:r>
        <w:rPr>
          <w:rFonts w:eastAsia="Noto Sans" w:cs="Noto Sans"/>
          <w:color w:val="24323A"/>
        </w:rPr>
        <w:t>︎</w:t>
      </w:r>
      <w:r>
        <w:rPr>
          <w:rFonts w:eastAsia="Noto Sans" w:cs="Noto Sans"/>
          <w:color w:val="24323A"/>
        </w:rPr>
        <w:t>-&gt; shows the Packet being sent. x▪</w:t>
      </w:r>
      <w:r>
        <w:rPr>
          <w:rFonts w:eastAsia="Noto Sans" w:cs="Noto Sans"/>
          <w:color w:val="24323A"/>
        </w:rPr>
        <w:t>︎</w:t>
      </w:r>
      <w:r>
        <w:rPr>
          <w:rFonts w:eastAsia="Noto Sans" w:cs="Noto Sans"/>
          <w:color w:val="24323A"/>
        </w:rPr>
        <w:t xml:space="preserve">x names the Transform that maps source values into target modalities. </w:t>
      </w:r>
      <w:r>
        <w:rPr>
          <w:rFonts w:eastAsia="Noto Sans" w:cs="Noto Sans"/>
          <w:color w:val="24323A"/>
        </w:rPr>
        <w:t>⬢</w:t>
      </w:r>
      <w:r>
        <w:rPr>
          <w:rFonts w:eastAsia="Noto Sans" w:cs="Noto Sans"/>
          <w:color w:val="24323A"/>
        </w:rPr>
        <w:t>( Expression )</w:t>
      </w:r>
      <w:r>
        <w:rPr>
          <w:rFonts w:eastAsia="Noto Sans" w:cs="Noto Sans"/>
          <w:color w:val="24323A"/>
        </w:rPr>
        <w:t>⬢</w:t>
      </w:r>
      <w:r>
        <w:rPr>
          <w:rFonts w:eastAsia="Noto Sans" w:cs="Noto Sans"/>
          <w:color w:val="24323A"/>
        </w:rPr>
        <w:t xml:space="preserve"> names one actual output. </w:t>
      </w:r>
      <w:r>
        <w:rPr>
          <w:rFonts w:eastAsia="Noto Sans" w:cs="Noto Sans"/>
          <w:color w:val="24323A"/>
        </w:rPr>
        <w:t>⬢</w:t>
      </w:r>
      <w:r>
        <w:rPr>
          <w:rFonts w:eastAsia="Noto Sans" w:cs="Noto Sans"/>
          <w:color w:val="24323A"/>
        </w:rPr>
        <w:t>{ Expression Bundle }</w:t>
      </w:r>
      <w:r>
        <w:rPr>
          <w:rFonts w:eastAsia="Noto Sans" w:cs="Noto Sans"/>
          <w:color w:val="24323A"/>
        </w:rPr>
        <w:t>⬢</w:t>
      </w:r>
      <w:r>
        <w:rPr>
          <w:rFonts w:eastAsia="Noto Sans" w:cs="Noto Sans"/>
          <w:color w:val="24323A"/>
        </w:rPr>
        <w:t xml:space="preserve"> names several outputs realized together. </w:t>
      </w:r>
      <w:r>
        <w:rPr>
          <w:rFonts w:eastAsia="Noto Sans" w:cs="Noto Sans"/>
          <w:color w:val="24323A"/>
        </w:rPr>
        <w:t>⬢</w:t>
      </w:r>
      <w:r>
        <w:rPr>
          <w:rFonts w:eastAsia="Noto Sans" w:cs="Noto Sans"/>
          <w:color w:val="24323A"/>
        </w:rPr>
        <w:t>[ Application ]</w:t>
      </w:r>
      <w:r>
        <w:rPr>
          <w:rFonts w:eastAsia="Noto Sans" w:cs="Noto Sans"/>
          <w:color w:val="24323A"/>
        </w:rPr>
        <w:t>⬢</w:t>
      </w:r>
      <w:r>
        <w:rPr>
          <w:rFonts w:eastAsia="Noto Sans" w:cs="Noto Sans"/>
          <w:color w:val="24323A"/>
        </w:rPr>
        <w:t xml:space="preserve"> composes the experience, </w:t>
      </w:r>
      <w:r>
        <w:rPr>
          <w:rFonts w:eastAsia="Noto Sans" w:cs="Noto Sans"/>
          <w:color w:val="24323A"/>
        </w:rPr>
        <w:t>⬢</w:t>
      </w:r>
      <w:r>
        <w:rPr>
          <w:rFonts w:eastAsia="Noto Sans" w:cs="Noto Sans"/>
          <w:color w:val="24323A"/>
        </w:rPr>
        <w:t>|[ Loadout ]|</w:t>
      </w:r>
      <w:r>
        <w:rPr>
          <w:rFonts w:eastAsia="Noto Sans" w:cs="Noto Sans"/>
          <w:color w:val="24323A"/>
        </w:rPr>
        <w:t>⬢</w:t>
      </w:r>
      <w:r>
        <w:rPr>
          <w:rFonts w:eastAsia="Noto Sans" w:cs="Noto Sans"/>
          <w:color w:val="24323A"/>
        </w:rPr>
        <w:t xml:space="preserve"> selects groups of experiences, and </w:t>
      </w:r>
      <w:r>
        <w:rPr>
          <w:rFonts w:eastAsia="Noto Sans" w:cs="Noto Sans"/>
          <w:color w:val="24323A"/>
        </w:rPr>
        <w:t>⬢</w:t>
      </w:r>
      <w:r>
        <w:rPr>
          <w:rFonts w:eastAsia="Noto Sans" w:cs="Noto Sans"/>
          <w:color w:val="24323A"/>
        </w:rPr>
        <w:t>▪</w:t>
      </w:r>
      <w:r>
        <w:rPr>
          <w:rFonts w:eastAsia="Noto Sans" w:cs="Noto Sans"/>
          <w:color w:val="24323A"/>
        </w:rPr>
        <w:t>︎</w:t>
      </w:r>
      <w:r>
        <w:rPr>
          <w:rFonts w:eastAsia="Noto Sans" w:cs="Noto Sans"/>
          <w:color w:val="24323A"/>
        </w:rPr>
        <w:t>⬢</w:t>
      </w:r>
      <w:r>
        <w:rPr>
          <w:rFonts w:eastAsia="Noto Sans" w:cs="Noto Sans"/>
          <w:color w:val="24323A"/>
        </w:rPr>
        <w:t xml:space="preserve"> keeps AVA persistently available in its smallest form.</w:t>
      </w:r>
    </w:p>
    <w:p w14:paraId="3C66424B" w14:textId="77777777" w:rsidR="007D4762" w:rsidRDefault="00772FB4">
      <w:pPr>
        <w:spacing w:after="140" w:line="278" w:lineRule="auto"/>
        <w:rPr>
          <w:rFonts w:hint="eastAsia"/>
        </w:rPr>
      </w:pPr>
      <w:r>
        <w:rPr>
          <w:rFonts w:eastAsia="Noto Sans" w:cs="Noto Sans"/>
          <w:color w:val="24323A"/>
        </w:rPr>
        <w:t>The result is a layer where deterministic scalar transformations and ridiculous social theater can coexist on the same architecture. A pitch value can become color or particle speed. Nutrition can become particles. A shared relation can become a falling sports ball. A word can be painted over or scolded without being rewritten. The canonical graph remains serious; the perceptual surface is free to become whatever the user finds useful, legible, delightful, or funny.</w:t>
      </w:r>
    </w:p>
    <w:p w14:paraId="3A0A0506" w14:textId="77777777" w:rsidR="007D4762" w:rsidRDefault="00772FB4">
      <w:pPr>
        <w:rPr>
          <w:rFonts w:hint="eastAsia"/>
        </w:rPr>
      </w:pPr>
      <w:r>
        <w:br w:type="page"/>
      </w:r>
    </w:p>
    <w:p w14:paraId="2D6F7F7D" w14:textId="77777777" w:rsidR="007D4762" w:rsidRDefault="00772FB4">
      <w:pPr>
        <w:pStyle w:val="Heading1"/>
      </w:pPr>
      <w:r>
        <w:t>Appendix A. Quick Reference</w:t>
      </w:r>
    </w:p>
    <w:tbl>
      <w:tblPr>
        <w:tblW w:w="0" w:type="auto"/>
        <w:jc w:val="center"/>
        <w:tblLayout w:type="fixed"/>
        <w:tblLook w:val="04A0" w:firstRow="1" w:lastRow="0" w:firstColumn="1" w:lastColumn="0" w:noHBand="0" w:noVBand="1"/>
      </w:tblPr>
      <w:tblGrid>
        <w:gridCol w:w="4939"/>
        <w:gridCol w:w="5616"/>
      </w:tblGrid>
      <w:tr w:rsidR="007D4762" w14:paraId="2204A941" w14:textId="77777777">
        <w:trPr>
          <w:tblHeader/>
          <w:jc w:val="center"/>
        </w:trPr>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297A9CC1" w14:textId="77777777" w:rsidR="007D4762" w:rsidRDefault="00772FB4">
            <w:pPr>
              <w:spacing w:after="0" w:line="252" w:lineRule="auto"/>
              <w:jc w:val="center"/>
              <w:rPr>
                <w:rFonts w:hint="eastAsia"/>
              </w:rPr>
            </w:pPr>
            <w:r>
              <w:rPr>
                <w:rFonts w:eastAsia="Noto Sans" w:cs="Noto Sans"/>
                <w:b/>
                <w:color w:val="FFFFFF"/>
                <w:sz w:val="18"/>
              </w:rPr>
              <w:t>Construction</w:t>
            </w:r>
          </w:p>
        </w:tc>
        <w:tc>
          <w:tcPr>
            <w:tcW w:w="4939" w:type="dxa"/>
            <w:tcBorders>
              <w:top w:val="single" w:sz="8" w:space="0" w:color="15232D"/>
              <w:left w:val="single" w:sz="8" w:space="0" w:color="15232D"/>
              <w:bottom w:val="single" w:sz="8" w:space="0" w:color="15232D"/>
              <w:right w:val="single" w:sz="8" w:space="0" w:color="15232D"/>
            </w:tcBorders>
            <w:shd w:val="clear" w:color="auto" w:fill="15232D"/>
            <w:tcMar>
              <w:top w:w="130" w:type="dxa"/>
              <w:left w:w="130" w:type="dxa"/>
              <w:bottom w:w="130" w:type="dxa"/>
              <w:right w:w="130" w:type="dxa"/>
            </w:tcMar>
            <w:vAlign w:val="center"/>
          </w:tcPr>
          <w:p w14:paraId="5FDC5062" w14:textId="77777777" w:rsidR="007D4762" w:rsidRDefault="00772FB4">
            <w:pPr>
              <w:spacing w:after="0" w:line="252" w:lineRule="auto"/>
              <w:jc w:val="center"/>
              <w:rPr>
                <w:rFonts w:hint="eastAsia"/>
              </w:rPr>
            </w:pPr>
            <w:r>
              <w:rPr>
                <w:rFonts w:eastAsia="Noto Sans" w:cs="Noto Sans"/>
                <w:b/>
                <w:color w:val="FFFFFF"/>
                <w:sz w:val="18"/>
              </w:rPr>
              <w:t>Interpretation</w:t>
            </w:r>
          </w:p>
        </w:tc>
      </w:tr>
      <w:tr w:rsidR="007D4762" w14:paraId="142D9D98"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7DDDA70"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511BA88" w14:textId="77777777" w:rsidR="007D4762" w:rsidRDefault="00772FB4">
            <w:pPr>
              <w:spacing w:after="0" w:line="259" w:lineRule="auto"/>
              <w:rPr>
                <w:rFonts w:hint="eastAsia"/>
              </w:rPr>
            </w:pPr>
            <w:r>
              <w:rPr>
                <w:rFonts w:eastAsia="Noto Sans" w:cs="Noto Sans"/>
                <w:color w:val="24323A"/>
                <w:sz w:val="18"/>
              </w:rPr>
              <w:t>AAA language / application marker</w:t>
            </w:r>
          </w:p>
        </w:tc>
      </w:tr>
      <w:tr w:rsidR="007D4762" w14:paraId="70C134DE"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5038DD0"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Loadout ]|</w:t>
            </w: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46423E0" w14:textId="77777777" w:rsidR="007D4762" w:rsidRDefault="00772FB4">
            <w:pPr>
              <w:spacing w:after="0" w:line="259" w:lineRule="auto"/>
              <w:rPr>
                <w:rFonts w:hint="eastAsia"/>
              </w:rPr>
            </w:pPr>
            <w:r>
              <w:rPr>
                <w:rFonts w:eastAsia="Noto Sans" w:cs="Noto Sans"/>
                <w:color w:val="24323A"/>
                <w:sz w:val="18"/>
              </w:rPr>
              <w:t>Selected Application collection</w:t>
            </w:r>
          </w:p>
        </w:tc>
      </w:tr>
      <w:tr w:rsidR="007D4762" w14:paraId="693FC108"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F162973"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Application ]</w:t>
            </w: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504103E8" w14:textId="77777777" w:rsidR="007D4762" w:rsidRDefault="00772FB4">
            <w:pPr>
              <w:spacing w:after="0" w:line="259" w:lineRule="auto"/>
              <w:rPr>
                <w:rFonts w:hint="eastAsia"/>
              </w:rPr>
            </w:pPr>
            <w:r>
              <w:rPr>
                <w:rFonts w:eastAsia="Noto Sans" w:cs="Noto Sans"/>
                <w:color w:val="24323A"/>
                <w:sz w:val="18"/>
              </w:rPr>
              <w:t>One AAA Application</w:t>
            </w:r>
          </w:p>
        </w:tc>
      </w:tr>
      <w:tr w:rsidR="007D4762" w14:paraId="72DECD71"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DDD435F"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Capability |</w:t>
            </w: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C6E69D4" w14:textId="77777777" w:rsidR="007D4762" w:rsidRDefault="00772FB4">
            <w:pPr>
              <w:spacing w:after="0" w:line="259" w:lineRule="auto"/>
              <w:rPr>
                <w:rFonts w:hint="eastAsia"/>
              </w:rPr>
            </w:pPr>
            <w:r>
              <w:rPr>
                <w:rFonts w:eastAsia="Noto Sans" w:cs="Noto Sans"/>
                <w:color w:val="24323A"/>
                <w:sz w:val="18"/>
              </w:rPr>
              <w:t>Available capability</w:t>
            </w:r>
          </w:p>
        </w:tc>
      </w:tr>
      <w:tr w:rsidR="007D4762" w14:paraId="753340D4"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87C69AD"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w:t>
            </w:r>
            <w:r>
              <w:rPr>
                <w:rFonts w:ascii="DejaVu Sans" w:eastAsia="DejaVu Sans" w:hAnsi="DejaVu Sans" w:cs="DejaVu Sans"/>
                <w:color w:val="24323A"/>
                <w:sz w:val="18"/>
              </w:rPr>
              <w:t>-&gt;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07EEF4D5" w14:textId="77777777" w:rsidR="007D4762" w:rsidRDefault="00772FB4">
            <w:pPr>
              <w:spacing w:after="0" w:line="259" w:lineRule="auto"/>
              <w:rPr>
                <w:rFonts w:hint="eastAsia"/>
              </w:rPr>
            </w:pPr>
            <w:r>
              <w:rPr>
                <w:rFonts w:eastAsia="Noto Sans" w:cs="Noto Sans"/>
                <w:color w:val="24323A"/>
                <w:sz w:val="18"/>
              </w:rPr>
              <w:t>Packet being sent</w:t>
            </w:r>
          </w:p>
        </w:tc>
      </w:tr>
      <w:tr w:rsidR="007D4762" w14:paraId="31E00C46"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A4B00B9" w14:textId="77777777" w:rsidR="007D4762" w:rsidRDefault="00772FB4">
            <w:pPr>
              <w:spacing w:after="0" w:line="259" w:lineRule="auto"/>
              <w:jc w:val="center"/>
              <w:rPr>
                <w:rFonts w:hint="eastAsia"/>
              </w:rPr>
            </w:pPr>
            <w:r>
              <w:rPr>
                <w:rFonts w:ascii="DejaVu Sans" w:eastAsia="DejaVu Sans" w:hAnsi="DejaVu Sans" w:cs="DejaVu Sans"/>
                <w:color w:val="24323A"/>
                <w:sz w:val="18"/>
              </w:rPr>
              <w:t>x▪</w:t>
            </w:r>
            <w:r>
              <w:rPr>
                <w:rFonts w:ascii="DejaVu Sans" w:eastAsia="DejaVu Sans" w:hAnsi="DejaVu Sans" w:cs="DejaVu Sans"/>
                <w:color w:val="24323A"/>
                <w:sz w:val="18"/>
              </w:rPr>
              <w:t>︎</w:t>
            </w:r>
            <w:r>
              <w:rPr>
                <w:rFonts w:ascii="DejaVu Sans" w:eastAsia="DejaVu Sans" w:hAnsi="DejaVu Sans" w:cs="DejaVu Sans"/>
                <w:color w:val="24323A"/>
                <w:sz w:val="18"/>
              </w:rPr>
              <w:t>x</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3A678EDA" w14:textId="77777777" w:rsidR="007D4762" w:rsidRDefault="00772FB4">
            <w:pPr>
              <w:spacing w:after="0" w:line="259" w:lineRule="auto"/>
              <w:rPr>
                <w:rFonts w:hint="eastAsia"/>
              </w:rPr>
            </w:pPr>
            <w:r>
              <w:rPr>
                <w:rFonts w:eastAsia="Noto Sans" w:cs="Noto Sans"/>
                <w:color w:val="24323A"/>
                <w:sz w:val="18"/>
              </w:rPr>
              <w:t>Transform</w:t>
            </w:r>
          </w:p>
        </w:tc>
      </w:tr>
      <w:tr w:rsidR="007D4762" w14:paraId="0F5E12D6"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7B43B36A"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Expression )</w:t>
            </w: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6F46EF7A" w14:textId="77777777" w:rsidR="007D4762" w:rsidRDefault="00772FB4">
            <w:pPr>
              <w:spacing w:after="0" w:line="259" w:lineRule="auto"/>
              <w:rPr>
                <w:rFonts w:hint="eastAsia"/>
              </w:rPr>
            </w:pPr>
            <w:r>
              <w:rPr>
                <w:rFonts w:eastAsia="Noto Sans" w:cs="Noto Sans"/>
                <w:color w:val="24323A"/>
                <w:sz w:val="18"/>
              </w:rPr>
              <w:t>One actual transformed output</w:t>
            </w:r>
          </w:p>
        </w:tc>
      </w:tr>
      <w:tr w:rsidR="007D4762" w14:paraId="0FA88797"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705446E"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 Expression Bundle }</w:t>
            </w: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101EFBA4" w14:textId="77777777" w:rsidR="007D4762" w:rsidRDefault="00772FB4">
            <w:pPr>
              <w:spacing w:after="0" w:line="259" w:lineRule="auto"/>
              <w:rPr>
                <w:rFonts w:hint="eastAsia"/>
              </w:rPr>
            </w:pPr>
            <w:r>
              <w:rPr>
                <w:rFonts w:eastAsia="Noto Sans" w:cs="Noto Sans"/>
                <w:color w:val="24323A"/>
                <w:sz w:val="18"/>
              </w:rPr>
              <w:t>Multiple actual Expressions</w:t>
            </w:r>
          </w:p>
        </w:tc>
      </w:tr>
      <w:tr w:rsidR="007D4762" w14:paraId="39FDC952" w14:textId="77777777">
        <w:trPr>
          <w:cantSplit/>
          <w:jc w:val="center"/>
        </w:trPr>
        <w:tc>
          <w:tcPr>
            <w:tcW w:w="345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4F666A7F" w14:textId="77777777" w:rsidR="007D4762" w:rsidRDefault="00772FB4">
            <w:pPr>
              <w:spacing w:after="0" w:line="259" w:lineRule="auto"/>
              <w:jc w:val="center"/>
              <w:rPr>
                <w:rFonts w:hint="eastAsia"/>
              </w:rPr>
            </w:pPr>
            <w:r>
              <w:rPr>
                <w:rFonts w:ascii="DejaVu Sans" w:eastAsia="DejaVu Sans" w:hAnsi="DejaVu Sans" w:cs="DejaVu Sans"/>
                <w:color w:val="24323A"/>
                <w:sz w:val="18"/>
              </w:rPr>
              <w:t>⬢</w:t>
            </w:r>
            <w:r>
              <w:rPr>
                <w:rFonts w:ascii="DejaVu Sans" w:eastAsia="DejaVu Sans" w:hAnsi="DejaVu Sans" w:cs="DejaVu Sans"/>
                <w:color w:val="24323A"/>
                <w:sz w:val="18"/>
              </w:rPr>
              <w:t>▪</w:t>
            </w:r>
            <w:r>
              <w:rPr>
                <w:rFonts w:ascii="DejaVu Sans" w:eastAsia="DejaVu Sans" w:hAnsi="DejaVu Sans" w:cs="DejaVu Sans"/>
                <w:color w:val="24323A"/>
                <w:sz w:val="18"/>
              </w:rPr>
              <w:t>︎</w:t>
            </w:r>
            <w:r>
              <w:rPr>
                <w:rFonts w:ascii="DejaVu Sans" w:eastAsia="DejaVu Sans" w:hAnsi="DejaVu Sans" w:cs="DejaVu Sans"/>
                <w:color w:val="24323A"/>
                <w:sz w:val="18"/>
              </w:rPr>
              <w:t>⬢</w:t>
            </w:r>
          </w:p>
        </w:tc>
        <w:tc>
          <w:tcPr>
            <w:tcW w:w="5616" w:type="dxa"/>
            <w:tcBorders>
              <w:top w:val="single" w:sz="6" w:space="0" w:color="DDD8CE"/>
              <w:left w:val="single" w:sz="6" w:space="0" w:color="DDD8CE"/>
              <w:bottom w:val="single" w:sz="6" w:space="0" w:color="DDD8CE"/>
              <w:right w:val="single" w:sz="6" w:space="0" w:color="DDD8CE"/>
            </w:tcBorders>
            <w:shd w:val="clear" w:color="auto" w:fill="FFFDF9"/>
            <w:tcMar>
              <w:top w:w="135" w:type="dxa"/>
              <w:left w:w="140" w:type="dxa"/>
              <w:bottom w:w="135" w:type="dxa"/>
              <w:right w:w="140" w:type="dxa"/>
            </w:tcMar>
            <w:vAlign w:val="center"/>
          </w:tcPr>
          <w:p w14:paraId="27105E48" w14:textId="77777777" w:rsidR="007D4762" w:rsidRDefault="00772FB4">
            <w:pPr>
              <w:spacing w:after="0" w:line="259" w:lineRule="auto"/>
              <w:rPr>
                <w:rFonts w:hint="eastAsia"/>
              </w:rPr>
            </w:pPr>
            <w:r>
              <w:rPr>
                <w:rFonts w:eastAsia="Noto Sans" w:cs="Noto Sans"/>
                <w:color w:val="24323A"/>
                <w:sz w:val="18"/>
              </w:rPr>
              <w:t>Collapsed AVA</w:t>
            </w:r>
          </w:p>
        </w:tc>
      </w:tr>
    </w:tbl>
    <w:p w14:paraId="58212E79" w14:textId="77777777" w:rsidR="007D4762" w:rsidRDefault="007D4762">
      <w:pPr>
        <w:spacing w:after="80"/>
        <w:rPr>
          <w:rFonts w:hint="eastAsia"/>
        </w:rPr>
      </w:pPr>
    </w:p>
    <w:tbl>
      <w:tblPr>
        <w:tblW w:w="0" w:type="auto"/>
        <w:jc w:val="center"/>
        <w:tblLayout w:type="fixed"/>
        <w:tblLook w:val="04A0" w:firstRow="1" w:lastRow="0" w:firstColumn="1" w:lastColumn="0" w:noHBand="0" w:noVBand="1"/>
      </w:tblPr>
      <w:tblGrid>
        <w:gridCol w:w="9878"/>
      </w:tblGrid>
      <w:tr w:rsidR="007D4762" w14:paraId="116F93C2" w14:textId="77777777">
        <w:trPr>
          <w:cantSplit/>
          <w:jc w:val="center"/>
        </w:trPr>
        <w:tc>
          <w:tcPr>
            <w:tcW w:w="9878" w:type="dxa"/>
            <w:tcBorders>
              <w:top w:val="single" w:sz="4" w:space="0" w:color="EEE9DE"/>
              <w:left w:val="single" w:sz="14" w:space="0" w:color="D1AA3F"/>
              <w:bottom w:val="single" w:sz="4" w:space="0" w:color="EEE9DE"/>
              <w:right w:val="single" w:sz="4" w:space="0" w:color="EEE9DE"/>
            </w:tcBorders>
            <w:shd w:val="clear" w:color="auto" w:fill="FFF8E8"/>
            <w:tcMar>
              <w:top w:w="180" w:type="dxa"/>
              <w:left w:w="220" w:type="dxa"/>
              <w:bottom w:w="180" w:type="dxa"/>
              <w:right w:w="220" w:type="dxa"/>
            </w:tcMar>
          </w:tcPr>
          <w:p w14:paraId="0C00B014" w14:textId="77777777" w:rsidR="007D4762" w:rsidRDefault="00772FB4">
            <w:pPr>
              <w:spacing w:after="0" w:line="283" w:lineRule="auto"/>
              <w:rPr>
                <w:rFonts w:hint="eastAsia"/>
              </w:rPr>
            </w:pPr>
            <w:r>
              <w:rPr>
                <w:rFonts w:eastAsia="Noto Sans" w:cs="Noto Sans"/>
                <w:b/>
                <w:color w:val="B4763B"/>
              </w:rPr>
              <w:t>CANONICAL RUNTIME CHAIN</w:t>
            </w:r>
            <w:r>
              <w:br/>
            </w:r>
            <w:r>
              <w:rPr>
                <w:rFonts w:ascii="DejaVu Sans" w:eastAsia="DejaVu Sans" w:hAnsi="DejaVu Sans" w:cs="DejaVu Sans"/>
                <w:color w:val="24323A"/>
                <w:sz w:val="20"/>
              </w:rPr>
              <w:t>⬢</w:t>
            </w:r>
            <w:r>
              <w:rPr>
                <w:rFonts w:ascii="DejaVu Sans" w:eastAsia="DejaVu Sans" w:hAnsi="DejaVu Sans" w:cs="DejaVu Sans"/>
                <w:color w:val="24323A"/>
                <w:sz w:val="20"/>
              </w:rPr>
              <w:t>| Capability |</w:t>
            </w:r>
            <w:r>
              <w:rPr>
                <w:rFonts w:ascii="DejaVu Sans" w:eastAsia="DejaVu Sans" w:hAnsi="DejaVu Sans" w:cs="DejaVu Sans"/>
                <w:color w:val="24323A"/>
                <w:sz w:val="20"/>
              </w:rPr>
              <w:t>⬢</w:t>
            </w:r>
            <w:r>
              <w:rPr>
                <w:rFonts w:ascii="DejaVu Sans" w:eastAsia="DejaVu Sans" w:hAnsi="DejaVu Sans" w:cs="DejaVu Sans"/>
                <w:color w:val="24323A"/>
                <w:sz w:val="20"/>
              </w:rPr>
              <w:t xml:space="preserve">  →  ▪</w:t>
            </w:r>
            <w:r>
              <w:rPr>
                <w:rFonts w:ascii="DejaVu Sans" w:eastAsia="DejaVu Sans" w:hAnsi="DejaVu Sans" w:cs="DejaVu Sans"/>
                <w:color w:val="24323A"/>
                <w:sz w:val="20"/>
              </w:rPr>
              <w:t>︎</w:t>
            </w:r>
            <w:r>
              <w:rPr>
                <w:rFonts w:ascii="DejaVu Sans" w:eastAsia="DejaVu Sans" w:hAnsi="DejaVu Sans" w:cs="DejaVu Sans"/>
                <w:color w:val="24323A"/>
                <w:sz w:val="20"/>
              </w:rPr>
              <w:t>-&gt;  →  x▪</w:t>
            </w:r>
            <w:r>
              <w:rPr>
                <w:rFonts w:ascii="DejaVu Sans" w:eastAsia="DejaVu Sans" w:hAnsi="DejaVu Sans" w:cs="DejaVu Sans"/>
                <w:color w:val="24323A"/>
                <w:sz w:val="20"/>
              </w:rPr>
              <w:t>︎</w:t>
            </w:r>
            <w:r>
              <w:rPr>
                <w:rFonts w:ascii="DejaVu Sans" w:eastAsia="DejaVu Sans" w:hAnsi="DejaVu Sans" w:cs="DejaVu Sans"/>
                <w:color w:val="24323A"/>
                <w:sz w:val="20"/>
              </w:rPr>
              <w:t xml:space="preserve">x  →  </w:t>
            </w:r>
            <w:r>
              <w:rPr>
                <w:rFonts w:ascii="DejaVu Sans" w:eastAsia="DejaVu Sans" w:hAnsi="DejaVu Sans" w:cs="DejaVu Sans"/>
                <w:color w:val="24323A"/>
                <w:sz w:val="20"/>
              </w:rPr>
              <w:t>⬢</w:t>
            </w:r>
            <w:r>
              <w:rPr>
                <w:rFonts w:ascii="DejaVu Sans" w:eastAsia="DejaVu Sans" w:hAnsi="DejaVu Sans" w:cs="DejaVu Sans"/>
                <w:color w:val="24323A"/>
                <w:sz w:val="20"/>
              </w:rPr>
              <w:t>( Expression )</w:t>
            </w:r>
            <w:r>
              <w:rPr>
                <w:rFonts w:ascii="DejaVu Sans" w:eastAsia="DejaVu Sans" w:hAnsi="DejaVu Sans" w:cs="DejaVu Sans"/>
                <w:color w:val="24323A"/>
                <w:sz w:val="20"/>
              </w:rPr>
              <w:t>⬢</w:t>
            </w:r>
            <w:r>
              <w:rPr>
                <w:rFonts w:ascii="DejaVu Sans" w:eastAsia="DejaVu Sans" w:hAnsi="DejaVu Sans" w:cs="DejaVu Sans"/>
                <w:color w:val="24323A"/>
                <w:sz w:val="20"/>
              </w:rPr>
              <w:t xml:space="preserve">   OR   </w:t>
            </w:r>
            <w:r>
              <w:rPr>
                <w:rFonts w:ascii="DejaVu Sans" w:eastAsia="DejaVu Sans" w:hAnsi="DejaVu Sans" w:cs="DejaVu Sans"/>
                <w:color w:val="24323A"/>
                <w:sz w:val="20"/>
              </w:rPr>
              <w:t>⬢</w:t>
            </w:r>
            <w:r>
              <w:rPr>
                <w:rFonts w:ascii="DejaVu Sans" w:eastAsia="DejaVu Sans" w:hAnsi="DejaVu Sans" w:cs="DejaVu Sans"/>
                <w:color w:val="24323A"/>
                <w:sz w:val="20"/>
              </w:rPr>
              <w:t>{ Expression Bundle }</w:t>
            </w:r>
            <w:r>
              <w:rPr>
                <w:rFonts w:ascii="DejaVu Sans" w:eastAsia="DejaVu Sans" w:hAnsi="DejaVu Sans" w:cs="DejaVu Sans"/>
                <w:color w:val="24323A"/>
                <w:sz w:val="20"/>
              </w:rPr>
              <w:t>⬢</w:t>
            </w:r>
          </w:p>
        </w:tc>
      </w:tr>
    </w:tbl>
    <w:p w14:paraId="00843E91" w14:textId="77777777" w:rsidR="007D4762" w:rsidRDefault="007D4762">
      <w:pPr>
        <w:spacing w:after="40"/>
        <w:rPr>
          <w:rFonts w:hint="eastAsia"/>
        </w:rPr>
      </w:pPr>
    </w:p>
    <w:sectPr w:rsidR="007D4762" w:rsidSect="00034616">
      <w:footerReference w:type="default" r:id="rId65"/>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86F16" w14:textId="77777777" w:rsidR="00772FB4" w:rsidRDefault="00772FB4">
      <w:pPr>
        <w:spacing w:after="0" w:line="240" w:lineRule="auto"/>
        <w:rPr>
          <w:rFonts w:hint="eastAsia"/>
        </w:rPr>
      </w:pPr>
      <w:r>
        <w:separator/>
      </w:r>
    </w:p>
  </w:endnote>
  <w:endnote w:type="continuationSeparator" w:id="0">
    <w:p w14:paraId="5861DACC" w14:textId="77777777" w:rsidR="00772FB4" w:rsidRDefault="00772FB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A98EC" w14:textId="77777777" w:rsidR="007D4762" w:rsidRDefault="00772FB4">
    <w:pPr>
      <w:pStyle w:val="Footer"/>
      <w:jc w:val="center"/>
      <w:rPr>
        <w:rFonts w:hint="eastAsia"/>
      </w:rPr>
    </w:pPr>
    <w:r>
      <w:rPr>
        <w:rFonts w:eastAsia="Noto Sans" w:cs="Noto Sans"/>
        <w:color w:val="5F6C73"/>
        <w:sz w:val="16"/>
      </w:rPr>
      <w:t xml:space="preserve">AAA Architecture v0.1   ·   </w:t>
    </w:r>
    <w:r>
      <w:rPr>
        <w:rFonts w:eastAsia="Noto Sans" w:cs="Noto Sans"/>
        <w:color w:val="5F6C73"/>
        <w:sz w:val="16"/>
      </w:rPr>
      <w:fldChar w:fldCharType="begin"/>
    </w:r>
    <w:r>
      <w:rPr>
        <w:rFonts w:eastAsia="Noto Sans" w:cs="Noto Sans"/>
        <w:color w:val="5F6C73"/>
        <w:sz w:val="16"/>
      </w:rPr>
      <w:instrText xml:space="preserve"> PAGE </w:instrText>
    </w:r>
    <w:r>
      <w:rPr>
        <w:rFonts w:eastAsia="Noto Sans" w:cs="Noto Sans"/>
        <w:color w:val="5F6C73"/>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7097A" w14:textId="77777777" w:rsidR="00772FB4" w:rsidRDefault="00772FB4">
      <w:pPr>
        <w:spacing w:after="0" w:line="240" w:lineRule="auto"/>
        <w:rPr>
          <w:rFonts w:hint="eastAsia"/>
        </w:rPr>
      </w:pPr>
      <w:r>
        <w:separator/>
      </w:r>
    </w:p>
  </w:footnote>
  <w:footnote w:type="continuationSeparator" w:id="0">
    <w:p w14:paraId="14C386DF" w14:textId="77777777" w:rsidR="00772FB4" w:rsidRDefault="00772FB4">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8114097">
    <w:abstractNumId w:val="8"/>
  </w:num>
  <w:num w:numId="2" w16cid:durableId="275601364">
    <w:abstractNumId w:val="6"/>
  </w:num>
  <w:num w:numId="3" w16cid:durableId="1768695808">
    <w:abstractNumId w:val="5"/>
  </w:num>
  <w:num w:numId="4" w16cid:durableId="1183590804">
    <w:abstractNumId w:val="4"/>
  </w:num>
  <w:num w:numId="5" w16cid:durableId="1404645639">
    <w:abstractNumId w:val="7"/>
  </w:num>
  <w:num w:numId="6" w16cid:durableId="1531259507">
    <w:abstractNumId w:val="3"/>
  </w:num>
  <w:num w:numId="7" w16cid:durableId="1829177210">
    <w:abstractNumId w:val="2"/>
  </w:num>
  <w:num w:numId="8" w16cid:durableId="2062170337">
    <w:abstractNumId w:val="1"/>
  </w:num>
  <w:num w:numId="9" w16cid:durableId="1576550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72FB4"/>
    <w:rsid w:val="007D4762"/>
    <w:rsid w:val="00AA1D8D"/>
    <w:rsid w:val="00B4340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C84165"/>
  <w14:defaultImageDpi w14:val="300"/>
  <w15:docId w15:val="{B24690ED-2B92-CF49-91D5-2E84670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Sans" w:hAnsi="Noto Sans"/>
      <w:sz w:val="21"/>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15232D"/>
      <w:sz w:val="38"/>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B4763B"/>
      <w:sz w:val="28"/>
      <w:szCs w:val="26"/>
    </w:rPr>
  </w:style>
  <w:style w:type="paragraph" w:styleId="Heading3">
    <w:name w:val="heading 3"/>
    <w:basedOn w:val="Normal"/>
    <w:next w:val="Normal"/>
    <w:link w:val="Heading3Char"/>
    <w:uiPriority w:val="9"/>
    <w:unhideWhenUsed/>
    <w:qFormat/>
    <w:rsid w:val="00FC693F"/>
    <w:pPr>
      <w:keepNext/>
      <w:keepLines/>
      <w:spacing w:before="200" w:after="120"/>
      <w:outlineLvl w:val="2"/>
    </w:pPr>
    <w:rPr>
      <w:rFonts w:asciiTheme="majorHAnsi" w:eastAsiaTheme="majorEastAsia" w:hAnsiTheme="majorHAnsi" w:cstheme="majorBidi"/>
      <w:b/>
      <w:bCs/>
      <w:color w:val="4F6F87"/>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contextualSpacing/>
    </w:pPr>
    <w:rPr>
      <w:rFonts w:asciiTheme="majorHAnsi" w:eastAsiaTheme="majorEastAsia" w:hAnsiTheme="majorHAnsi" w:cstheme="majorBidi"/>
      <w:b/>
      <w:color w:val="15232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png" /><Relationship Id="rId50" Type="http://schemas.openxmlformats.org/officeDocument/2006/relationships/image" Target="media/image43.png" /><Relationship Id="rId55" Type="http://schemas.openxmlformats.org/officeDocument/2006/relationships/image" Target="media/image48.png" /><Relationship Id="rId63" Type="http://schemas.openxmlformats.org/officeDocument/2006/relationships/image" Target="media/image56.png"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3" Type="http://schemas.openxmlformats.org/officeDocument/2006/relationships/image" Target="media/image46.png" /><Relationship Id="rId58" Type="http://schemas.openxmlformats.org/officeDocument/2006/relationships/image" Target="media/image51.png" /><Relationship Id="rId66"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png" /><Relationship Id="rId57" Type="http://schemas.openxmlformats.org/officeDocument/2006/relationships/image" Target="media/image50.png" /><Relationship Id="rId61" Type="http://schemas.openxmlformats.org/officeDocument/2006/relationships/image" Target="media/image54.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image" Target="media/image45.png" /><Relationship Id="rId60" Type="http://schemas.openxmlformats.org/officeDocument/2006/relationships/image" Target="media/image53.png" /><Relationship Id="rId65"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image" Target="media/image41.png" /><Relationship Id="rId56" Type="http://schemas.openxmlformats.org/officeDocument/2006/relationships/image" Target="media/image49.png" /><Relationship Id="rId64" Type="http://schemas.openxmlformats.org/officeDocument/2006/relationships/image" Target="media/image57.png" /><Relationship Id="rId8" Type="http://schemas.openxmlformats.org/officeDocument/2006/relationships/image" Target="media/image1.png" /><Relationship Id="rId51" Type="http://schemas.openxmlformats.org/officeDocument/2006/relationships/image" Target="media/image44.png"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image" Target="media/image39.png" /><Relationship Id="rId59" Type="http://schemas.openxmlformats.org/officeDocument/2006/relationships/image" Target="media/image52.png" /><Relationship Id="rId67" Type="http://schemas.openxmlformats.org/officeDocument/2006/relationships/theme" Target="theme/theme1.xml" /><Relationship Id="rId20" Type="http://schemas.openxmlformats.org/officeDocument/2006/relationships/image" Target="media/image13.png" /><Relationship Id="rId41" Type="http://schemas.openxmlformats.org/officeDocument/2006/relationships/image" Target="media/image34.png" /><Relationship Id="rId54" Type="http://schemas.openxmlformats.org/officeDocument/2006/relationships/image" Target="media/image47.png" /><Relationship Id="rId62" Type="http://schemas.openxmlformats.org/officeDocument/2006/relationships/image" Target="media/image5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4362</Words>
  <Characters>24868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Atlas Association Applications (AAA) Architecture</dc:title>
  <dc:subject>Associative traversal, semantic packets, modality transforms, transient expression, and non-destructive DARTBOARD projection</dc:subject>
  <dc:creator/>
  <cp:keywords>AAA, Atlas Association Applications, AVA, DARTBOARD, transforms, Semantic Kernel, CERBERUS</cp:keywords>
  <dc:description>generated by python-docx</dc:description>
  <cp:lastModifiedBy>Shane Conrad</cp:lastModifiedBy>
  <cp:revision>2</cp:revision>
  <dcterms:created xsi:type="dcterms:W3CDTF">2026-08-20T03:50:00Z</dcterms:created>
  <dcterms:modified xsi:type="dcterms:W3CDTF">2026-08-20T03:50:00Z</dcterms:modified>
  <cp:category/>
</cp:coreProperties>
</file>