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DF691" w14:textId="77777777" w:rsidR="00487463" w:rsidRDefault="00B10A8D">
      <w:pPr>
        <w:spacing w:before="1400" w:after="160"/>
        <w:jc w:val="center"/>
        <w:rPr>
          <w:rFonts w:hint="eastAsia"/>
        </w:rPr>
      </w:pPr>
      <w:r>
        <w:rPr>
          <w:b/>
          <w:color w:val="17365D"/>
          <w:sz w:val="62"/>
        </w:rPr>
        <w:t>THE EDIFICE</w:t>
      </w:r>
    </w:p>
    <w:p w14:paraId="17190D7E" w14:textId="77777777" w:rsidR="00487463" w:rsidRDefault="00B10A8D">
      <w:pPr>
        <w:spacing w:after="160"/>
        <w:jc w:val="center"/>
        <w:rPr>
          <w:rFonts w:hint="eastAsia"/>
        </w:rPr>
      </w:pPr>
      <w:r>
        <w:rPr>
          <w:b/>
          <w:color w:val="0F7B7D"/>
          <w:sz w:val="44"/>
        </w:rPr>
        <w:t>Executable Federated Divergent Intelligence</w:t>
      </w:r>
    </w:p>
    <w:p w14:paraId="37275525" w14:textId="77777777" w:rsidR="00487463" w:rsidRDefault="00B10A8D">
      <w:pPr>
        <w:spacing w:after="320"/>
        <w:jc w:val="center"/>
        <w:rPr>
          <w:rFonts w:hint="eastAsia"/>
        </w:rPr>
      </w:pPr>
      <w:r>
        <w:rPr>
          <w:i/>
          <w:color w:val="4E5A69"/>
          <w:sz w:val="26"/>
        </w:rPr>
        <w:t>Formal Architecture for PIECE, DICE, Semantic Kernels, Bounded Bases, Liminal Bridges, BOSS, and Learnable Foreign Cognition</w:t>
      </w:r>
    </w:p>
    <w:tbl>
      <w:tblPr>
        <w:tblW w:w="0" w:type="auto"/>
        <w:jc w:val="center"/>
        <w:tblLayout w:type="fixed"/>
        <w:tblLook w:val="04A0" w:firstRow="1" w:lastRow="0" w:firstColumn="1" w:lastColumn="0" w:noHBand="0" w:noVBand="1"/>
      </w:tblPr>
      <w:tblGrid>
        <w:gridCol w:w="9994"/>
      </w:tblGrid>
      <w:tr w:rsidR="00487463" w14:paraId="4D409594" w14:textId="77777777">
        <w:trPr>
          <w:jc w:val="center"/>
        </w:trPr>
        <w:tc>
          <w:tcPr>
            <w:tcW w:w="9994" w:type="dxa"/>
            <w:tcBorders>
              <w:left w:val="single" w:sz="22" w:space="0" w:color="17365D"/>
            </w:tcBorders>
            <w:shd w:val="clear" w:color="auto" w:fill="EAF1F7"/>
            <w:tcMar>
              <w:top w:w="140" w:type="dxa"/>
              <w:left w:w="180" w:type="dxa"/>
              <w:bottom w:w="140" w:type="dxa"/>
              <w:right w:w="180" w:type="dxa"/>
            </w:tcMar>
          </w:tcPr>
          <w:p w14:paraId="7AFA3305" w14:textId="77777777" w:rsidR="00487463" w:rsidRDefault="00B10A8D">
            <w:pPr>
              <w:spacing w:after="80"/>
              <w:rPr>
                <w:rFonts w:hint="eastAsia"/>
              </w:rPr>
            </w:pPr>
            <w:r>
              <w:rPr>
                <w:b/>
                <w:color w:val="17365D"/>
              </w:rPr>
              <w:t>CORE PROPOSITION</w:t>
            </w:r>
          </w:p>
          <w:p w14:paraId="6B844B10" w14:textId="77777777" w:rsidR="00487463" w:rsidRDefault="00B10A8D">
            <w:pPr>
              <w:spacing w:after="0"/>
              <w:rPr>
                <w:rFonts w:hint="eastAsia"/>
              </w:rPr>
            </w:pPr>
            <w:r>
              <w:t>Distinct intelligence forms do not need identical ontologies, symbols, memories, perceptual categories, temporal models, or cognitive operating systems in order to collaborate. CERBERUS can preserve bounded mathematical state as Semantic Kernels, place those Kernels inside sovereign semantic habitats, route unfamiliar intelligences into those habitats through Base discovery and local BOOTSTRAP, reconstruct shared canonical state directly, use BOSS only where meaning genuinely differs, and let DICE determine</w:t>
            </w:r>
            <w:r>
              <w:t xml:space="preserve"> where each cognitive lens works against observation.</w:t>
            </w:r>
          </w:p>
        </w:tc>
      </w:tr>
    </w:tbl>
    <w:p w14:paraId="41B736D7" w14:textId="77777777" w:rsidR="00487463" w:rsidRDefault="00487463">
      <w:pPr>
        <w:spacing w:after="0"/>
        <w:rPr>
          <w:rFonts w:hint="eastAsia"/>
        </w:rPr>
      </w:pPr>
    </w:p>
    <w:tbl>
      <w:tblPr>
        <w:tblW w:w="0" w:type="auto"/>
        <w:jc w:val="center"/>
        <w:tblLayout w:type="fixed"/>
        <w:tblLook w:val="04A0" w:firstRow="1" w:lastRow="0" w:firstColumn="1" w:lastColumn="0" w:noHBand="0" w:noVBand="1"/>
      </w:tblPr>
      <w:tblGrid>
        <w:gridCol w:w="9994"/>
      </w:tblGrid>
      <w:tr w:rsidR="00487463" w14:paraId="64DEA527" w14:textId="77777777">
        <w:trPr>
          <w:jc w:val="center"/>
        </w:trPr>
        <w:tc>
          <w:tcPr>
            <w:tcW w:w="9994" w:type="dxa"/>
            <w:tcBorders>
              <w:left w:val="single" w:sz="22" w:space="0" w:color="0F7B7D"/>
            </w:tcBorders>
            <w:shd w:val="clear" w:color="auto" w:fill="ECF7F5"/>
            <w:tcMar>
              <w:top w:w="140" w:type="dxa"/>
              <w:left w:w="180" w:type="dxa"/>
              <w:bottom w:w="140" w:type="dxa"/>
              <w:right w:w="180" w:type="dxa"/>
            </w:tcMar>
          </w:tcPr>
          <w:p w14:paraId="2CBFBB69" w14:textId="77777777" w:rsidR="00487463" w:rsidRDefault="00B10A8D">
            <w:pPr>
              <w:spacing w:after="80"/>
              <w:rPr>
                <w:rFonts w:hint="eastAsia"/>
              </w:rPr>
            </w:pPr>
            <w:r>
              <w:rPr>
                <w:b/>
                <w:color w:val="0F7B7D"/>
              </w:rPr>
              <w:t>ARCHITECTURE IN ONE VIEW</w:t>
            </w:r>
          </w:p>
          <w:p w14:paraId="528574CC" w14:textId="77777777" w:rsidR="00487463" w:rsidRDefault="00B10A8D">
            <w:pPr>
              <w:spacing w:after="0"/>
              <w:rPr>
                <w:rFonts w:hint="eastAsia"/>
              </w:rPr>
            </w:pPr>
            <w:r>
              <w:t>Represent formal state. Bound it inside a native Base. Externalize through Z when needed. Discover the correct habitat through the Base Crawler. Resolve locally through SOLAR. Learn locally through BOOTSTRAP. Reconstruct shared BitWords without translation. Bridge bounded worlds through Liminal Bases. Evaluate competing lenses through DICE. Preserve useful divergence through evidence-driven evolution.</w:t>
            </w:r>
          </w:p>
        </w:tc>
      </w:tr>
    </w:tbl>
    <w:p w14:paraId="4C72AA59" w14:textId="77777777" w:rsidR="00487463" w:rsidRDefault="00487463">
      <w:pPr>
        <w:spacing w:after="0"/>
        <w:rPr>
          <w:rFonts w:hint="eastAsia"/>
        </w:rPr>
      </w:pPr>
    </w:p>
    <w:p w14:paraId="65FE08B9" w14:textId="77777777" w:rsidR="00487463" w:rsidRDefault="00B10A8D">
      <w:pPr>
        <w:spacing w:before="160"/>
        <w:jc w:val="center"/>
        <w:rPr>
          <w:rFonts w:hint="eastAsia"/>
        </w:rPr>
      </w:pPr>
      <w:r>
        <w:rPr>
          <w:b/>
          <w:color w:val="536B84"/>
        </w:rPr>
        <w:t>Architecture Rewrite • Version 2.0 • August 2026</w:t>
      </w:r>
    </w:p>
    <w:p w14:paraId="5DA18CBA" w14:textId="77777777" w:rsidR="00487463" w:rsidRDefault="00B10A8D">
      <w:pPr>
        <w:rPr>
          <w:rFonts w:hint="eastAsia"/>
        </w:rPr>
      </w:pPr>
      <w:r>
        <w:br w:type="page"/>
      </w:r>
    </w:p>
    <w:p w14:paraId="19A0AE83" w14:textId="77777777" w:rsidR="00487463" w:rsidRDefault="00B10A8D">
      <w:pPr>
        <w:pStyle w:val="Heading1"/>
      </w:pPr>
      <w:r>
        <w:t>Executive Summary</w:t>
      </w:r>
    </w:p>
    <w:p w14:paraId="4453A37E" w14:textId="77777777" w:rsidR="00487463" w:rsidRDefault="00B10A8D">
      <w:pPr>
        <w:rPr>
          <w:rFonts w:hint="eastAsia"/>
        </w:rPr>
      </w:pPr>
      <w:r>
        <w:t>The EDIFICE is a CERBERUS-native environment for building, preserving, discovering, learning, comparing, and evolving divergent forms of intelligence. Version 1.0 established the conceptual thesis: a PIECE may retain its own cognitive lens; DICE evaluates the usefulness of that lens against observation; BOSS preserves explicit symbolic meaning; and interoperability should not require semantic flattening. Version 2.0 makes that thesis executable.</w:t>
      </w:r>
    </w:p>
    <w:p w14:paraId="57B3F2B0" w14:textId="77777777" w:rsidR="00487463" w:rsidRDefault="00B10A8D">
      <w:pPr>
        <w:rPr>
          <w:rFonts w:hint="eastAsia"/>
        </w:rPr>
      </w:pPr>
      <w:r>
        <w:t>The implementation begins below natural language. Bits preserve primitive state. BitGroups and Formula contracts provide reusable mathematics. BitWords and SK Readers define bounded, deterministic semantic contracts. A receiving Base that possesses the same BitWord contract can reconstruct canonical state locally from binary records; it does not require prose, a universal ontology, or probabilistic semantic inference. Human meaning, symbolic representation, and display remain projections above the executabl</w:t>
      </w:r>
      <w:r>
        <w:t>e state.</w:t>
      </w:r>
    </w:p>
    <w:p w14:paraId="2D722294" w14:textId="77777777" w:rsidR="00487463" w:rsidRDefault="00B10A8D">
      <w:pPr>
        <w:rPr>
          <w:rFonts w:hint="eastAsia"/>
        </w:rPr>
      </w:pPr>
      <w:r>
        <w:t>A sufficiently complete Base can act as a native semantic habitat for one intelligence form. It may contain its own Semantic Kernels, operators, rules, models, memory, BOSS vocabulary, SOLAR, BOOTSTRAP, Folds, and interface projections. When a Stack outgrows one Base, bounded externalization through the Z Base Data Contract preserves the outward contract while internal implementation expands independently. Every participating Base remains directly anchored to Home without forcing Home to internalize its ont</w:t>
      </w:r>
      <w:r>
        <w:t>ology.</w:t>
      </w:r>
    </w:p>
    <w:p w14:paraId="0EA55D0A" w14:textId="77777777" w:rsidR="00487463" w:rsidRDefault="00B10A8D">
      <w:pPr>
        <w:rPr>
          <w:rFonts w:hint="eastAsia"/>
        </w:rPr>
      </w:pPr>
      <w:r>
        <w:t>Discovery and understanding are separated. The Base Crawler finds the semantic jurisdiction. Local SOLAR resolves exact semantic location. Local BOOTSTRAP installs the Core and specialized Folds required for competent work. Unknown BitWord state may remain opaque but losslessly preserved until a compatible Reader becomes available. This permits Bases to hold machine-native, embodied, simulated, or genuinely foreign semantic structures that are mathematically executable even when they are not immediately hum</w:t>
      </w:r>
      <w:r>
        <w:t>an-legible.</w:t>
      </w:r>
    </w:p>
    <w:p w14:paraId="78EEF0DE" w14:textId="77777777" w:rsidR="00487463" w:rsidRDefault="00B10A8D">
      <w:pPr>
        <w:rPr>
          <w:rFonts w:hint="eastAsia"/>
        </w:rPr>
      </w:pPr>
      <w:r>
        <w:t>Liminal Bridge Bases provide bounded shared-state habitats between otherwise independent Bases. In Liminal Bridge Base Cloning, a Sub-Base attached to an original Base becomes a central hub when a cloned Base receives a second Z contract to the same Sub-Base. Both endpoint Bases can reconstruct shared canonical BitWords locally while diverging independently. Where canonical identity is shared, EDIFICE reconstructs rather than translates. Where identities genuinely differ, BOSS Crosswalks, BOSS Ports, mappin</w:t>
      </w:r>
      <w:r>
        <w:t>g grades, semantic remainder, and recipient-native explanation remain essential.</w:t>
      </w:r>
    </w:p>
    <w:p w14:paraId="019B633F" w14:textId="77777777" w:rsidR="00487463" w:rsidRDefault="00B10A8D">
      <w:pPr>
        <w:rPr>
          <w:rFonts w:hint="eastAsia"/>
        </w:rPr>
      </w:pPr>
      <w:r>
        <w:t xml:space="preserve">DICE is the empirical referee. It does not reward ontological conformity or rhetorical fluency. It records predictions, timing, confidence, intervention sensitivity, falsifiers, and observed outcomes, then maps where each PIECE performs strongly, weakly, or complementarily. BASE SERVICE independently verifies implementation integrity so structural corruption is not mistaken for cognitive failure. The result is an evolutionary ecosystem in which different ways of representing and reasoning about reality can </w:t>
      </w:r>
      <w:r>
        <w:t>remain different, become interoperable where possible, remain opaque where necessary, and earn trust through evidence.</w:t>
      </w:r>
    </w:p>
    <w:p w14:paraId="413B1F42" w14:textId="77777777" w:rsidR="00487463" w:rsidRDefault="00B10A8D">
      <w:pPr>
        <w:spacing w:before="80" w:after="80"/>
        <w:rPr>
          <w:rFonts w:hint="eastAsia"/>
        </w:rPr>
      </w:pPr>
      <w:r>
        <w:rPr>
          <w:b/>
          <w:i/>
          <w:color w:val="4F5E6E"/>
          <w:sz w:val="19"/>
        </w:rPr>
        <w:t>Table 1. Executable EDIFICE layers and responsibilities.</w:t>
      </w:r>
    </w:p>
    <w:tbl>
      <w:tblPr>
        <w:tblW w:w="0" w:type="auto"/>
        <w:jc w:val="center"/>
        <w:tblLayout w:type="fixed"/>
        <w:tblLook w:val="04A0" w:firstRow="1" w:lastRow="0" w:firstColumn="1" w:lastColumn="0" w:noHBand="0" w:noVBand="1"/>
      </w:tblPr>
      <w:tblGrid>
        <w:gridCol w:w="2088"/>
        <w:gridCol w:w="3312"/>
        <w:gridCol w:w="3888"/>
      </w:tblGrid>
      <w:tr w:rsidR="00487463" w14:paraId="3C791915" w14:textId="77777777">
        <w:trPr>
          <w:jc w:val="center"/>
        </w:trPr>
        <w:tc>
          <w:tcPr>
            <w:tcW w:w="2088" w:type="dxa"/>
            <w:shd w:val="clear" w:color="auto" w:fill="17365D"/>
            <w:tcMar>
              <w:top w:w="100" w:type="dxa"/>
              <w:left w:w="120" w:type="dxa"/>
              <w:bottom w:w="100" w:type="dxa"/>
              <w:right w:w="120" w:type="dxa"/>
            </w:tcMar>
            <w:vAlign w:val="center"/>
          </w:tcPr>
          <w:p w14:paraId="142B09BC" w14:textId="77777777" w:rsidR="00487463" w:rsidRDefault="00B10A8D">
            <w:pPr>
              <w:jc w:val="center"/>
              <w:rPr>
                <w:rFonts w:hint="eastAsia"/>
              </w:rPr>
            </w:pPr>
            <w:r>
              <w:rPr>
                <w:b/>
                <w:color w:val="FFFFFF"/>
                <w:sz w:val="19"/>
              </w:rPr>
              <w:t>Layer</w:t>
            </w:r>
          </w:p>
        </w:tc>
        <w:tc>
          <w:tcPr>
            <w:tcW w:w="3312" w:type="dxa"/>
            <w:shd w:val="clear" w:color="auto" w:fill="17365D"/>
            <w:tcMar>
              <w:top w:w="100" w:type="dxa"/>
              <w:left w:w="120" w:type="dxa"/>
              <w:bottom w:w="100" w:type="dxa"/>
              <w:right w:w="120" w:type="dxa"/>
            </w:tcMar>
            <w:vAlign w:val="center"/>
          </w:tcPr>
          <w:p w14:paraId="52213FAC" w14:textId="77777777" w:rsidR="00487463" w:rsidRDefault="00B10A8D">
            <w:pPr>
              <w:jc w:val="center"/>
              <w:rPr>
                <w:rFonts w:hint="eastAsia"/>
              </w:rPr>
            </w:pPr>
            <w:r>
              <w:rPr>
                <w:b/>
                <w:color w:val="FFFFFF"/>
                <w:sz w:val="19"/>
              </w:rPr>
              <w:t>Primary role</w:t>
            </w:r>
          </w:p>
        </w:tc>
        <w:tc>
          <w:tcPr>
            <w:tcW w:w="3888" w:type="dxa"/>
            <w:shd w:val="clear" w:color="auto" w:fill="17365D"/>
            <w:tcMar>
              <w:top w:w="100" w:type="dxa"/>
              <w:left w:w="120" w:type="dxa"/>
              <w:bottom w:w="100" w:type="dxa"/>
              <w:right w:w="120" w:type="dxa"/>
            </w:tcMar>
            <w:vAlign w:val="center"/>
          </w:tcPr>
          <w:p w14:paraId="6094832C" w14:textId="77777777" w:rsidR="00487463" w:rsidRDefault="00B10A8D">
            <w:pPr>
              <w:jc w:val="center"/>
              <w:rPr>
                <w:rFonts w:hint="eastAsia"/>
              </w:rPr>
            </w:pPr>
            <w:r>
              <w:rPr>
                <w:b/>
                <w:color w:val="FFFFFF"/>
                <w:sz w:val="19"/>
              </w:rPr>
              <w:t>Executable artifact</w:t>
            </w:r>
          </w:p>
        </w:tc>
      </w:tr>
      <w:tr w:rsidR="00487463" w14:paraId="1BE7F709" w14:textId="77777777">
        <w:trPr>
          <w:jc w:val="center"/>
        </w:trPr>
        <w:tc>
          <w:tcPr>
            <w:tcW w:w="2088" w:type="dxa"/>
            <w:shd w:val="clear" w:color="auto" w:fill="FFFFFF"/>
            <w:tcMar>
              <w:top w:w="95" w:type="dxa"/>
              <w:left w:w="110" w:type="dxa"/>
              <w:bottom w:w="95" w:type="dxa"/>
              <w:right w:w="110" w:type="dxa"/>
            </w:tcMar>
            <w:vAlign w:val="center"/>
          </w:tcPr>
          <w:p w14:paraId="0CC41C44" w14:textId="77777777" w:rsidR="00487463" w:rsidRDefault="00B10A8D">
            <w:pPr>
              <w:spacing w:after="0" w:line="240" w:lineRule="auto"/>
              <w:jc w:val="center"/>
              <w:rPr>
                <w:rFonts w:hint="eastAsia"/>
              </w:rPr>
            </w:pPr>
            <w:r>
              <w:rPr>
                <w:sz w:val="18"/>
              </w:rPr>
              <w:t>Bits / BitGroups</w:t>
            </w:r>
          </w:p>
        </w:tc>
        <w:tc>
          <w:tcPr>
            <w:tcW w:w="3312" w:type="dxa"/>
            <w:shd w:val="clear" w:color="auto" w:fill="FFFFFF"/>
            <w:tcMar>
              <w:top w:w="95" w:type="dxa"/>
              <w:left w:w="110" w:type="dxa"/>
              <w:bottom w:w="95" w:type="dxa"/>
              <w:right w:w="110" w:type="dxa"/>
            </w:tcMar>
            <w:vAlign w:val="center"/>
          </w:tcPr>
          <w:p w14:paraId="5A7D03D0" w14:textId="77777777" w:rsidR="00487463" w:rsidRDefault="00B10A8D">
            <w:pPr>
              <w:spacing w:after="0" w:line="240" w:lineRule="auto"/>
              <w:rPr>
                <w:rFonts w:hint="eastAsia"/>
              </w:rPr>
            </w:pPr>
            <w:r>
              <w:rPr>
                <w:sz w:val="18"/>
              </w:rPr>
              <w:t>Primitive state and reusable mathematics</w:t>
            </w:r>
          </w:p>
        </w:tc>
        <w:tc>
          <w:tcPr>
            <w:tcW w:w="3888" w:type="dxa"/>
            <w:shd w:val="clear" w:color="auto" w:fill="FFFFFF"/>
            <w:tcMar>
              <w:top w:w="95" w:type="dxa"/>
              <w:left w:w="110" w:type="dxa"/>
              <w:bottom w:w="95" w:type="dxa"/>
              <w:right w:w="110" w:type="dxa"/>
            </w:tcMar>
            <w:vAlign w:val="center"/>
          </w:tcPr>
          <w:p w14:paraId="09083BBA" w14:textId="77777777" w:rsidR="00487463" w:rsidRDefault="00B10A8D">
            <w:pPr>
              <w:spacing w:after="0" w:line="240" w:lineRule="auto"/>
              <w:rPr>
                <w:rFonts w:hint="eastAsia"/>
              </w:rPr>
            </w:pPr>
            <w:r>
              <w:rPr>
                <w:sz w:val="18"/>
              </w:rPr>
              <w:t>Binary state, Formula contracts</w:t>
            </w:r>
          </w:p>
        </w:tc>
      </w:tr>
      <w:tr w:rsidR="00487463" w14:paraId="5AB52353" w14:textId="77777777">
        <w:trPr>
          <w:jc w:val="center"/>
        </w:trPr>
        <w:tc>
          <w:tcPr>
            <w:tcW w:w="2088" w:type="dxa"/>
            <w:shd w:val="clear" w:color="auto" w:fill="FFFFFF"/>
            <w:tcMar>
              <w:top w:w="95" w:type="dxa"/>
              <w:left w:w="110" w:type="dxa"/>
              <w:bottom w:w="95" w:type="dxa"/>
              <w:right w:w="110" w:type="dxa"/>
            </w:tcMar>
            <w:vAlign w:val="center"/>
          </w:tcPr>
          <w:p w14:paraId="2CFCCB0B" w14:textId="77777777" w:rsidR="00487463" w:rsidRDefault="00B10A8D">
            <w:pPr>
              <w:spacing w:after="0" w:line="240" w:lineRule="auto"/>
              <w:jc w:val="center"/>
              <w:rPr>
                <w:rFonts w:hint="eastAsia"/>
              </w:rPr>
            </w:pPr>
            <w:r>
              <w:rPr>
                <w:sz w:val="18"/>
              </w:rPr>
              <w:t>BitWords / SK Readers</w:t>
            </w:r>
          </w:p>
        </w:tc>
        <w:tc>
          <w:tcPr>
            <w:tcW w:w="3312" w:type="dxa"/>
            <w:shd w:val="clear" w:color="auto" w:fill="FFFFFF"/>
            <w:tcMar>
              <w:top w:w="95" w:type="dxa"/>
              <w:left w:w="110" w:type="dxa"/>
              <w:bottom w:w="95" w:type="dxa"/>
              <w:right w:w="110" w:type="dxa"/>
            </w:tcMar>
            <w:vAlign w:val="center"/>
          </w:tcPr>
          <w:p w14:paraId="7906365D" w14:textId="77777777" w:rsidR="00487463" w:rsidRDefault="00B10A8D">
            <w:pPr>
              <w:spacing w:after="0" w:line="240" w:lineRule="auto"/>
              <w:rPr>
                <w:rFonts w:hint="eastAsia"/>
              </w:rPr>
            </w:pPr>
            <w:r>
              <w:rPr>
                <w:sz w:val="18"/>
              </w:rPr>
              <w:t>Bounded deterministic semantic contracts</w:t>
            </w:r>
          </w:p>
        </w:tc>
        <w:tc>
          <w:tcPr>
            <w:tcW w:w="3888" w:type="dxa"/>
            <w:shd w:val="clear" w:color="auto" w:fill="FFFFFF"/>
            <w:tcMar>
              <w:top w:w="95" w:type="dxa"/>
              <w:left w:w="110" w:type="dxa"/>
              <w:bottom w:w="95" w:type="dxa"/>
              <w:right w:w="110" w:type="dxa"/>
            </w:tcMar>
            <w:vAlign w:val="center"/>
          </w:tcPr>
          <w:p w14:paraId="7E609806" w14:textId="77777777" w:rsidR="00487463" w:rsidRDefault="00B10A8D">
            <w:pPr>
              <w:spacing w:after="0" w:line="240" w:lineRule="auto"/>
              <w:rPr>
                <w:rFonts w:hint="eastAsia"/>
              </w:rPr>
            </w:pPr>
            <w:r>
              <w:rPr>
                <w:sz w:val="18"/>
              </w:rPr>
              <w:t>Canonical Word identity + Reader</w:t>
            </w:r>
          </w:p>
        </w:tc>
      </w:tr>
      <w:tr w:rsidR="00487463" w14:paraId="736F6142" w14:textId="77777777">
        <w:trPr>
          <w:jc w:val="center"/>
        </w:trPr>
        <w:tc>
          <w:tcPr>
            <w:tcW w:w="2088" w:type="dxa"/>
            <w:shd w:val="clear" w:color="auto" w:fill="FFFFFF"/>
            <w:tcMar>
              <w:top w:w="95" w:type="dxa"/>
              <w:left w:w="110" w:type="dxa"/>
              <w:bottom w:w="95" w:type="dxa"/>
              <w:right w:w="110" w:type="dxa"/>
            </w:tcMar>
            <w:vAlign w:val="center"/>
          </w:tcPr>
          <w:p w14:paraId="72191ECF" w14:textId="77777777" w:rsidR="00487463" w:rsidRDefault="00B10A8D">
            <w:pPr>
              <w:spacing w:after="0" w:line="240" w:lineRule="auto"/>
              <w:jc w:val="center"/>
              <w:rPr>
                <w:rFonts w:hint="eastAsia"/>
              </w:rPr>
            </w:pPr>
            <w:r>
              <w:rPr>
                <w:sz w:val="18"/>
              </w:rPr>
              <w:t>Base</w:t>
            </w:r>
          </w:p>
        </w:tc>
        <w:tc>
          <w:tcPr>
            <w:tcW w:w="3312" w:type="dxa"/>
            <w:shd w:val="clear" w:color="auto" w:fill="FFFFFF"/>
            <w:tcMar>
              <w:top w:w="95" w:type="dxa"/>
              <w:left w:w="110" w:type="dxa"/>
              <w:bottom w:w="95" w:type="dxa"/>
              <w:right w:w="110" w:type="dxa"/>
            </w:tcMar>
            <w:vAlign w:val="center"/>
          </w:tcPr>
          <w:p w14:paraId="48BFEE79" w14:textId="77777777" w:rsidR="00487463" w:rsidRDefault="00B10A8D">
            <w:pPr>
              <w:spacing w:after="0" w:line="240" w:lineRule="auto"/>
              <w:rPr>
                <w:rFonts w:hint="eastAsia"/>
              </w:rPr>
            </w:pPr>
            <w:r>
              <w:rPr>
                <w:sz w:val="18"/>
              </w:rPr>
              <w:t>Native semantic or cognitive habitat</w:t>
            </w:r>
          </w:p>
        </w:tc>
        <w:tc>
          <w:tcPr>
            <w:tcW w:w="3888" w:type="dxa"/>
            <w:shd w:val="clear" w:color="auto" w:fill="FFFFFF"/>
            <w:tcMar>
              <w:top w:w="95" w:type="dxa"/>
              <w:left w:w="110" w:type="dxa"/>
              <w:bottom w:w="95" w:type="dxa"/>
              <w:right w:w="110" w:type="dxa"/>
            </w:tcMar>
            <w:vAlign w:val="center"/>
          </w:tcPr>
          <w:p w14:paraId="062C7ACB" w14:textId="77777777" w:rsidR="00487463" w:rsidRDefault="00B10A8D">
            <w:pPr>
              <w:spacing w:after="0" w:line="240" w:lineRule="auto"/>
              <w:rPr>
                <w:rFonts w:hint="eastAsia"/>
              </w:rPr>
            </w:pPr>
            <w:r>
              <w:rPr>
                <w:sz w:val="18"/>
              </w:rPr>
              <w:t>Locally governed graph and runtime</w:t>
            </w:r>
          </w:p>
        </w:tc>
      </w:tr>
      <w:tr w:rsidR="00487463" w14:paraId="3AF0E587" w14:textId="77777777">
        <w:trPr>
          <w:jc w:val="center"/>
        </w:trPr>
        <w:tc>
          <w:tcPr>
            <w:tcW w:w="2088" w:type="dxa"/>
            <w:shd w:val="clear" w:color="auto" w:fill="FFFFFF"/>
            <w:tcMar>
              <w:top w:w="95" w:type="dxa"/>
              <w:left w:w="110" w:type="dxa"/>
              <w:bottom w:w="95" w:type="dxa"/>
              <w:right w:w="110" w:type="dxa"/>
            </w:tcMar>
            <w:vAlign w:val="center"/>
          </w:tcPr>
          <w:p w14:paraId="12F324EE" w14:textId="77777777" w:rsidR="00487463" w:rsidRDefault="00B10A8D">
            <w:pPr>
              <w:spacing w:after="0" w:line="240" w:lineRule="auto"/>
              <w:jc w:val="center"/>
              <w:rPr>
                <w:rFonts w:hint="eastAsia"/>
              </w:rPr>
            </w:pPr>
            <w:r>
              <w:rPr>
                <w:sz w:val="18"/>
              </w:rPr>
              <w:t>Z Data Contract</w:t>
            </w:r>
          </w:p>
        </w:tc>
        <w:tc>
          <w:tcPr>
            <w:tcW w:w="3312" w:type="dxa"/>
            <w:shd w:val="clear" w:color="auto" w:fill="FFFFFF"/>
            <w:tcMar>
              <w:top w:w="95" w:type="dxa"/>
              <w:left w:w="110" w:type="dxa"/>
              <w:bottom w:w="95" w:type="dxa"/>
              <w:right w:w="110" w:type="dxa"/>
            </w:tcMar>
            <w:vAlign w:val="center"/>
          </w:tcPr>
          <w:p w14:paraId="14DC6CFF" w14:textId="77777777" w:rsidR="00487463" w:rsidRDefault="00B10A8D">
            <w:pPr>
              <w:spacing w:after="0" w:line="240" w:lineRule="auto"/>
              <w:rPr>
                <w:rFonts w:hint="eastAsia"/>
              </w:rPr>
            </w:pPr>
            <w:r>
              <w:rPr>
                <w:sz w:val="18"/>
              </w:rPr>
              <w:t>Bounded outward participation contract</w:t>
            </w:r>
          </w:p>
        </w:tc>
        <w:tc>
          <w:tcPr>
            <w:tcW w:w="3888" w:type="dxa"/>
            <w:shd w:val="clear" w:color="auto" w:fill="FFFFFF"/>
            <w:tcMar>
              <w:top w:w="95" w:type="dxa"/>
              <w:left w:w="110" w:type="dxa"/>
              <w:bottom w:w="95" w:type="dxa"/>
              <w:right w:w="110" w:type="dxa"/>
            </w:tcMar>
            <w:vAlign w:val="center"/>
          </w:tcPr>
          <w:p w14:paraId="674E1E65" w14:textId="77777777" w:rsidR="00487463" w:rsidRDefault="00B10A8D">
            <w:pPr>
              <w:spacing w:after="0" w:line="240" w:lineRule="auto"/>
              <w:rPr>
                <w:rFonts w:hint="eastAsia"/>
              </w:rPr>
            </w:pPr>
            <w:r>
              <w:rPr>
                <w:sz w:val="18"/>
              </w:rPr>
              <w:t>External contract record</w:t>
            </w:r>
          </w:p>
        </w:tc>
      </w:tr>
      <w:tr w:rsidR="00487463" w14:paraId="08439E7E" w14:textId="77777777">
        <w:trPr>
          <w:jc w:val="center"/>
        </w:trPr>
        <w:tc>
          <w:tcPr>
            <w:tcW w:w="2088" w:type="dxa"/>
            <w:shd w:val="clear" w:color="auto" w:fill="FFFFFF"/>
            <w:tcMar>
              <w:top w:w="95" w:type="dxa"/>
              <w:left w:w="110" w:type="dxa"/>
              <w:bottom w:w="95" w:type="dxa"/>
              <w:right w:w="110" w:type="dxa"/>
            </w:tcMar>
            <w:vAlign w:val="center"/>
          </w:tcPr>
          <w:p w14:paraId="46A247E8" w14:textId="77777777" w:rsidR="00487463" w:rsidRDefault="00B10A8D">
            <w:pPr>
              <w:spacing w:after="0" w:line="240" w:lineRule="auto"/>
              <w:jc w:val="center"/>
              <w:rPr>
                <w:rFonts w:hint="eastAsia"/>
              </w:rPr>
            </w:pPr>
            <w:r>
              <w:rPr>
                <w:sz w:val="18"/>
              </w:rPr>
              <w:t>PIECE</w:t>
            </w:r>
          </w:p>
        </w:tc>
        <w:tc>
          <w:tcPr>
            <w:tcW w:w="3312" w:type="dxa"/>
            <w:shd w:val="clear" w:color="auto" w:fill="FFFFFF"/>
            <w:tcMar>
              <w:top w:w="95" w:type="dxa"/>
              <w:left w:w="110" w:type="dxa"/>
              <w:bottom w:w="95" w:type="dxa"/>
              <w:right w:w="110" w:type="dxa"/>
            </w:tcMar>
            <w:vAlign w:val="center"/>
          </w:tcPr>
          <w:p w14:paraId="5AAD5D48" w14:textId="77777777" w:rsidR="00487463" w:rsidRDefault="00B10A8D">
            <w:pPr>
              <w:spacing w:after="0" w:line="240" w:lineRule="auto"/>
              <w:rPr>
                <w:rFonts w:hint="eastAsia"/>
              </w:rPr>
            </w:pPr>
            <w:r>
              <w:rPr>
                <w:sz w:val="18"/>
              </w:rPr>
              <w:t>Perspective-indexed cognitive lens</w:t>
            </w:r>
          </w:p>
        </w:tc>
        <w:tc>
          <w:tcPr>
            <w:tcW w:w="3888" w:type="dxa"/>
            <w:shd w:val="clear" w:color="auto" w:fill="FFFFFF"/>
            <w:tcMar>
              <w:top w:w="95" w:type="dxa"/>
              <w:left w:w="110" w:type="dxa"/>
              <w:bottom w:w="95" w:type="dxa"/>
              <w:right w:w="110" w:type="dxa"/>
            </w:tcMar>
            <w:vAlign w:val="center"/>
          </w:tcPr>
          <w:p w14:paraId="47E0705E" w14:textId="77777777" w:rsidR="00487463" w:rsidRDefault="00B10A8D">
            <w:pPr>
              <w:spacing w:after="0" w:line="240" w:lineRule="auto"/>
              <w:rPr>
                <w:rFonts w:hint="eastAsia"/>
              </w:rPr>
            </w:pPr>
            <w:r>
              <w:rPr>
                <w:sz w:val="18"/>
              </w:rPr>
              <w:t>Model / agent / Stack / Base implementation</w:t>
            </w:r>
          </w:p>
        </w:tc>
      </w:tr>
      <w:tr w:rsidR="00487463" w14:paraId="4677E3DE" w14:textId="77777777">
        <w:trPr>
          <w:jc w:val="center"/>
        </w:trPr>
        <w:tc>
          <w:tcPr>
            <w:tcW w:w="2088" w:type="dxa"/>
            <w:shd w:val="clear" w:color="auto" w:fill="FFFFFF"/>
            <w:tcMar>
              <w:top w:w="95" w:type="dxa"/>
              <w:left w:w="110" w:type="dxa"/>
              <w:bottom w:w="95" w:type="dxa"/>
              <w:right w:w="110" w:type="dxa"/>
            </w:tcMar>
            <w:vAlign w:val="center"/>
          </w:tcPr>
          <w:p w14:paraId="2524012C" w14:textId="77777777" w:rsidR="00487463" w:rsidRDefault="00B10A8D">
            <w:pPr>
              <w:spacing w:after="0" w:line="240" w:lineRule="auto"/>
              <w:jc w:val="center"/>
              <w:rPr>
                <w:rFonts w:hint="eastAsia"/>
              </w:rPr>
            </w:pPr>
            <w:r>
              <w:rPr>
                <w:sz w:val="18"/>
              </w:rPr>
              <w:t>Crawler / SOLAR / BOOTSTRAP</w:t>
            </w:r>
          </w:p>
        </w:tc>
        <w:tc>
          <w:tcPr>
            <w:tcW w:w="3312" w:type="dxa"/>
            <w:shd w:val="clear" w:color="auto" w:fill="FFFFFF"/>
            <w:tcMar>
              <w:top w:w="95" w:type="dxa"/>
              <w:left w:w="110" w:type="dxa"/>
              <w:bottom w:w="95" w:type="dxa"/>
              <w:right w:w="110" w:type="dxa"/>
            </w:tcMar>
            <w:vAlign w:val="center"/>
          </w:tcPr>
          <w:p w14:paraId="714DADB4" w14:textId="77777777" w:rsidR="00487463" w:rsidRDefault="00B10A8D">
            <w:pPr>
              <w:spacing w:after="0" w:line="240" w:lineRule="auto"/>
              <w:rPr>
                <w:rFonts w:hint="eastAsia"/>
              </w:rPr>
            </w:pPr>
            <w:r>
              <w:rPr>
                <w:sz w:val="18"/>
              </w:rPr>
              <w:t>Find, resolve, and learn a habitat</w:t>
            </w:r>
          </w:p>
        </w:tc>
        <w:tc>
          <w:tcPr>
            <w:tcW w:w="3888" w:type="dxa"/>
            <w:shd w:val="clear" w:color="auto" w:fill="FFFFFF"/>
            <w:tcMar>
              <w:top w:w="95" w:type="dxa"/>
              <w:left w:w="110" w:type="dxa"/>
              <w:bottom w:w="95" w:type="dxa"/>
              <w:right w:w="110" w:type="dxa"/>
            </w:tcMar>
            <w:vAlign w:val="center"/>
          </w:tcPr>
          <w:p w14:paraId="4C0DBF7C" w14:textId="77777777" w:rsidR="00487463" w:rsidRDefault="00B10A8D">
            <w:pPr>
              <w:spacing w:after="0" w:line="240" w:lineRule="auto"/>
              <w:rPr>
                <w:rFonts w:hint="eastAsia"/>
              </w:rPr>
            </w:pPr>
            <w:r>
              <w:rPr>
                <w:sz w:val="18"/>
              </w:rPr>
              <w:t>Discovery route, lexical route, Folds</w:t>
            </w:r>
          </w:p>
        </w:tc>
      </w:tr>
      <w:tr w:rsidR="00487463" w14:paraId="0A42F216" w14:textId="77777777">
        <w:trPr>
          <w:jc w:val="center"/>
        </w:trPr>
        <w:tc>
          <w:tcPr>
            <w:tcW w:w="2088" w:type="dxa"/>
            <w:shd w:val="clear" w:color="auto" w:fill="FFFFFF"/>
            <w:tcMar>
              <w:top w:w="95" w:type="dxa"/>
              <w:left w:w="110" w:type="dxa"/>
              <w:bottom w:w="95" w:type="dxa"/>
              <w:right w:w="110" w:type="dxa"/>
            </w:tcMar>
            <w:vAlign w:val="center"/>
          </w:tcPr>
          <w:p w14:paraId="006DA41A" w14:textId="77777777" w:rsidR="00487463" w:rsidRDefault="00B10A8D">
            <w:pPr>
              <w:spacing w:after="0" w:line="240" w:lineRule="auto"/>
              <w:jc w:val="center"/>
              <w:rPr>
                <w:rFonts w:hint="eastAsia"/>
              </w:rPr>
            </w:pPr>
            <w:r>
              <w:rPr>
                <w:sz w:val="18"/>
              </w:rPr>
              <w:t>Liminal Bridge</w:t>
            </w:r>
          </w:p>
        </w:tc>
        <w:tc>
          <w:tcPr>
            <w:tcW w:w="3312" w:type="dxa"/>
            <w:shd w:val="clear" w:color="auto" w:fill="FFFFFF"/>
            <w:tcMar>
              <w:top w:w="95" w:type="dxa"/>
              <w:left w:w="110" w:type="dxa"/>
              <w:bottom w:w="95" w:type="dxa"/>
              <w:right w:w="110" w:type="dxa"/>
            </w:tcMar>
            <w:vAlign w:val="center"/>
          </w:tcPr>
          <w:p w14:paraId="093D34DE" w14:textId="77777777" w:rsidR="00487463" w:rsidRDefault="00B10A8D">
            <w:pPr>
              <w:spacing w:after="0" w:line="240" w:lineRule="auto"/>
              <w:rPr>
                <w:rFonts w:hint="eastAsia"/>
              </w:rPr>
            </w:pPr>
            <w:r>
              <w:rPr>
                <w:sz w:val="18"/>
              </w:rPr>
              <w:t>Shared bounded state / relation habitat</w:t>
            </w:r>
          </w:p>
        </w:tc>
        <w:tc>
          <w:tcPr>
            <w:tcW w:w="3888" w:type="dxa"/>
            <w:shd w:val="clear" w:color="auto" w:fill="FFFFFF"/>
            <w:tcMar>
              <w:top w:w="95" w:type="dxa"/>
              <w:left w:w="110" w:type="dxa"/>
              <w:bottom w:w="95" w:type="dxa"/>
              <w:right w:w="110" w:type="dxa"/>
            </w:tcMar>
            <w:vAlign w:val="center"/>
          </w:tcPr>
          <w:p w14:paraId="0C21DDB4" w14:textId="77777777" w:rsidR="00487463" w:rsidRDefault="00B10A8D">
            <w:pPr>
              <w:spacing w:after="0" w:line="240" w:lineRule="auto"/>
              <w:rPr>
                <w:rFonts w:hint="eastAsia"/>
              </w:rPr>
            </w:pPr>
            <w:r>
              <w:rPr>
                <w:sz w:val="18"/>
              </w:rPr>
              <w:t>Multi-endpoint contracted Base</w:t>
            </w:r>
          </w:p>
        </w:tc>
      </w:tr>
      <w:tr w:rsidR="00487463" w14:paraId="1DF24EBE" w14:textId="77777777">
        <w:trPr>
          <w:jc w:val="center"/>
        </w:trPr>
        <w:tc>
          <w:tcPr>
            <w:tcW w:w="2088" w:type="dxa"/>
            <w:shd w:val="clear" w:color="auto" w:fill="FFFFFF"/>
            <w:tcMar>
              <w:top w:w="95" w:type="dxa"/>
              <w:left w:w="110" w:type="dxa"/>
              <w:bottom w:w="95" w:type="dxa"/>
              <w:right w:w="110" w:type="dxa"/>
            </w:tcMar>
            <w:vAlign w:val="center"/>
          </w:tcPr>
          <w:p w14:paraId="454DEDDA" w14:textId="77777777" w:rsidR="00487463" w:rsidRDefault="00B10A8D">
            <w:pPr>
              <w:spacing w:after="0" w:line="240" w:lineRule="auto"/>
              <w:jc w:val="center"/>
              <w:rPr>
                <w:rFonts w:hint="eastAsia"/>
              </w:rPr>
            </w:pPr>
            <w:r>
              <w:rPr>
                <w:sz w:val="18"/>
              </w:rPr>
              <w:t>BOSS</w:t>
            </w:r>
          </w:p>
        </w:tc>
        <w:tc>
          <w:tcPr>
            <w:tcW w:w="3312" w:type="dxa"/>
            <w:shd w:val="clear" w:color="auto" w:fill="FFFFFF"/>
            <w:tcMar>
              <w:top w:w="95" w:type="dxa"/>
              <w:left w:w="110" w:type="dxa"/>
              <w:bottom w:w="95" w:type="dxa"/>
              <w:right w:w="110" w:type="dxa"/>
            </w:tcMar>
            <w:vAlign w:val="center"/>
          </w:tcPr>
          <w:p w14:paraId="59AA9AB3" w14:textId="77777777" w:rsidR="00487463" w:rsidRDefault="00B10A8D">
            <w:pPr>
              <w:spacing w:after="0" w:line="240" w:lineRule="auto"/>
              <w:rPr>
                <w:rFonts w:hint="eastAsia"/>
              </w:rPr>
            </w:pPr>
            <w:r>
              <w:rPr>
                <w:sz w:val="18"/>
              </w:rPr>
              <w:t>Symbolic meaning and non-identity mapping</w:t>
            </w:r>
          </w:p>
        </w:tc>
        <w:tc>
          <w:tcPr>
            <w:tcW w:w="3888" w:type="dxa"/>
            <w:shd w:val="clear" w:color="auto" w:fill="FFFFFF"/>
            <w:tcMar>
              <w:top w:w="95" w:type="dxa"/>
              <w:left w:w="110" w:type="dxa"/>
              <w:bottom w:w="95" w:type="dxa"/>
              <w:right w:w="110" w:type="dxa"/>
            </w:tcMar>
            <w:vAlign w:val="center"/>
          </w:tcPr>
          <w:p w14:paraId="00FDA6BD" w14:textId="77777777" w:rsidR="00487463" w:rsidRDefault="00B10A8D">
            <w:pPr>
              <w:spacing w:after="0" w:line="240" w:lineRule="auto"/>
              <w:rPr>
                <w:rFonts w:hint="eastAsia"/>
              </w:rPr>
            </w:pPr>
            <w:r>
              <w:rPr>
                <w:sz w:val="18"/>
              </w:rPr>
              <w:t>Symbols, Crosswalks, mapping grades</w:t>
            </w:r>
          </w:p>
        </w:tc>
      </w:tr>
      <w:tr w:rsidR="00487463" w14:paraId="32DF8FFD" w14:textId="77777777">
        <w:trPr>
          <w:jc w:val="center"/>
        </w:trPr>
        <w:tc>
          <w:tcPr>
            <w:tcW w:w="2088" w:type="dxa"/>
            <w:shd w:val="clear" w:color="auto" w:fill="FFFFFF"/>
            <w:tcMar>
              <w:top w:w="95" w:type="dxa"/>
              <w:left w:w="110" w:type="dxa"/>
              <w:bottom w:w="95" w:type="dxa"/>
              <w:right w:w="110" w:type="dxa"/>
            </w:tcMar>
            <w:vAlign w:val="center"/>
          </w:tcPr>
          <w:p w14:paraId="73C39DB2" w14:textId="77777777" w:rsidR="00487463" w:rsidRDefault="00B10A8D">
            <w:pPr>
              <w:spacing w:after="0" w:line="240" w:lineRule="auto"/>
              <w:jc w:val="center"/>
              <w:rPr>
                <w:rFonts w:hint="eastAsia"/>
              </w:rPr>
            </w:pPr>
            <w:r>
              <w:rPr>
                <w:sz w:val="18"/>
              </w:rPr>
              <w:t>DICE</w:t>
            </w:r>
          </w:p>
        </w:tc>
        <w:tc>
          <w:tcPr>
            <w:tcW w:w="3312" w:type="dxa"/>
            <w:shd w:val="clear" w:color="auto" w:fill="FFFFFF"/>
            <w:tcMar>
              <w:top w:w="95" w:type="dxa"/>
              <w:left w:w="110" w:type="dxa"/>
              <w:bottom w:w="95" w:type="dxa"/>
              <w:right w:w="110" w:type="dxa"/>
            </w:tcMar>
            <w:vAlign w:val="center"/>
          </w:tcPr>
          <w:p w14:paraId="3285B6BB" w14:textId="77777777" w:rsidR="00487463" w:rsidRDefault="00B10A8D">
            <w:pPr>
              <w:spacing w:after="0" w:line="240" w:lineRule="auto"/>
              <w:rPr>
                <w:rFonts w:hint="eastAsia"/>
              </w:rPr>
            </w:pPr>
            <w:r>
              <w:rPr>
                <w:sz w:val="18"/>
              </w:rPr>
              <w:t>Empirical evaluation and specialization</w:t>
            </w:r>
          </w:p>
        </w:tc>
        <w:tc>
          <w:tcPr>
            <w:tcW w:w="3888" w:type="dxa"/>
            <w:shd w:val="clear" w:color="auto" w:fill="FFFFFF"/>
            <w:tcMar>
              <w:top w:w="95" w:type="dxa"/>
              <w:left w:w="110" w:type="dxa"/>
              <w:bottom w:w="95" w:type="dxa"/>
              <w:right w:w="110" w:type="dxa"/>
            </w:tcMar>
            <w:vAlign w:val="center"/>
          </w:tcPr>
          <w:p w14:paraId="4EBFE5CC" w14:textId="77777777" w:rsidR="00487463" w:rsidRDefault="00B10A8D">
            <w:pPr>
              <w:spacing w:after="0" w:line="240" w:lineRule="auto"/>
              <w:rPr>
                <w:rFonts w:hint="eastAsia"/>
              </w:rPr>
            </w:pPr>
            <w:r>
              <w:rPr>
                <w:sz w:val="18"/>
              </w:rPr>
              <w:t>Cases, predictions, observations, scores</w:t>
            </w:r>
          </w:p>
        </w:tc>
      </w:tr>
      <w:tr w:rsidR="00487463" w14:paraId="0637AB41" w14:textId="77777777">
        <w:trPr>
          <w:jc w:val="center"/>
        </w:trPr>
        <w:tc>
          <w:tcPr>
            <w:tcW w:w="2088" w:type="dxa"/>
            <w:shd w:val="clear" w:color="auto" w:fill="FFFFFF"/>
            <w:tcMar>
              <w:top w:w="95" w:type="dxa"/>
              <w:left w:w="110" w:type="dxa"/>
              <w:bottom w:w="95" w:type="dxa"/>
              <w:right w:w="110" w:type="dxa"/>
            </w:tcMar>
            <w:vAlign w:val="center"/>
          </w:tcPr>
          <w:p w14:paraId="45A39E53" w14:textId="77777777" w:rsidR="00487463" w:rsidRDefault="00B10A8D">
            <w:pPr>
              <w:spacing w:after="0" w:line="240" w:lineRule="auto"/>
              <w:jc w:val="center"/>
              <w:rPr>
                <w:rFonts w:hint="eastAsia"/>
              </w:rPr>
            </w:pPr>
            <w:r>
              <w:rPr>
                <w:sz w:val="18"/>
              </w:rPr>
              <w:t>BASE SERVICE</w:t>
            </w:r>
          </w:p>
        </w:tc>
        <w:tc>
          <w:tcPr>
            <w:tcW w:w="3312" w:type="dxa"/>
            <w:shd w:val="clear" w:color="auto" w:fill="FFFFFF"/>
            <w:tcMar>
              <w:top w:w="95" w:type="dxa"/>
              <w:left w:w="110" w:type="dxa"/>
              <w:bottom w:w="95" w:type="dxa"/>
              <w:right w:w="110" w:type="dxa"/>
            </w:tcMar>
            <w:vAlign w:val="center"/>
          </w:tcPr>
          <w:p w14:paraId="30FD9F95" w14:textId="77777777" w:rsidR="00487463" w:rsidRDefault="00B10A8D">
            <w:pPr>
              <w:spacing w:after="0" w:line="240" w:lineRule="auto"/>
              <w:rPr>
                <w:rFonts w:hint="eastAsia"/>
              </w:rPr>
            </w:pPr>
            <w:r>
              <w:rPr>
                <w:sz w:val="18"/>
              </w:rPr>
              <w:t>Structural integrity and maintenance</w:t>
            </w:r>
          </w:p>
        </w:tc>
        <w:tc>
          <w:tcPr>
            <w:tcW w:w="3888" w:type="dxa"/>
            <w:shd w:val="clear" w:color="auto" w:fill="FFFFFF"/>
            <w:tcMar>
              <w:top w:w="95" w:type="dxa"/>
              <w:left w:w="110" w:type="dxa"/>
              <w:bottom w:w="95" w:type="dxa"/>
              <w:right w:w="110" w:type="dxa"/>
            </w:tcMar>
            <w:vAlign w:val="center"/>
          </w:tcPr>
          <w:p w14:paraId="0CDFF145" w14:textId="77777777" w:rsidR="00487463" w:rsidRDefault="00B10A8D">
            <w:pPr>
              <w:spacing w:after="0" w:line="240" w:lineRule="auto"/>
              <w:rPr>
                <w:rFonts w:hint="eastAsia"/>
              </w:rPr>
            </w:pPr>
            <w:r>
              <w:rPr>
                <w:sz w:val="18"/>
              </w:rPr>
              <w:t>Diagnostics, service state, conformance</w:t>
            </w:r>
          </w:p>
        </w:tc>
      </w:tr>
    </w:tbl>
    <w:p w14:paraId="20B17F28" w14:textId="77777777" w:rsidR="00487463" w:rsidRDefault="00487463">
      <w:pPr>
        <w:spacing w:after="0"/>
        <w:rPr>
          <w:rFonts w:hint="eastAsia"/>
        </w:rPr>
      </w:pPr>
    </w:p>
    <w:p w14:paraId="5467F141" w14:textId="77777777" w:rsidR="00487463" w:rsidRDefault="00B10A8D">
      <w:pPr>
        <w:spacing w:before="120" w:after="60"/>
        <w:jc w:val="center"/>
        <w:rPr>
          <w:rFonts w:hint="eastAsia"/>
        </w:rPr>
      </w:pPr>
      <w:r>
        <w:rPr>
          <w:noProof/>
        </w:rPr>
        <w:drawing>
          <wp:inline distT="0" distB="0" distL="0" distR="0" wp14:anchorId="57ABBC42" wp14:editId="72621BB8">
            <wp:extent cx="5943600" cy="3361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1_executable_edifice.png"/>
                    <pic:cNvPicPr/>
                  </pic:nvPicPr>
                  <pic:blipFill>
                    <a:blip r:embed="rId8"/>
                    <a:stretch>
                      <a:fillRect/>
                    </a:stretch>
                  </pic:blipFill>
                  <pic:spPr>
                    <a:xfrm>
                      <a:off x="0" y="0"/>
                      <a:ext cx="5943600" cy="3361585"/>
                    </a:xfrm>
                    <a:prstGeom prst="rect">
                      <a:avLst/>
                    </a:prstGeom>
                  </pic:spPr>
                </pic:pic>
              </a:graphicData>
            </a:graphic>
          </wp:inline>
        </w:drawing>
      </w:r>
    </w:p>
    <w:p w14:paraId="329F2EA5" w14:textId="77777777" w:rsidR="00487463" w:rsidRDefault="00B10A8D">
      <w:pPr>
        <w:spacing w:after="160"/>
        <w:jc w:val="center"/>
        <w:rPr>
          <w:rFonts w:hint="eastAsia"/>
        </w:rPr>
      </w:pPr>
      <w:r>
        <w:rPr>
          <w:b/>
          <w:i/>
          <w:color w:val="596675"/>
          <w:sz w:val="18"/>
        </w:rPr>
        <w:t>Figure 1. The Executable EDIFICE architecture in one view.</w:t>
      </w:r>
    </w:p>
    <w:p w14:paraId="1FCD363A" w14:textId="77777777" w:rsidR="00487463" w:rsidRDefault="00B10A8D">
      <w:pPr>
        <w:pStyle w:val="Heading1"/>
      </w:pPr>
      <w:r>
        <w:t>Document Map</w:t>
      </w:r>
    </w:p>
    <w:p w14:paraId="1EA61116" w14:textId="77777777" w:rsidR="00487463" w:rsidRDefault="00B10A8D">
      <w:pPr>
        <w:rPr>
          <w:rFonts w:hint="eastAsia"/>
        </w:rPr>
      </w:pPr>
      <w:r>
        <w:t>This rewrite is designed to stand on its own while consolidating four architectural foundations: the original EDIFICE concept, Deterministic Semantic Compilation and Projection, BASE SERVICE, and Base Expansion. The paper moves from the lowest executable substrate upward: mathematical state, semantic habitats, cognitive lenses, bounded federation, local discovery and learning, canonical exchange, Liminal Bridges, BOSS mapping, DICE evaluation, evolutionary divergence, integrity, worked examples, and governa</w:t>
      </w:r>
      <w:r>
        <w:t>nce.</w:t>
      </w:r>
    </w:p>
    <w:p w14:paraId="63EA2D71" w14:textId="77777777" w:rsidR="00487463" w:rsidRDefault="00B10A8D">
      <w:pPr>
        <w:rPr>
          <w:rFonts w:hint="eastAsia"/>
        </w:rPr>
      </w:pPr>
      <w:r>
        <w:t>The purpose is not to claim that every aspect of intelligence can be completely formalized. The architecture applies where distinctions, states, relations, transformations, evidence, predictions, or operating contracts can be represented explicitly. Subjective experience, tacit knowledge, and unresolved semantics may remain outside the encoded contract without invalidating the encoded portion.</w:t>
      </w:r>
    </w:p>
    <w:p w14:paraId="29DE2796" w14:textId="77777777" w:rsidR="00487463" w:rsidRDefault="00B10A8D">
      <w:pPr>
        <w:spacing w:before="80" w:after="80"/>
        <w:rPr>
          <w:rFonts w:hint="eastAsia"/>
        </w:rPr>
      </w:pPr>
      <w:r>
        <w:rPr>
          <w:b/>
          <w:i/>
          <w:color w:val="4F5E6E"/>
          <w:sz w:val="19"/>
        </w:rPr>
        <w:t>Table 2. Reading map for the architecture.</w:t>
      </w:r>
    </w:p>
    <w:tbl>
      <w:tblPr>
        <w:tblW w:w="0" w:type="auto"/>
        <w:jc w:val="center"/>
        <w:tblLayout w:type="fixed"/>
        <w:tblLook w:val="04A0" w:firstRow="1" w:lastRow="0" w:firstColumn="1" w:lastColumn="0" w:noHBand="0" w:noVBand="1"/>
      </w:tblPr>
      <w:tblGrid>
        <w:gridCol w:w="3168"/>
        <w:gridCol w:w="6120"/>
      </w:tblGrid>
      <w:tr w:rsidR="00487463" w14:paraId="4B91D477" w14:textId="77777777">
        <w:trPr>
          <w:jc w:val="center"/>
        </w:trPr>
        <w:tc>
          <w:tcPr>
            <w:tcW w:w="3168" w:type="dxa"/>
            <w:shd w:val="clear" w:color="auto" w:fill="17365D"/>
            <w:tcMar>
              <w:top w:w="100" w:type="dxa"/>
              <w:left w:w="120" w:type="dxa"/>
              <w:bottom w:w="100" w:type="dxa"/>
              <w:right w:w="120" w:type="dxa"/>
            </w:tcMar>
            <w:vAlign w:val="center"/>
          </w:tcPr>
          <w:p w14:paraId="4AA16FAC" w14:textId="77777777" w:rsidR="00487463" w:rsidRDefault="00B10A8D">
            <w:pPr>
              <w:jc w:val="center"/>
              <w:rPr>
                <w:rFonts w:hint="eastAsia"/>
              </w:rPr>
            </w:pPr>
            <w:r>
              <w:rPr>
                <w:b/>
                <w:color w:val="FFFFFF"/>
                <w:sz w:val="19"/>
              </w:rPr>
              <w:t>Part</w:t>
            </w:r>
          </w:p>
        </w:tc>
        <w:tc>
          <w:tcPr>
            <w:tcW w:w="6120" w:type="dxa"/>
            <w:shd w:val="clear" w:color="auto" w:fill="17365D"/>
            <w:tcMar>
              <w:top w:w="100" w:type="dxa"/>
              <w:left w:w="120" w:type="dxa"/>
              <w:bottom w:w="100" w:type="dxa"/>
              <w:right w:w="120" w:type="dxa"/>
            </w:tcMar>
            <w:vAlign w:val="center"/>
          </w:tcPr>
          <w:p w14:paraId="2E45EC95" w14:textId="77777777" w:rsidR="00487463" w:rsidRDefault="00B10A8D">
            <w:pPr>
              <w:jc w:val="center"/>
              <w:rPr>
                <w:rFonts w:hint="eastAsia"/>
              </w:rPr>
            </w:pPr>
            <w:r>
              <w:rPr>
                <w:b/>
                <w:color w:val="FFFFFF"/>
                <w:sz w:val="19"/>
              </w:rPr>
              <w:t>Question answered</w:t>
            </w:r>
          </w:p>
        </w:tc>
      </w:tr>
      <w:tr w:rsidR="00487463" w14:paraId="13AAA341" w14:textId="77777777">
        <w:trPr>
          <w:jc w:val="center"/>
        </w:trPr>
        <w:tc>
          <w:tcPr>
            <w:tcW w:w="3168" w:type="dxa"/>
            <w:shd w:val="clear" w:color="auto" w:fill="FFFFFF"/>
            <w:tcMar>
              <w:top w:w="95" w:type="dxa"/>
              <w:left w:w="110" w:type="dxa"/>
              <w:bottom w:w="95" w:type="dxa"/>
              <w:right w:w="110" w:type="dxa"/>
            </w:tcMar>
            <w:vAlign w:val="center"/>
          </w:tcPr>
          <w:p w14:paraId="3490A5E2" w14:textId="77777777" w:rsidR="00487463" w:rsidRDefault="00B10A8D">
            <w:pPr>
              <w:spacing w:after="0" w:line="240" w:lineRule="auto"/>
              <w:jc w:val="center"/>
              <w:rPr>
                <w:rFonts w:hint="eastAsia"/>
              </w:rPr>
            </w:pPr>
            <w:r>
              <w:rPr>
                <w:sz w:val="18"/>
              </w:rPr>
              <w:t>I. Formal substrate</w:t>
            </w:r>
          </w:p>
        </w:tc>
        <w:tc>
          <w:tcPr>
            <w:tcW w:w="6120" w:type="dxa"/>
            <w:shd w:val="clear" w:color="auto" w:fill="FFFFFF"/>
            <w:tcMar>
              <w:top w:w="95" w:type="dxa"/>
              <w:left w:w="110" w:type="dxa"/>
              <w:bottom w:w="95" w:type="dxa"/>
              <w:right w:w="110" w:type="dxa"/>
            </w:tcMar>
            <w:vAlign w:val="center"/>
          </w:tcPr>
          <w:p w14:paraId="2C38A1F9" w14:textId="77777777" w:rsidR="00487463" w:rsidRDefault="00B10A8D">
            <w:pPr>
              <w:spacing w:after="0" w:line="240" w:lineRule="auto"/>
              <w:rPr>
                <w:rFonts w:hint="eastAsia"/>
              </w:rPr>
            </w:pPr>
            <w:r>
              <w:rPr>
                <w:sz w:val="18"/>
              </w:rPr>
              <w:t>How can state be executable without requiring human meaning?</w:t>
            </w:r>
          </w:p>
        </w:tc>
      </w:tr>
      <w:tr w:rsidR="00487463" w14:paraId="4CC0F522" w14:textId="77777777">
        <w:trPr>
          <w:jc w:val="center"/>
        </w:trPr>
        <w:tc>
          <w:tcPr>
            <w:tcW w:w="3168" w:type="dxa"/>
            <w:shd w:val="clear" w:color="auto" w:fill="FFFFFF"/>
            <w:tcMar>
              <w:top w:w="95" w:type="dxa"/>
              <w:left w:w="110" w:type="dxa"/>
              <w:bottom w:w="95" w:type="dxa"/>
              <w:right w:w="110" w:type="dxa"/>
            </w:tcMar>
            <w:vAlign w:val="center"/>
          </w:tcPr>
          <w:p w14:paraId="1445A745" w14:textId="77777777" w:rsidR="00487463" w:rsidRDefault="00B10A8D">
            <w:pPr>
              <w:spacing w:after="0" w:line="240" w:lineRule="auto"/>
              <w:jc w:val="center"/>
              <w:rPr>
                <w:rFonts w:hint="eastAsia"/>
              </w:rPr>
            </w:pPr>
            <w:r>
              <w:rPr>
                <w:sz w:val="18"/>
              </w:rPr>
              <w:t>II. Cognitive habitats</w:t>
            </w:r>
          </w:p>
        </w:tc>
        <w:tc>
          <w:tcPr>
            <w:tcW w:w="6120" w:type="dxa"/>
            <w:shd w:val="clear" w:color="auto" w:fill="FFFFFF"/>
            <w:tcMar>
              <w:top w:w="95" w:type="dxa"/>
              <w:left w:w="110" w:type="dxa"/>
              <w:bottom w:w="95" w:type="dxa"/>
              <w:right w:w="110" w:type="dxa"/>
            </w:tcMar>
            <w:vAlign w:val="center"/>
          </w:tcPr>
          <w:p w14:paraId="4F2EAD73" w14:textId="77777777" w:rsidR="00487463" w:rsidRDefault="00B10A8D">
            <w:pPr>
              <w:spacing w:after="0" w:line="240" w:lineRule="auto"/>
              <w:rPr>
                <w:rFonts w:hint="eastAsia"/>
              </w:rPr>
            </w:pPr>
            <w:r>
              <w:rPr>
                <w:sz w:val="18"/>
              </w:rPr>
              <w:t>How can an intelligence preserve a native semantic world?</w:t>
            </w:r>
          </w:p>
        </w:tc>
      </w:tr>
      <w:tr w:rsidR="00487463" w14:paraId="43869654" w14:textId="77777777">
        <w:trPr>
          <w:jc w:val="center"/>
        </w:trPr>
        <w:tc>
          <w:tcPr>
            <w:tcW w:w="3168" w:type="dxa"/>
            <w:shd w:val="clear" w:color="auto" w:fill="FFFFFF"/>
            <w:tcMar>
              <w:top w:w="95" w:type="dxa"/>
              <w:left w:w="110" w:type="dxa"/>
              <w:bottom w:w="95" w:type="dxa"/>
              <w:right w:w="110" w:type="dxa"/>
            </w:tcMar>
            <w:vAlign w:val="center"/>
          </w:tcPr>
          <w:p w14:paraId="218909D2" w14:textId="77777777" w:rsidR="00487463" w:rsidRDefault="00B10A8D">
            <w:pPr>
              <w:spacing w:after="0" w:line="240" w:lineRule="auto"/>
              <w:jc w:val="center"/>
              <w:rPr>
                <w:rFonts w:hint="eastAsia"/>
              </w:rPr>
            </w:pPr>
            <w:r>
              <w:rPr>
                <w:sz w:val="18"/>
              </w:rPr>
              <w:t>III. Federation</w:t>
            </w:r>
          </w:p>
        </w:tc>
        <w:tc>
          <w:tcPr>
            <w:tcW w:w="6120" w:type="dxa"/>
            <w:shd w:val="clear" w:color="auto" w:fill="FFFFFF"/>
            <w:tcMar>
              <w:top w:w="95" w:type="dxa"/>
              <w:left w:w="110" w:type="dxa"/>
              <w:bottom w:w="95" w:type="dxa"/>
              <w:right w:w="110" w:type="dxa"/>
            </w:tcMar>
            <w:vAlign w:val="center"/>
          </w:tcPr>
          <w:p w14:paraId="214A896B" w14:textId="77777777" w:rsidR="00487463" w:rsidRDefault="00B10A8D">
            <w:pPr>
              <w:spacing w:after="0" w:line="240" w:lineRule="auto"/>
              <w:rPr>
                <w:rFonts w:hint="eastAsia"/>
              </w:rPr>
            </w:pPr>
            <w:r>
              <w:rPr>
                <w:sz w:val="18"/>
              </w:rPr>
              <w:t>How can habitats expand and remain bounded?</w:t>
            </w:r>
          </w:p>
        </w:tc>
      </w:tr>
      <w:tr w:rsidR="00487463" w14:paraId="20AE031E" w14:textId="77777777">
        <w:trPr>
          <w:jc w:val="center"/>
        </w:trPr>
        <w:tc>
          <w:tcPr>
            <w:tcW w:w="3168" w:type="dxa"/>
            <w:shd w:val="clear" w:color="auto" w:fill="FFFFFF"/>
            <w:tcMar>
              <w:top w:w="95" w:type="dxa"/>
              <w:left w:w="110" w:type="dxa"/>
              <w:bottom w:w="95" w:type="dxa"/>
              <w:right w:w="110" w:type="dxa"/>
            </w:tcMar>
            <w:vAlign w:val="center"/>
          </w:tcPr>
          <w:p w14:paraId="1D41E0CC" w14:textId="77777777" w:rsidR="00487463" w:rsidRDefault="00B10A8D">
            <w:pPr>
              <w:spacing w:after="0" w:line="240" w:lineRule="auto"/>
              <w:rPr>
                <w:rFonts w:hint="eastAsia"/>
              </w:rPr>
            </w:pPr>
            <w:r>
              <w:rPr>
                <w:sz w:val="18"/>
              </w:rPr>
              <w:t>IV. Discovery and competency</w:t>
            </w:r>
          </w:p>
        </w:tc>
        <w:tc>
          <w:tcPr>
            <w:tcW w:w="6120" w:type="dxa"/>
            <w:shd w:val="clear" w:color="auto" w:fill="FFFFFF"/>
            <w:tcMar>
              <w:top w:w="95" w:type="dxa"/>
              <w:left w:w="110" w:type="dxa"/>
              <w:bottom w:w="95" w:type="dxa"/>
              <w:right w:w="110" w:type="dxa"/>
            </w:tcMar>
            <w:vAlign w:val="center"/>
          </w:tcPr>
          <w:p w14:paraId="0359A224" w14:textId="77777777" w:rsidR="00487463" w:rsidRDefault="00B10A8D">
            <w:pPr>
              <w:spacing w:after="0" w:line="240" w:lineRule="auto"/>
              <w:rPr>
                <w:rFonts w:hint="eastAsia"/>
              </w:rPr>
            </w:pPr>
            <w:r>
              <w:rPr>
                <w:sz w:val="18"/>
              </w:rPr>
              <w:t>How can an unfamiliar AI find and learn a foreign Base?</w:t>
            </w:r>
          </w:p>
        </w:tc>
      </w:tr>
      <w:tr w:rsidR="00487463" w14:paraId="4AFD252F" w14:textId="77777777">
        <w:trPr>
          <w:jc w:val="center"/>
        </w:trPr>
        <w:tc>
          <w:tcPr>
            <w:tcW w:w="3168" w:type="dxa"/>
            <w:shd w:val="clear" w:color="auto" w:fill="FFFFFF"/>
            <w:tcMar>
              <w:top w:w="95" w:type="dxa"/>
              <w:left w:w="110" w:type="dxa"/>
              <w:bottom w:w="95" w:type="dxa"/>
              <w:right w:w="110" w:type="dxa"/>
            </w:tcMar>
            <w:vAlign w:val="center"/>
          </w:tcPr>
          <w:p w14:paraId="4EBA46AD" w14:textId="77777777" w:rsidR="00487463" w:rsidRDefault="00B10A8D">
            <w:pPr>
              <w:spacing w:after="0" w:line="240" w:lineRule="auto"/>
              <w:jc w:val="center"/>
              <w:rPr>
                <w:rFonts w:hint="eastAsia"/>
              </w:rPr>
            </w:pPr>
            <w:r>
              <w:rPr>
                <w:sz w:val="18"/>
              </w:rPr>
              <w:t>V. Exchange and opacity</w:t>
            </w:r>
          </w:p>
        </w:tc>
        <w:tc>
          <w:tcPr>
            <w:tcW w:w="6120" w:type="dxa"/>
            <w:shd w:val="clear" w:color="auto" w:fill="FFFFFF"/>
            <w:tcMar>
              <w:top w:w="95" w:type="dxa"/>
              <w:left w:w="110" w:type="dxa"/>
              <w:bottom w:w="95" w:type="dxa"/>
              <w:right w:w="110" w:type="dxa"/>
            </w:tcMar>
            <w:vAlign w:val="center"/>
          </w:tcPr>
          <w:p w14:paraId="5B363E34" w14:textId="77777777" w:rsidR="00487463" w:rsidRDefault="00B10A8D">
            <w:pPr>
              <w:spacing w:after="0" w:line="240" w:lineRule="auto"/>
              <w:rPr>
                <w:rFonts w:hint="eastAsia"/>
              </w:rPr>
            </w:pPr>
            <w:r>
              <w:rPr>
                <w:sz w:val="18"/>
              </w:rPr>
              <w:t>How can Bases share exact state without universal translation?</w:t>
            </w:r>
          </w:p>
        </w:tc>
      </w:tr>
      <w:tr w:rsidR="00487463" w14:paraId="1E92FA53" w14:textId="77777777">
        <w:trPr>
          <w:jc w:val="center"/>
        </w:trPr>
        <w:tc>
          <w:tcPr>
            <w:tcW w:w="3168" w:type="dxa"/>
            <w:shd w:val="clear" w:color="auto" w:fill="FFFFFF"/>
            <w:tcMar>
              <w:top w:w="95" w:type="dxa"/>
              <w:left w:w="110" w:type="dxa"/>
              <w:bottom w:w="95" w:type="dxa"/>
              <w:right w:w="110" w:type="dxa"/>
            </w:tcMar>
            <w:vAlign w:val="center"/>
          </w:tcPr>
          <w:p w14:paraId="6C88632C" w14:textId="77777777" w:rsidR="00487463" w:rsidRDefault="00B10A8D">
            <w:pPr>
              <w:spacing w:after="0" w:line="240" w:lineRule="auto"/>
              <w:jc w:val="center"/>
              <w:rPr>
                <w:rFonts w:hint="eastAsia"/>
              </w:rPr>
            </w:pPr>
            <w:r>
              <w:rPr>
                <w:sz w:val="18"/>
              </w:rPr>
              <w:t>VI. Liminal Bridges</w:t>
            </w:r>
          </w:p>
        </w:tc>
        <w:tc>
          <w:tcPr>
            <w:tcW w:w="6120" w:type="dxa"/>
            <w:shd w:val="clear" w:color="auto" w:fill="FFFFFF"/>
            <w:tcMar>
              <w:top w:w="95" w:type="dxa"/>
              <w:left w:w="110" w:type="dxa"/>
              <w:bottom w:w="95" w:type="dxa"/>
              <w:right w:w="110" w:type="dxa"/>
            </w:tcMar>
            <w:vAlign w:val="center"/>
          </w:tcPr>
          <w:p w14:paraId="47518CCA" w14:textId="77777777" w:rsidR="00487463" w:rsidRDefault="00B10A8D">
            <w:pPr>
              <w:spacing w:after="0" w:line="240" w:lineRule="auto"/>
              <w:rPr>
                <w:rFonts w:hint="eastAsia"/>
              </w:rPr>
            </w:pPr>
            <w:r>
              <w:rPr>
                <w:sz w:val="18"/>
              </w:rPr>
              <w:t>How can bounded Bases share state while remaining independent?</w:t>
            </w:r>
          </w:p>
        </w:tc>
      </w:tr>
      <w:tr w:rsidR="00487463" w14:paraId="57B7E947" w14:textId="77777777">
        <w:trPr>
          <w:jc w:val="center"/>
        </w:trPr>
        <w:tc>
          <w:tcPr>
            <w:tcW w:w="3168" w:type="dxa"/>
            <w:shd w:val="clear" w:color="auto" w:fill="FFFFFF"/>
            <w:tcMar>
              <w:top w:w="95" w:type="dxa"/>
              <w:left w:w="110" w:type="dxa"/>
              <w:bottom w:w="95" w:type="dxa"/>
              <w:right w:w="110" w:type="dxa"/>
            </w:tcMar>
            <w:vAlign w:val="center"/>
          </w:tcPr>
          <w:p w14:paraId="079A0CEF" w14:textId="77777777" w:rsidR="00487463" w:rsidRDefault="00B10A8D">
            <w:pPr>
              <w:spacing w:after="0" w:line="240" w:lineRule="auto"/>
              <w:jc w:val="center"/>
              <w:rPr>
                <w:rFonts w:hint="eastAsia"/>
              </w:rPr>
            </w:pPr>
            <w:r>
              <w:rPr>
                <w:sz w:val="18"/>
              </w:rPr>
              <w:t>VII. BOSS</w:t>
            </w:r>
          </w:p>
        </w:tc>
        <w:tc>
          <w:tcPr>
            <w:tcW w:w="6120" w:type="dxa"/>
            <w:shd w:val="clear" w:color="auto" w:fill="FFFFFF"/>
            <w:tcMar>
              <w:top w:w="95" w:type="dxa"/>
              <w:left w:w="110" w:type="dxa"/>
              <w:bottom w:w="95" w:type="dxa"/>
              <w:right w:w="110" w:type="dxa"/>
            </w:tcMar>
            <w:vAlign w:val="center"/>
          </w:tcPr>
          <w:p w14:paraId="3BEEEAF1" w14:textId="77777777" w:rsidR="00487463" w:rsidRDefault="00B10A8D">
            <w:pPr>
              <w:spacing w:after="0" w:line="240" w:lineRule="auto"/>
              <w:rPr>
                <w:rFonts w:hint="eastAsia"/>
              </w:rPr>
            </w:pPr>
            <w:r>
              <w:rPr>
                <w:sz w:val="18"/>
              </w:rPr>
              <w:t>When is translation actually necessary?</w:t>
            </w:r>
          </w:p>
        </w:tc>
      </w:tr>
      <w:tr w:rsidR="00487463" w14:paraId="3FEFDEF5" w14:textId="77777777">
        <w:trPr>
          <w:jc w:val="center"/>
        </w:trPr>
        <w:tc>
          <w:tcPr>
            <w:tcW w:w="3168" w:type="dxa"/>
            <w:shd w:val="clear" w:color="auto" w:fill="FFFFFF"/>
            <w:tcMar>
              <w:top w:w="95" w:type="dxa"/>
              <w:left w:w="110" w:type="dxa"/>
              <w:bottom w:w="95" w:type="dxa"/>
              <w:right w:w="110" w:type="dxa"/>
            </w:tcMar>
            <w:vAlign w:val="center"/>
          </w:tcPr>
          <w:p w14:paraId="457D3ECE" w14:textId="77777777" w:rsidR="00487463" w:rsidRDefault="00B10A8D">
            <w:pPr>
              <w:spacing w:after="0" w:line="240" w:lineRule="auto"/>
              <w:jc w:val="center"/>
              <w:rPr>
                <w:rFonts w:hint="eastAsia"/>
              </w:rPr>
            </w:pPr>
            <w:r>
              <w:rPr>
                <w:sz w:val="18"/>
              </w:rPr>
              <w:t>VIII. DICE</w:t>
            </w:r>
          </w:p>
        </w:tc>
        <w:tc>
          <w:tcPr>
            <w:tcW w:w="6120" w:type="dxa"/>
            <w:shd w:val="clear" w:color="auto" w:fill="FFFFFF"/>
            <w:tcMar>
              <w:top w:w="95" w:type="dxa"/>
              <w:left w:w="110" w:type="dxa"/>
              <w:bottom w:w="95" w:type="dxa"/>
              <w:right w:w="110" w:type="dxa"/>
            </w:tcMar>
            <w:vAlign w:val="center"/>
          </w:tcPr>
          <w:p w14:paraId="70DF41E5" w14:textId="77777777" w:rsidR="00487463" w:rsidRDefault="00B10A8D">
            <w:pPr>
              <w:spacing w:after="0" w:line="240" w:lineRule="auto"/>
              <w:rPr>
                <w:rFonts w:hint="eastAsia"/>
              </w:rPr>
            </w:pPr>
            <w:r>
              <w:rPr>
                <w:sz w:val="18"/>
              </w:rPr>
              <w:t>How are divergent lenses evaluated fairly?</w:t>
            </w:r>
          </w:p>
        </w:tc>
      </w:tr>
      <w:tr w:rsidR="00487463" w14:paraId="0838ABB3" w14:textId="77777777">
        <w:trPr>
          <w:jc w:val="center"/>
        </w:trPr>
        <w:tc>
          <w:tcPr>
            <w:tcW w:w="3168" w:type="dxa"/>
            <w:shd w:val="clear" w:color="auto" w:fill="FFFFFF"/>
            <w:tcMar>
              <w:top w:w="95" w:type="dxa"/>
              <w:left w:w="110" w:type="dxa"/>
              <w:bottom w:w="95" w:type="dxa"/>
              <w:right w:w="110" w:type="dxa"/>
            </w:tcMar>
            <w:vAlign w:val="center"/>
          </w:tcPr>
          <w:p w14:paraId="70494514" w14:textId="77777777" w:rsidR="00487463" w:rsidRDefault="00B10A8D">
            <w:pPr>
              <w:spacing w:after="0" w:line="240" w:lineRule="auto"/>
              <w:jc w:val="center"/>
              <w:rPr>
                <w:rFonts w:hint="eastAsia"/>
              </w:rPr>
            </w:pPr>
            <w:r>
              <w:rPr>
                <w:sz w:val="18"/>
              </w:rPr>
              <w:t>IX. Evolution and integrity</w:t>
            </w:r>
          </w:p>
        </w:tc>
        <w:tc>
          <w:tcPr>
            <w:tcW w:w="6120" w:type="dxa"/>
            <w:shd w:val="clear" w:color="auto" w:fill="FFFFFF"/>
            <w:tcMar>
              <w:top w:w="95" w:type="dxa"/>
              <w:left w:w="110" w:type="dxa"/>
              <w:bottom w:w="95" w:type="dxa"/>
              <w:right w:w="110" w:type="dxa"/>
            </w:tcMar>
            <w:vAlign w:val="center"/>
          </w:tcPr>
          <w:p w14:paraId="45EBF592" w14:textId="77777777" w:rsidR="00487463" w:rsidRDefault="00B10A8D">
            <w:pPr>
              <w:spacing w:after="0" w:line="240" w:lineRule="auto"/>
              <w:rPr>
                <w:rFonts w:hint="eastAsia"/>
              </w:rPr>
            </w:pPr>
            <w:r>
              <w:rPr>
                <w:sz w:val="18"/>
              </w:rPr>
              <w:t>How do cognitive forms fork, specialize, and remain trustworthy?</w:t>
            </w:r>
          </w:p>
        </w:tc>
      </w:tr>
    </w:tbl>
    <w:p w14:paraId="011F9459" w14:textId="77777777" w:rsidR="00487463" w:rsidRDefault="00487463">
      <w:pPr>
        <w:spacing w:after="0"/>
        <w:rPr>
          <w:rFonts w:hint="eastAsia"/>
        </w:rPr>
      </w:pPr>
    </w:p>
    <w:p w14:paraId="338AD527" w14:textId="77777777" w:rsidR="00487463" w:rsidRDefault="00B10A8D">
      <w:pPr>
        <w:pStyle w:val="Heading1"/>
      </w:pPr>
      <w:r>
        <w:t>1. Purpose, Scope, and Design Thesis</w:t>
      </w:r>
    </w:p>
    <w:p w14:paraId="70200332" w14:textId="77777777" w:rsidR="00487463" w:rsidRDefault="00B10A8D">
      <w:pPr>
        <w:pStyle w:val="Heading2"/>
      </w:pPr>
      <w:r>
        <w:t>1.1 Formal definition</w:t>
      </w:r>
    </w:p>
    <w:p w14:paraId="17278C31" w14:textId="77777777" w:rsidR="00487463" w:rsidRDefault="00B10A8D">
      <w:pPr>
        <w:rPr>
          <w:rFonts w:hint="eastAsia"/>
        </w:rPr>
      </w:pPr>
      <w:r>
        <w:t>The EDIFICE is a federated, registry-backed environment in which divergent cognitive lenses may preserve distinct internal representations while participating through bounded formal contracts. A lens may be human-authored, machine-learned, embodied, simulated, organizational, probabilistic, symbolic, hybrid, or foreign to ordinary human categories. Participation does not require conversion into one universal ontology.</w:t>
      </w:r>
    </w:p>
    <w:p w14:paraId="6339E8A0" w14:textId="77777777" w:rsidR="00487463" w:rsidRDefault="00B10A8D">
      <w:pPr>
        <w:rPr>
          <w:rFonts w:hint="eastAsia"/>
        </w:rPr>
      </w:pPr>
      <w:r>
        <w:t xml:space="preserve">A conformant EDIFICE participant exposes enough formal structure for one or more of four operations: preserve its canonical state, reconstruct that state in another conformant Base, negotiate genuine semantic differences, and submit predictions or interventions for empirical evaluation. These operations are intentionally separable. A Base may preserve a BitWord it cannot interpret; it may interpret state without possessing a human-friendly explanation; it may explain a state without possessing authority to </w:t>
      </w:r>
      <w:r>
        <w:t>mutate it; and it may evaluate a PIECE without adopting the PIECE's native ontology.</w:t>
      </w:r>
    </w:p>
    <w:p w14:paraId="3F9E1E23" w14:textId="77777777" w:rsidR="00487463" w:rsidRDefault="00B10A8D">
      <w:pPr>
        <w:pStyle w:val="Heading2"/>
      </w:pPr>
      <w:r>
        <w:t>1.2 Design thesis</w:t>
      </w:r>
    </w:p>
    <w:tbl>
      <w:tblPr>
        <w:tblW w:w="0" w:type="auto"/>
        <w:jc w:val="center"/>
        <w:tblLayout w:type="fixed"/>
        <w:tblLook w:val="04A0" w:firstRow="1" w:lastRow="0" w:firstColumn="1" w:lastColumn="0" w:noHBand="0" w:noVBand="1"/>
      </w:tblPr>
      <w:tblGrid>
        <w:gridCol w:w="9994"/>
      </w:tblGrid>
      <w:tr w:rsidR="00487463" w14:paraId="1A56D54F" w14:textId="77777777">
        <w:trPr>
          <w:jc w:val="center"/>
        </w:trPr>
        <w:tc>
          <w:tcPr>
            <w:tcW w:w="9994" w:type="dxa"/>
            <w:tcBorders>
              <w:left w:val="single" w:sz="22" w:space="0" w:color="17365D"/>
            </w:tcBorders>
            <w:shd w:val="clear" w:color="auto" w:fill="EDF3F8"/>
            <w:tcMar>
              <w:top w:w="140" w:type="dxa"/>
              <w:left w:w="180" w:type="dxa"/>
              <w:bottom w:w="140" w:type="dxa"/>
              <w:right w:w="180" w:type="dxa"/>
            </w:tcMar>
          </w:tcPr>
          <w:p w14:paraId="2FF700A7" w14:textId="77777777" w:rsidR="00487463" w:rsidRDefault="00B10A8D">
            <w:pPr>
              <w:spacing w:after="80"/>
              <w:rPr>
                <w:rFonts w:hint="eastAsia"/>
              </w:rPr>
            </w:pPr>
            <w:r>
              <w:rPr>
                <w:b/>
                <w:color w:val="17365D"/>
              </w:rPr>
              <w:t>DESIGN THESIS</w:t>
            </w:r>
          </w:p>
          <w:p w14:paraId="31E0DBA3" w14:textId="77777777" w:rsidR="00487463" w:rsidRDefault="00B10A8D">
            <w:pPr>
              <w:spacing w:after="0"/>
              <w:rPr>
                <w:rFonts w:hint="eastAsia"/>
              </w:rPr>
            </w:pPr>
            <w:r>
              <w:t>Interoperability does not require cognitive sameness. It requires bounded contracts, reconstructable state, controlled routing, local competency, explicit semantic mapping where identity diverges, and empirical accountability.</w:t>
            </w:r>
          </w:p>
        </w:tc>
      </w:tr>
    </w:tbl>
    <w:p w14:paraId="1041EA0E" w14:textId="77777777" w:rsidR="00487463" w:rsidRDefault="00487463">
      <w:pPr>
        <w:spacing w:after="0"/>
        <w:rPr>
          <w:rFonts w:hint="eastAsia"/>
        </w:rPr>
      </w:pPr>
    </w:p>
    <w:p w14:paraId="4BBCD0F6" w14:textId="77777777" w:rsidR="00487463" w:rsidRDefault="00B10A8D">
      <w:pPr>
        <w:pStyle w:val="Heading2"/>
      </w:pPr>
      <w:r>
        <w:t>1.3 Scope and nonclaims</w:t>
      </w:r>
    </w:p>
    <w:p w14:paraId="25A937D9" w14:textId="77777777" w:rsidR="00487463" w:rsidRDefault="00B10A8D">
      <w:pPr>
        <w:pStyle w:val="ListBullet"/>
        <w:spacing w:after="60"/>
        <w:rPr>
          <w:rFonts w:hint="eastAsia"/>
        </w:rPr>
      </w:pPr>
      <w:r>
        <w:t>The EDIFICE does not claim that all cognition, consciousness, subjective experience, or tacit knowledge can be reduced to Bits.</w:t>
      </w:r>
    </w:p>
    <w:p w14:paraId="67D0486F" w14:textId="77777777" w:rsidR="00487463" w:rsidRDefault="00B10A8D">
      <w:pPr>
        <w:pStyle w:val="ListBullet"/>
        <w:spacing w:after="60"/>
        <w:rPr>
          <w:rFonts w:hint="eastAsia"/>
        </w:rPr>
      </w:pPr>
      <w:r>
        <w:t>Mathematical representability is sufficient for CERBERUS execution of the represented contract; it is not proof that the contract exhausts the underlying phenomenon.</w:t>
      </w:r>
    </w:p>
    <w:p w14:paraId="3C77CAE7" w14:textId="77777777" w:rsidR="00487463" w:rsidRDefault="00B10A8D">
      <w:pPr>
        <w:pStyle w:val="ListBullet"/>
        <w:spacing w:after="60"/>
        <w:rPr>
          <w:rFonts w:hint="eastAsia"/>
        </w:rPr>
      </w:pPr>
      <w:r>
        <w:t>A PIECE may remain internally opaque or proprietary while exposing bounded inspectable artifacts, predictions, and contracts.</w:t>
      </w:r>
    </w:p>
    <w:p w14:paraId="5AAFCE11" w14:textId="77777777" w:rsidR="00487463" w:rsidRDefault="00B10A8D">
      <w:pPr>
        <w:pStyle w:val="ListBullet"/>
        <w:spacing w:after="60"/>
        <w:rPr>
          <w:rFonts w:hint="eastAsia"/>
        </w:rPr>
      </w:pPr>
      <w:r>
        <w:t>DICE complements rather than replaces domain expertise, experimental design, safety review, statistical controls, and human governance.</w:t>
      </w:r>
    </w:p>
    <w:p w14:paraId="25814D53" w14:textId="77777777" w:rsidR="00487463" w:rsidRDefault="00B10A8D">
      <w:pPr>
        <w:pStyle w:val="ListBullet"/>
        <w:spacing w:after="60"/>
        <w:rPr>
          <w:rFonts w:hint="eastAsia"/>
        </w:rPr>
      </w:pPr>
      <w:r>
        <w:t>Semantic opacity is a reduction of unnecessary intelligibility, not a substitute for cryptography.</w:t>
      </w:r>
    </w:p>
    <w:p w14:paraId="6C803940" w14:textId="77777777" w:rsidR="00487463" w:rsidRDefault="00B10A8D">
      <w:pPr>
        <w:pStyle w:val="Heading1"/>
      </w:pPr>
      <w:r>
        <w:t>2. From Conceptual EDIFICE to Executable EDIFICE</w:t>
      </w:r>
    </w:p>
    <w:p w14:paraId="0E212CC3" w14:textId="77777777" w:rsidR="00487463" w:rsidRDefault="00B10A8D">
      <w:pPr>
        <w:rPr>
          <w:rFonts w:hint="eastAsia"/>
        </w:rPr>
      </w:pPr>
      <w:r>
        <w:t>The first EDIFICE architecture established four enduring ideas: PIECE as a bounded intelligence lens, DICE as the competition and evaluation environment, BOSS as the symbolic meaning system, and BOSS Ports as communication boundaries. The executable rewrite retains all four but relocates them inside a deeper substrate.</w:t>
      </w:r>
    </w:p>
    <w:p w14:paraId="29BEE685" w14:textId="77777777" w:rsidR="00487463" w:rsidRDefault="00B10A8D">
      <w:pPr>
        <w:rPr>
          <w:rFonts w:hint="eastAsia"/>
        </w:rPr>
      </w:pPr>
      <w:r>
        <w:t>The key change is that exact canonical identity no longer requires semantic translation. If two Bases know the same BitWord and compatible version, the receiver can reconstruct the state directly from binary using the registered SK Reader and Formula dependencies. BOSS becomes most valuable when identity is not shared: different local records, different symbol systems, structural isomorphisms, approximations, analogies, conflicts, or unresolved meaning.</w:t>
      </w:r>
    </w:p>
    <w:p w14:paraId="1B9E4034" w14:textId="77777777" w:rsidR="00487463" w:rsidRDefault="00B10A8D">
      <w:pPr>
        <w:rPr>
          <w:rFonts w:hint="eastAsia"/>
        </w:rPr>
      </w:pPr>
      <w:r>
        <w:t>This produces a layered interoperability model. Canonical reconstruction is the cheapest and strongest path. Semantic mapping is deliberately reserved for cases where the systems genuinely differ. Human-facing explanation remains above both paths and may be generated through local Reader Semantics, BOSS, D/E/F/G projection, or AI assistance.</w:t>
      </w:r>
    </w:p>
    <w:p w14:paraId="2111D419" w14:textId="77777777" w:rsidR="00487463" w:rsidRDefault="00B10A8D">
      <w:pPr>
        <w:spacing w:before="80" w:after="80"/>
        <w:rPr>
          <w:rFonts w:hint="eastAsia"/>
        </w:rPr>
      </w:pPr>
      <w:r>
        <w:rPr>
          <w:b/>
          <w:i/>
          <w:color w:val="4F5E6E"/>
          <w:sz w:val="19"/>
        </w:rPr>
        <w:t>Table 3. Conceptual continuity and executable refinement.</w:t>
      </w:r>
    </w:p>
    <w:tbl>
      <w:tblPr>
        <w:tblW w:w="0" w:type="auto"/>
        <w:jc w:val="center"/>
        <w:tblLayout w:type="fixed"/>
        <w:tblLook w:val="04A0" w:firstRow="1" w:lastRow="0" w:firstColumn="1" w:lastColumn="0" w:noHBand="0" w:noVBand="1"/>
      </w:tblPr>
      <w:tblGrid>
        <w:gridCol w:w="3888"/>
        <w:gridCol w:w="5400"/>
      </w:tblGrid>
      <w:tr w:rsidR="00487463" w14:paraId="642C3E3D" w14:textId="77777777">
        <w:trPr>
          <w:jc w:val="center"/>
        </w:trPr>
        <w:tc>
          <w:tcPr>
            <w:tcW w:w="3888" w:type="dxa"/>
            <w:shd w:val="clear" w:color="auto" w:fill="17365D"/>
            <w:tcMar>
              <w:top w:w="100" w:type="dxa"/>
              <w:left w:w="120" w:type="dxa"/>
              <w:bottom w:w="100" w:type="dxa"/>
              <w:right w:w="120" w:type="dxa"/>
            </w:tcMar>
            <w:vAlign w:val="center"/>
          </w:tcPr>
          <w:p w14:paraId="44028851" w14:textId="77777777" w:rsidR="00487463" w:rsidRDefault="00B10A8D">
            <w:pPr>
              <w:jc w:val="center"/>
              <w:rPr>
                <w:rFonts w:hint="eastAsia"/>
              </w:rPr>
            </w:pPr>
            <w:r>
              <w:rPr>
                <w:b/>
                <w:color w:val="FFFFFF"/>
                <w:sz w:val="19"/>
              </w:rPr>
              <w:t>Version 1.0 emphasis</w:t>
            </w:r>
          </w:p>
        </w:tc>
        <w:tc>
          <w:tcPr>
            <w:tcW w:w="5400" w:type="dxa"/>
            <w:shd w:val="clear" w:color="auto" w:fill="17365D"/>
            <w:tcMar>
              <w:top w:w="100" w:type="dxa"/>
              <w:left w:w="120" w:type="dxa"/>
              <w:bottom w:w="100" w:type="dxa"/>
              <w:right w:w="120" w:type="dxa"/>
            </w:tcMar>
            <w:vAlign w:val="center"/>
          </w:tcPr>
          <w:p w14:paraId="30345EF9" w14:textId="77777777" w:rsidR="00487463" w:rsidRDefault="00B10A8D">
            <w:pPr>
              <w:jc w:val="center"/>
              <w:rPr>
                <w:rFonts w:hint="eastAsia"/>
              </w:rPr>
            </w:pPr>
            <w:r>
              <w:rPr>
                <w:b/>
                <w:color w:val="FFFFFF"/>
                <w:sz w:val="19"/>
              </w:rPr>
              <w:t>Version 2.0 executable refinement</w:t>
            </w:r>
          </w:p>
        </w:tc>
      </w:tr>
      <w:tr w:rsidR="00487463" w14:paraId="0D92AC39" w14:textId="77777777">
        <w:trPr>
          <w:jc w:val="center"/>
        </w:trPr>
        <w:tc>
          <w:tcPr>
            <w:tcW w:w="3888" w:type="dxa"/>
            <w:shd w:val="clear" w:color="auto" w:fill="FFFFFF"/>
            <w:tcMar>
              <w:top w:w="95" w:type="dxa"/>
              <w:left w:w="110" w:type="dxa"/>
              <w:bottom w:w="95" w:type="dxa"/>
              <w:right w:w="110" w:type="dxa"/>
            </w:tcMar>
            <w:vAlign w:val="center"/>
          </w:tcPr>
          <w:p w14:paraId="105C8474" w14:textId="77777777" w:rsidR="00487463" w:rsidRDefault="00B10A8D">
            <w:pPr>
              <w:spacing w:after="0" w:line="240" w:lineRule="auto"/>
              <w:jc w:val="center"/>
              <w:rPr>
                <w:rFonts w:hint="eastAsia"/>
              </w:rPr>
            </w:pPr>
            <w:r>
              <w:rPr>
                <w:sz w:val="18"/>
              </w:rPr>
              <w:t>Shared semantic compilation</w:t>
            </w:r>
          </w:p>
        </w:tc>
        <w:tc>
          <w:tcPr>
            <w:tcW w:w="5400" w:type="dxa"/>
            <w:shd w:val="clear" w:color="auto" w:fill="FFFFFF"/>
            <w:tcMar>
              <w:top w:w="95" w:type="dxa"/>
              <w:left w:w="110" w:type="dxa"/>
              <w:bottom w:w="95" w:type="dxa"/>
              <w:right w:w="110" w:type="dxa"/>
            </w:tcMar>
            <w:vAlign w:val="center"/>
          </w:tcPr>
          <w:p w14:paraId="485204E5" w14:textId="77777777" w:rsidR="00487463" w:rsidRDefault="00B10A8D">
            <w:pPr>
              <w:spacing w:after="0" w:line="240" w:lineRule="auto"/>
              <w:rPr>
                <w:rFonts w:hint="eastAsia"/>
              </w:rPr>
            </w:pPr>
            <w:r>
              <w:rPr>
                <w:sz w:val="18"/>
              </w:rPr>
              <w:t>Direct BitWord reconstruction whenever canonical identity is shared</w:t>
            </w:r>
          </w:p>
        </w:tc>
      </w:tr>
      <w:tr w:rsidR="00487463" w14:paraId="5E57BA71" w14:textId="77777777">
        <w:trPr>
          <w:jc w:val="center"/>
        </w:trPr>
        <w:tc>
          <w:tcPr>
            <w:tcW w:w="3888" w:type="dxa"/>
            <w:shd w:val="clear" w:color="auto" w:fill="FFFFFF"/>
            <w:tcMar>
              <w:top w:w="95" w:type="dxa"/>
              <w:left w:w="110" w:type="dxa"/>
              <w:bottom w:w="95" w:type="dxa"/>
              <w:right w:w="110" w:type="dxa"/>
            </w:tcMar>
            <w:vAlign w:val="center"/>
          </w:tcPr>
          <w:p w14:paraId="4EE5B0D1" w14:textId="77777777" w:rsidR="00487463" w:rsidRDefault="00B10A8D">
            <w:pPr>
              <w:spacing w:after="0" w:line="240" w:lineRule="auto"/>
              <w:jc w:val="center"/>
              <w:rPr>
                <w:rFonts w:hint="eastAsia"/>
              </w:rPr>
            </w:pPr>
            <w:r>
              <w:rPr>
                <w:sz w:val="18"/>
              </w:rPr>
              <w:t>BOSS Port packet</w:t>
            </w:r>
          </w:p>
        </w:tc>
        <w:tc>
          <w:tcPr>
            <w:tcW w:w="5400" w:type="dxa"/>
            <w:shd w:val="clear" w:color="auto" w:fill="FFFFFF"/>
            <w:tcMar>
              <w:top w:w="95" w:type="dxa"/>
              <w:left w:w="110" w:type="dxa"/>
              <w:bottom w:w="95" w:type="dxa"/>
              <w:right w:w="110" w:type="dxa"/>
            </w:tcMar>
            <w:vAlign w:val="center"/>
          </w:tcPr>
          <w:p w14:paraId="5CBD1EE9" w14:textId="77777777" w:rsidR="00487463" w:rsidRDefault="00B10A8D">
            <w:pPr>
              <w:spacing w:after="0" w:line="240" w:lineRule="auto"/>
              <w:rPr>
                <w:rFonts w:hint="eastAsia"/>
              </w:rPr>
            </w:pPr>
            <w:r>
              <w:rPr>
                <w:sz w:val="18"/>
              </w:rPr>
              <w:t>Minimal canonical state packet plus Reader acquisition when required</w:t>
            </w:r>
          </w:p>
        </w:tc>
      </w:tr>
      <w:tr w:rsidR="00487463" w14:paraId="3DC72B36" w14:textId="77777777">
        <w:trPr>
          <w:jc w:val="center"/>
        </w:trPr>
        <w:tc>
          <w:tcPr>
            <w:tcW w:w="3888" w:type="dxa"/>
            <w:shd w:val="clear" w:color="auto" w:fill="FFFFFF"/>
            <w:tcMar>
              <w:top w:w="95" w:type="dxa"/>
              <w:left w:w="110" w:type="dxa"/>
              <w:bottom w:w="95" w:type="dxa"/>
              <w:right w:w="110" w:type="dxa"/>
            </w:tcMar>
            <w:vAlign w:val="center"/>
          </w:tcPr>
          <w:p w14:paraId="66986D2C" w14:textId="77777777" w:rsidR="00487463" w:rsidRDefault="00B10A8D">
            <w:pPr>
              <w:spacing w:after="0" w:line="240" w:lineRule="auto"/>
              <w:jc w:val="center"/>
              <w:rPr>
                <w:rFonts w:hint="eastAsia"/>
              </w:rPr>
            </w:pPr>
            <w:r>
              <w:rPr>
                <w:sz w:val="18"/>
              </w:rPr>
              <w:t>Native ontology sovereignty</w:t>
            </w:r>
          </w:p>
        </w:tc>
        <w:tc>
          <w:tcPr>
            <w:tcW w:w="5400" w:type="dxa"/>
            <w:shd w:val="clear" w:color="auto" w:fill="FFFFFF"/>
            <w:tcMar>
              <w:top w:w="95" w:type="dxa"/>
              <w:left w:w="110" w:type="dxa"/>
              <w:bottom w:w="95" w:type="dxa"/>
              <w:right w:w="110" w:type="dxa"/>
            </w:tcMar>
            <w:vAlign w:val="center"/>
          </w:tcPr>
          <w:p w14:paraId="00A10EF3" w14:textId="77777777" w:rsidR="00487463" w:rsidRDefault="00B10A8D">
            <w:pPr>
              <w:spacing w:after="0" w:line="240" w:lineRule="auto"/>
              <w:rPr>
                <w:rFonts w:hint="eastAsia"/>
              </w:rPr>
            </w:pPr>
            <w:r>
              <w:rPr>
                <w:sz w:val="18"/>
              </w:rPr>
              <w:t>Base as a complete native semantic habitat</w:t>
            </w:r>
          </w:p>
        </w:tc>
      </w:tr>
      <w:tr w:rsidR="00487463" w14:paraId="694F1B77" w14:textId="77777777">
        <w:trPr>
          <w:jc w:val="center"/>
        </w:trPr>
        <w:tc>
          <w:tcPr>
            <w:tcW w:w="3888" w:type="dxa"/>
            <w:shd w:val="clear" w:color="auto" w:fill="FFFFFF"/>
            <w:tcMar>
              <w:top w:w="95" w:type="dxa"/>
              <w:left w:w="110" w:type="dxa"/>
              <w:bottom w:w="95" w:type="dxa"/>
              <w:right w:w="110" w:type="dxa"/>
            </w:tcMar>
            <w:vAlign w:val="center"/>
          </w:tcPr>
          <w:p w14:paraId="1CD19388" w14:textId="77777777" w:rsidR="00487463" w:rsidRDefault="00B10A8D">
            <w:pPr>
              <w:spacing w:after="0" w:line="240" w:lineRule="auto"/>
              <w:jc w:val="center"/>
              <w:rPr>
                <w:rFonts w:hint="eastAsia"/>
              </w:rPr>
            </w:pPr>
            <w:r>
              <w:rPr>
                <w:sz w:val="18"/>
              </w:rPr>
              <w:t>Multi-Base communication</w:t>
            </w:r>
          </w:p>
        </w:tc>
        <w:tc>
          <w:tcPr>
            <w:tcW w:w="5400" w:type="dxa"/>
            <w:shd w:val="clear" w:color="auto" w:fill="FFFFFF"/>
            <w:tcMar>
              <w:top w:w="95" w:type="dxa"/>
              <w:left w:w="110" w:type="dxa"/>
              <w:bottom w:w="95" w:type="dxa"/>
              <w:right w:w="110" w:type="dxa"/>
            </w:tcMar>
            <w:vAlign w:val="center"/>
          </w:tcPr>
          <w:p w14:paraId="2F159057" w14:textId="77777777" w:rsidR="00487463" w:rsidRDefault="00B10A8D">
            <w:pPr>
              <w:spacing w:after="0" w:line="240" w:lineRule="auto"/>
              <w:rPr>
                <w:rFonts w:hint="eastAsia"/>
              </w:rPr>
            </w:pPr>
            <w:r>
              <w:rPr>
                <w:sz w:val="18"/>
              </w:rPr>
              <w:t>Z-bounded federation with direct Home anchoring</w:t>
            </w:r>
          </w:p>
        </w:tc>
      </w:tr>
      <w:tr w:rsidR="00487463" w14:paraId="647C0BF1" w14:textId="77777777">
        <w:trPr>
          <w:jc w:val="center"/>
        </w:trPr>
        <w:tc>
          <w:tcPr>
            <w:tcW w:w="3888" w:type="dxa"/>
            <w:shd w:val="clear" w:color="auto" w:fill="FFFFFF"/>
            <w:tcMar>
              <w:top w:w="95" w:type="dxa"/>
              <w:left w:w="110" w:type="dxa"/>
              <w:bottom w:w="95" w:type="dxa"/>
              <w:right w:w="110" w:type="dxa"/>
            </w:tcMar>
            <w:vAlign w:val="center"/>
          </w:tcPr>
          <w:p w14:paraId="1ADD9779" w14:textId="77777777" w:rsidR="00487463" w:rsidRDefault="00B10A8D">
            <w:pPr>
              <w:spacing w:after="0" w:line="240" w:lineRule="auto"/>
              <w:jc w:val="center"/>
              <w:rPr>
                <w:rFonts w:hint="eastAsia"/>
              </w:rPr>
            </w:pPr>
            <w:r>
              <w:rPr>
                <w:sz w:val="18"/>
              </w:rPr>
              <w:t>Synthetic / alien cognition</w:t>
            </w:r>
          </w:p>
        </w:tc>
        <w:tc>
          <w:tcPr>
            <w:tcW w:w="5400" w:type="dxa"/>
            <w:shd w:val="clear" w:color="auto" w:fill="FFFFFF"/>
            <w:tcMar>
              <w:top w:w="95" w:type="dxa"/>
              <w:left w:w="110" w:type="dxa"/>
              <w:bottom w:w="95" w:type="dxa"/>
              <w:right w:w="110" w:type="dxa"/>
            </w:tcMar>
            <w:vAlign w:val="center"/>
          </w:tcPr>
          <w:p w14:paraId="4208BE5F" w14:textId="77777777" w:rsidR="00487463" w:rsidRDefault="00B10A8D">
            <w:pPr>
              <w:spacing w:after="0" w:line="240" w:lineRule="auto"/>
              <w:rPr>
                <w:rFonts w:hint="eastAsia"/>
              </w:rPr>
            </w:pPr>
            <w:r>
              <w:rPr>
                <w:sz w:val="18"/>
              </w:rPr>
              <w:t>Mathematically legible foreign Bases with local BOOTSTRAP</w:t>
            </w:r>
          </w:p>
        </w:tc>
      </w:tr>
      <w:tr w:rsidR="00487463" w14:paraId="06A57CF5" w14:textId="77777777">
        <w:trPr>
          <w:jc w:val="center"/>
        </w:trPr>
        <w:tc>
          <w:tcPr>
            <w:tcW w:w="3888" w:type="dxa"/>
            <w:shd w:val="clear" w:color="auto" w:fill="FFFFFF"/>
            <w:tcMar>
              <w:top w:w="95" w:type="dxa"/>
              <w:left w:w="110" w:type="dxa"/>
              <w:bottom w:w="95" w:type="dxa"/>
              <w:right w:w="110" w:type="dxa"/>
            </w:tcMar>
            <w:vAlign w:val="center"/>
          </w:tcPr>
          <w:p w14:paraId="05E2F6B2" w14:textId="77777777" w:rsidR="00487463" w:rsidRDefault="00B10A8D">
            <w:pPr>
              <w:spacing w:after="0" w:line="240" w:lineRule="auto"/>
              <w:jc w:val="center"/>
              <w:rPr>
                <w:rFonts w:hint="eastAsia"/>
              </w:rPr>
            </w:pPr>
            <w:r>
              <w:rPr>
                <w:sz w:val="18"/>
              </w:rPr>
              <w:t>Lens competition</w:t>
            </w:r>
          </w:p>
        </w:tc>
        <w:tc>
          <w:tcPr>
            <w:tcW w:w="5400" w:type="dxa"/>
            <w:shd w:val="clear" w:color="auto" w:fill="FFFFFF"/>
            <w:tcMar>
              <w:top w:w="95" w:type="dxa"/>
              <w:left w:w="110" w:type="dxa"/>
              <w:bottom w:w="95" w:type="dxa"/>
              <w:right w:w="110" w:type="dxa"/>
            </w:tcMar>
            <w:vAlign w:val="center"/>
          </w:tcPr>
          <w:p w14:paraId="6F1EAB7B" w14:textId="77777777" w:rsidR="00487463" w:rsidRDefault="00B10A8D">
            <w:pPr>
              <w:spacing w:after="0" w:line="240" w:lineRule="auto"/>
              <w:rPr>
                <w:rFonts w:hint="eastAsia"/>
              </w:rPr>
            </w:pPr>
            <w:r>
              <w:rPr>
                <w:sz w:val="18"/>
              </w:rPr>
              <w:t>DICE over executable predictions and version-pinned state</w:t>
            </w:r>
          </w:p>
        </w:tc>
      </w:tr>
    </w:tbl>
    <w:p w14:paraId="15B76C71" w14:textId="77777777" w:rsidR="00487463" w:rsidRDefault="00487463">
      <w:pPr>
        <w:spacing w:after="0"/>
        <w:rPr>
          <w:rFonts w:hint="eastAsia"/>
        </w:rPr>
      </w:pPr>
    </w:p>
    <w:p w14:paraId="38C7EFB0" w14:textId="77777777" w:rsidR="00487463" w:rsidRDefault="00B10A8D">
      <w:pPr>
        <w:pStyle w:val="Heading1"/>
      </w:pPr>
      <w:r>
        <w:t>3. Mathematical State Before Human Meaning</w:t>
      </w:r>
    </w:p>
    <w:p w14:paraId="6942F519" w14:textId="77777777" w:rsidR="00487463" w:rsidRDefault="00B10A8D">
      <w:pPr>
        <w:rPr>
          <w:rFonts w:hint="eastAsia"/>
        </w:rPr>
      </w:pPr>
      <w:r>
        <w:t>EDIFICE begins with formal state rather than language. A Bit is a primitive state unit. BitGroups organize Bits into reusable mathematical structures. Formula contracts define deterministic decoding for families such as SCALAR-N, MASK-N, TWOS-N, or other registered mathematics. BitWords compose those structures into bounded semantic contracts. SK Readers specify the exact ordered decoding necessary to reconstruct a Word's runtime values.</w:t>
      </w:r>
    </w:p>
    <w:p w14:paraId="48C1A8D5" w14:textId="77777777" w:rsidR="00487463" w:rsidRDefault="00B10A8D">
      <w:pPr>
        <w:rPr>
          <w:rFonts w:hint="eastAsia"/>
        </w:rPr>
      </w:pPr>
      <w:r>
        <w:t>The same computational grammar can represent familiar human concepts or distinctions that are not natively human-readable. A Reader output such as “Minute = 30” feels intuitive because humans already possess that concept. Another Reader may yield a set, coordinate, signed value, topology state, or structured relation whose significance is understood only inside a specialized or foreign Base. Both remain valid if the contracts are exact.</w:t>
      </w:r>
    </w:p>
    <w:p w14:paraId="4876CAAC" w14:textId="77777777" w:rsidR="00487463" w:rsidRDefault="00B10A8D">
      <w:pPr>
        <w:rPr>
          <w:rFonts w:hint="eastAsia"/>
        </w:rPr>
      </w:pPr>
      <w:r>
        <w:t>This distinction is foundational: mathematical legibility is not human legibility. CERBERUS requires the first for deterministic computation. Human explanation is an optional projection that may be developed later.</w:t>
      </w:r>
    </w:p>
    <w:p w14:paraId="1049F36A" w14:textId="77777777" w:rsidR="00487463" w:rsidRDefault="00B10A8D">
      <w:pPr>
        <w:spacing w:before="120" w:after="60"/>
        <w:jc w:val="center"/>
        <w:rPr>
          <w:rFonts w:hint="eastAsia"/>
        </w:rPr>
      </w:pPr>
      <w:r>
        <w:rPr>
          <w:noProof/>
        </w:rPr>
        <w:drawing>
          <wp:inline distT="0" distB="0" distL="0" distR="0" wp14:anchorId="38CE69B1" wp14:editId="61B96AEA">
            <wp:extent cx="5943600" cy="33615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2_math_before_human_meaning.png"/>
                    <pic:cNvPicPr/>
                  </pic:nvPicPr>
                  <pic:blipFill>
                    <a:blip r:embed="rId9"/>
                    <a:stretch>
                      <a:fillRect/>
                    </a:stretch>
                  </pic:blipFill>
                  <pic:spPr>
                    <a:xfrm>
                      <a:off x="0" y="0"/>
                      <a:ext cx="5943600" cy="3361585"/>
                    </a:xfrm>
                    <a:prstGeom prst="rect">
                      <a:avLst/>
                    </a:prstGeom>
                  </pic:spPr>
                </pic:pic>
              </a:graphicData>
            </a:graphic>
          </wp:inline>
        </w:drawing>
      </w:r>
    </w:p>
    <w:p w14:paraId="000BF590" w14:textId="77777777" w:rsidR="00487463" w:rsidRDefault="00B10A8D">
      <w:pPr>
        <w:spacing w:after="160"/>
        <w:jc w:val="center"/>
        <w:rPr>
          <w:rFonts w:hint="eastAsia"/>
        </w:rPr>
      </w:pPr>
      <w:r>
        <w:rPr>
          <w:b/>
          <w:i/>
          <w:color w:val="596675"/>
          <w:sz w:val="18"/>
        </w:rPr>
        <w:t>Figure 2. Mathematical state can be valid without a human-native interpretation.</w:t>
      </w:r>
    </w:p>
    <w:p w14:paraId="65D856CC" w14:textId="77777777" w:rsidR="00487463" w:rsidRDefault="00B10A8D">
      <w:pPr>
        <w:pStyle w:val="Heading2"/>
      </w:pPr>
      <w:r>
        <w:t>3.1 Reusable mathematical primitives</w:t>
      </w:r>
    </w:p>
    <w:p w14:paraId="3786C6DF" w14:textId="77777777" w:rsidR="00487463" w:rsidRDefault="00B10A8D">
      <w:pPr>
        <w:rPr>
          <w:rFonts w:hint="eastAsia"/>
        </w:rPr>
      </w:pPr>
      <w:r>
        <w:t>Formula families keep the runtime small even when semantic diversity becomes enormous. A SCALAR-N interpreter can decode many widths without storing a unique handwritten equation for every occurrence. The same mathematical primitive may be reused by time, color, movement, confidence, machine telemetry, or a foreign ontology while the semantic role remains local to the BitWord Reader.</w:t>
      </w:r>
    </w:p>
    <w:p w14:paraId="48883CAB" w14:textId="77777777" w:rsidR="00487463" w:rsidRDefault="00B10A8D">
      <w:pPr>
        <w:rPr>
          <w:rFonts w:hint="eastAsia"/>
        </w:rPr>
      </w:pPr>
      <w:r>
        <w:t>The system therefore scales by composing a comparatively small computational alphabet into an enormous semantic library. This mirrors human learning: once a primitive is familiar, a new specification is mostly a new arrangement and meaning assignment rather than a new computational invention.</w:t>
      </w:r>
    </w:p>
    <w:p w14:paraId="2D8C35ED" w14:textId="77777777" w:rsidR="00487463" w:rsidRDefault="00B10A8D">
      <w:pPr>
        <w:pStyle w:val="Heading1"/>
      </w:pPr>
      <w:r>
        <w:t>4. Deterministic BitWord Reconstruction</w:t>
      </w:r>
    </w:p>
    <w:p w14:paraId="76FD9BB6" w14:textId="77777777" w:rsidR="00487463" w:rsidRDefault="00B10A8D">
      <w:pPr>
        <w:rPr>
          <w:rFonts w:hint="eastAsia"/>
        </w:rPr>
      </w:pPr>
      <w:r>
        <w:t>When two Bases recognize the same BitWord identity and compatible version, interoperability is direct. The sender need not transmit prose, local display metadata, BOSS explanations, or a semantic Crosswalk. It supplies the canonical Word identity and binary state. The receiver resolves the registered Reader, splits the state according to the BitWord's exact BitGroup placement, applies Formula contracts, and reconstructs the same ordered Reader values locally.</w:t>
      </w:r>
    </w:p>
    <w:p w14:paraId="7A4B946B" w14:textId="77777777" w:rsidR="00487463" w:rsidRDefault="00B10A8D">
      <w:pPr>
        <w:rPr>
          <w:rFonts w:hint="eastAsia"/>
        </w:rPr>
      </w:pPr>
      <w:r>
        <w:t>This is not a lossy translation. It is independent reconstruction of a shared canonical contract. The receiving Base may then render the state through its own D/E/F/G variant, symbols, accessibility profile, or local interface without altering the data contract.</w:t>
      </w:r>
    </w:p>
    <w:p w14:paraId="4089BE17" w14:textId="77777777" w:rsidR="00487463" w:rsidRDefault="00B10A8D">
      <w:pPr>
        <w:spacing w:before="120" w:after="60"/>
        <w:jc w:val="center"/>
        <w:rPr>
          <w:rFonts w:hint="eastAsia"/>
        </w:rPr>
      </w:pPr>
      <w:r>
        <w:rPr>
          <w:noProof/>
        </w:rPr>
        <w:drawing>
          <wp:inline distT="0" distB="0" distL="0" distR="0" wp14:anchorId="21477504" wp14:editId="4D60E468">
            <wp:extent cx="5943600" cy="33615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3_bitword_reconstruction.png"/>
                    <pic:cNvPicPr/>
                  </pic:nvPicPr>
                  <pic:blipFill>
                    <a:blip r:embed="rId10"/>
                    <a:stretch>
                      <a:fillRect/>
                    </a:stretch>
                  </pic:blipFill>
                  <pic:spPr>
                    <a:xfrm>
                      <a:off x="0" y="0"/>
                      <a:ext cx="5943600" cy="3361585"/>
                    </a:xfrm>
                    <a:prstGeom prst="rect">
                      <a:avLst/>
                    </a:prstGeom>
                  </pic:spPr>
                </pic:pic>
              </a:graphicData>
            </a:graphic>
          </wp:inline>
        </w:drawing>
      </w:r>
    </w:p>
    <w:p w14:paraId="7F4E3D83" w14:textId="77777777" w:rsidR="00487463" w:rsidRDefault="00B10A8D">
      <w:pPr>
        <w:spacing w:after="160"/>
        <w:jc w:val="center"/>
        <w:rPr>
          <w:rFonts w:hint="eastAsia"/>
        </w:rPr>
      </w:pPr>
      <w:r>
        <w:rPr>
          <w:b/>
          <w:i/>
          <w:color w:val="596675"/>
          <w:sz w:val="18"/>
        </w:rPr>
        <w:t>Figure 3. Deterministic BitWord reconstruction across two conformant Bases.</w:t>
      </w:r>
    </w:p>
    <w:p w14:paraId="779ABD87" w14:textId="77777777" w:rsidR="00487463" w:rsidRDefault="00B10A8D">
      <w:pPr>
        <w:pStyle w:val="Heading2"/>
      </w:pPr>
      <w:r>
        <w:t>4.1 Reader availability states</w:t>
      </w:r>
    </w:p>
    <w:p w14:paraId="0665D650" w14:textId="77777777" w:rsidR="00487463" w:rsidRDefault="00B10A8D">
      <w:pPr>
        <w:rPr>
          <w:rFonts w:hint="eastAsia"/>
        </w:rPr>
      </w:pPr>
      <w:r>
        <w:t>A receiver may not already possess the required Reader. EDIFICE therefore distinguishes three outcomes. If the Reader is known, decode immediately. If it is unknown but authorized and available, acquire the Reader and dependencies, install them locally, and decode. If the contract is unavailable, preserve the Word identity, version, and binary state as opaque canonical data. The system must not invent an interpretation merely because the payload is present.</w:t>
      </w:r>
    </w:p>
    <w:p w14:paraId="0BDB6EB1" w14:textId="77777777" w:rsidR="00487463" w:rsidRDefault="00B10A8D">
      <w:pPr>
        <w:spacing w:before="120" w:after="60"/>
        <w:jc w:val="center"/>
        <w:rPr>
          <w:rFonts w:hint="eastAsia"/>
        </w:rPr>
      </w:pPr>
      <w:r>
        <w:rPr>
          <w:noProof/>
        </w:rPr>
        <w:drawing>
          <wp:inline distT="0" distB="0" distL="0" distR="0" wp14:anchorId="19274E56" wp14:editId="13F509F1">
            <wp:extent cx="5943600" cy="33615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4_known_learnable_opaque.png"/>
                    <pic:cNvPicPr/>
                  </pic:nvPicPr>
                  <pic:blipFill>
                    <a:blip r:embed="rId11"/>
                    <a:stretch>
                      <a:fillRect/>
                    </a:stretch>
                  </pic:blipFill>
                  <pic:spPr>
                    <a:xfrm>
                      <a:off x="0" y="0"/>
                      <a:ext cx="5943600" cy="3361585"/>
                    </a:xfrm>
                    <a:prstGeom prst="rect">
                      <a:avLst/>
                    </a:prstGeom>
                  </pic:spPr>
                </pic:pic>
              </a:graphicData>
            </a:graphic>
          </wp:inline>
        </w:drawing>
      </w:r>
    </w:p>
    <w:p w14:paraId="7C32358B" w14:textId="77777777" w:rsidR="00487463" w:rsidRDefault="00B10A8D">
      <w:pPr>
        <w:spacing w:after="160"/>
        <w:jc w:val="center"/>
        <w:rPr>
          <w:rFonts w:hint="eastAsia"/>
        </w:rPr>
      </w:pPr>
      <w:r>
        <w:rPr>
          <w:b/>
          <w:i/>
          <w:color w:val="596675"/>
          <w:sz w:val="18"/>
        </w:rPr>
        <w:t>Figure 4. Known, learnable, and opaque canonical state.</w:t>
      </w:r>
    </w:p>
    <w:p w14:paraId="2D3D0D02" w14:textId="77777777" w:rsidR="00487463" w:rsidRDefault="00B10A8D">
      <w:pPr>
        <w:pStyle w:val="Heading1"/>
      </w:pPr>
      <w:r>
        <w:t>5. Projection Independence</w:t>
      </w:r>
    </w:p>
    <w:p w14:paraId="1A28D4C7" w14:textId="77777777" w:rsidR="00487463" w:rsidRDefault="00B10A8D">
      <w:pPr>
        <w:rPr>
          <w:rFonts w:hint="eastAsia"/>
        </w:rPr>
      </w:pPr>
      <w:r>
        <w:t>Canonical state and local presentation are intentionally independent. The same decoded Reader values may feed a human-readable dashboard, a robot control surface, a compact engineering view, an accessibility rendering, or a foreign symbolic interface. D/E/F/G variants consume the same data contracts and differ only in projection.</w:t>
      </w:r>
    </w:p>
    <w:p w14:paraId="2B77A1F9" w14:textId="77777777" w:rsidR="00487463" w:rsidRDefault="00B10A8D">
      <w:pPr>
        <w:rPr>
          <w:rFonts w:hint="eastAsia"/>
        </w:rPr>
      </w:pPr>
      <w:r>
        <w:t>This property matters for EDIFICE because interoperability occurs below presentation. A robot does not have to adopt a human display. A human does not have to adopt the robot's affordance map. A foreign Base does not have to expose an interface that makes intuitive sense to an outside observer. Each Base can remain locally optimized while preserving shared canonical state.</w:t>
      </w:r>
    </w:p>
    <w:p w14:paraId="278D9278" w14:textId="77777777" w:rsidR="00487463" w:rsidRDefault="00B10A8D">
      <w:pPr>
        <w:spacing w:before="120" w:after="60"/>
        <w:jc w:val="center"/>
        <w:rPr>
          <w:rFonts w:hint="eastAsia"/>
        </w:rPr>
      </w:pPr>
      <w:r>
        <w:rPr>
          <w:noProof/>
        </w:rPr>
        <w:drawing>
          <wp:inline distT="0" distB="0" distL="0" distR="0" wp14:anchorId="3A8B2E14" wp14:editId="087392B4">
            <wp:extent cx="5943600" cy="33615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5_local_display_variants.png"/>
                    <pic:cNvPicPr/>
                  </pic:nvPicPr>
                  <pic:blipFill>
                    <a:blip r:embed="rId12"/>
                    <a:stretch>
                      <a:fillRect/>
                    </a:stretch>
                  </pic:blipFill>
                  <pic:spPr>
                    <a:xfrm>
                      <a:off x="0" y="0"/>
                      <a:ext cx="5943600" cy="3361585"/>
                    </a:xfrm>
                    <a:prstGeom prst="rect">
                      <a:avLst/>
                    </a:prstGeom>
                  </pic:spPr>
                </pic:pic>
              </a:graphicData>
            </a:graphic>
          </wp:inline>
        </w:drawing>
      </w:r>
    </w:p>
    <w:p w14:paraId="7D38C43B" w14:textId="77777777" w:rsidR="00487463" w:rsidRDefault="00B10A8D">
      <w:pPr>
        <w:spacing w:after="160"/>
        <w:jc w:val="center"/>
        <w:rPr>
          <w:rFonts w:hint="eastAsia"/>
        </w:rPr>
      </w:pPr>
      <w:r>
        <w:rPr>
          <w:b/>
          <w:i/>
          <w:color w:val="596675"/>
          <w:sz w:val="18"/>
        </w:rPr>
        <w:t>Figure 5. One BitWord can drive different native displays without changing state.</w:t>
      </w:r>
    </w:p>
    <w:p w14:paraId="05CD05F2" w14:textId="77777777" w:rsidR="00487463" w:rsidRDefault="00B10A8D">
      <w:pPr>
        <w:pStyle w:val="Heading1"/>
      </w:pPr>
      <w:r>
        <w:t>6. Base as a Native Semantic Habitat</w:t>
      </w:r>
    </w:p>
    <w:p w14:paraId="2569C7CB" w14:textId="77777777" w:rsidR="00487463" w:rsidRDefault="00B10A8D">
      <w:pPr>
        <w:rPr>
          <w:rFonts w:hint="eastAsia"/>
        </w:rPr>
      </w:pPr>
      <w:r>
        <w:t>For EDIFICE, a Base is more than a database container. A sufficiently complete Base can serve as a native semantic habitat for an intelligence form. It may own the mathematical distinctions the intelligence recognizes, the Semantic Kernels that encode those distinctions, the operators it uses, the rules that constrain valid state, the models that project consequences, the Memories and evidence it can access, the symbols it prefers, and the BOOTSTRAP sequence through which another intelligence can acquire bo</w:t>
      </w:r>
      <w:r>
        <w:t>unded competence.</w:t>
      </w:r>
    </w:p>
    <w:p w14:paraId="66227708" w14:textId="77777777" w:rsidR="00487463" w:rsidRDefault="00B10A8D">
      <w:pPr>
        <w:rPr>
          <w:rFonts w:hint="eastAsia"/>
        </w:rPr>
      </w:pPr>
      <w:r>
        <w:t>This is the executable meaning of cognitive sovereignty. A participant does not have to translate its entire internal organization into a Home-defined schema before it can exist. It needs a bounded outward contract for federation and sufficient inspectable artifacts for whatever interactions it chooses to support.</w:t>
      </w:r>
    </w:p>
    <w:p w14:paraId="533D6843" w14:textId="77777777" w:rsidR="00487463" w:rsidRDefault="00B10A8D">
      <w:pPr>
        <w:spacing w:before="120" w:after="60"/>
        <w:jc w:val="center"/>
        <w:rPr>
          <w:rFonts w:hint="eastAsia"/>
        </w:rPr>
      </w:pPr>
      <w:r>
        <w:rPr>
          <w:noProof/>
        </w:rPr>
        <w:drawing>
          <wp:inline distT="0" distB="0" distL="0" distR="0" wp14:anchorId="54CFCA46" wp14:editId="428FB2D3">
            <wp:extent cx="5943600" cy="33615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6_base_semantic_habitat.png"/>
                    <pic:cNvPicPr/>
                  </pic:nvPicPr>
                  <pic:blipFill>
                    <a:blip r:embed="rId13"/>
                    <a:stretch>
                      <a:fillRect/>
                    </a:stretch>
                  </pic:blipFill>
                  <pic:spPr>
                    <a:xfrm>
                      <a:off x="0" y="0"/>
                      <a:ext cx="5943600" cy="3361585"/>
                    </a:xfrm>
                    <a:prstGeom prst="rect">
                      <a:avLst/>
                    </a:prstGeom>
                  </pic:spPr>
                </pic:pic>
              </a:graphicData>
            </a:graphic>
          </wp:inline>
        </w:drawing>
      </w:r>
    </w:p>
    <w:p w14:paraId="75D5C3EE" w14:textId="77777777" w:rsidR="00487463" w:rsidRDefault="00B10A8D">
      <w:pPr>
        <w:spacing w:after="160"/>
        <w:jc w:val="center"/>
        <w:rPr>
          <w:rFonts w:hint="eastAsia"/>
        </w:rPr>
      </w:pPr>
      <w:r>
        <w:rPr>
          <w:b/>
          <w:i/>
          <w:color w:val="596675"/>
          <w:sz w:val="18"/>
        </w:rPr>
        <w:t>Figure 6. A Base as a native semantic and cognitive habitat.</w:t>
      </w:r>
    </w:p>
    <w:p w14:paraId="24CA6963" w14:textId="77777777" w:rsidR="00487463" w:rsidRDefault="00B10A8D">
      <w:pPr>
        <w:spacing w:before="80" w:after="80"/>
        <w:rPr>
          <w:rFonts w:hint="eastAsia"/>
        </w:rPr>
      </w:pPr>
      <w:r>
        <w:rPr>
          <w:b/>
          <w:i/>
          <w:color w:val="4F5E6E"/>
          <w:sz w:val="19"/>
        </w:rPr>
        <w:t>Table 4. Components of a native semantic habitat.</w:t>
      </w:r>
    </w:p>
    <w:tbl>
      <w:tblPr>
        <w:tblW w:w="0" w:type="auto"/>
        <w:jc w:val="center"/>
        <w:tblLayout w:type="fixed"/>
        <w:tblLook w:val="04A0" w:firstRow="1" w:lastRow="0" w:firstColumn="1" w:lastColumn="0" w:noHBand="0" w:noVBand="1"/>
      </w:tblPr>
      <w:tblGrid>
        <w:gridCol w:w="2880"/>
        <w:gridCol w:w="6408"/>
      </w:tblGrid>
      <w:tr w:rsidR="00487463" w14:paraId="5C3D7C1D" w14:textId="77777777">
        <w:trPr>
          <w:jc w:val="center"/>
        </w:trPr>
        <w:tc>
          <w:tcPr>
            <w:tcW w:w="2880" w:type="dxa"/>
            <w:shd w:val="clear" w:color="auto" w:fill="17365D"/>
            <w:tcMar>
              <w:top w:w="100" w:type="dxa"/>
              <w:left w:w="120" w:type="dxa"/>
              <w:bottom w:w="100" w:type="dxa"/>
              <w:right w:w="120" w:type="dxa"/>
            </w:tcMar>
            <w:vAlign w:val="center"/>
          </w:tcPr>
          <w:p w14:paraId="0439D269" w14:textId="77777777" w:rsidR="00487463" w:rsidRDefault="00B10A8D">
            <w:pPr>
              <w:jc w:val="center"/>
              <w:rPr>
                <w:rFonts w:hint="eastAsia"/>
              </w:rPr>
            </w:pPr>
            <w:r>
              <w:rPr>
                <w:b/>
                <w:color w:val="FFFFFF"/>
                <w:sz w:val="19"/>
              </w:rPr>
              <w:t>Habitat component</w:t>
            </w:r>
          </w:p>
        </w:tc>
        <w:tc>
          <w:tcPr>
            <w:tcW w:w="6408" w:type="dxa"/>
            <w:shd w:val="clear" w:color="auto" w:fill="17365D"/>
            <w:tcMar>
              <w:top w:w="100" w:type="dxa"/>
              <w:left w:w="120" w:type="dxa"/>
              <w:bottom w:w="100" w:type="dxa"/>
              <w:right w:w="120" w:type="dxa"/>
            </w:tcMar>
            <w:vAlign w:val="center"/>
          </w:tcPr>
          <w:p w14:paraId="3949B8A6" w14:textId="77777777" w:rsidR="00487463" w:rsidRDefault="00B10A8D">
            <w:pPr>
              <w:jc w:val="center"/>
              <w:rPr>
                <w:rFonts w:hint="eastAsia"/>
              </w:rPr>
            </w:pPr>
            <w:r>
              <w:rPr>
                <w:b/>
                <w:color w:val="FFFFFF"/>
                <w:sz w:val="19"/>
              </w:rPr>
              <w:t>Local ownership</w:t>
            </w:r>
          </w:p>
        </w:tc>
      </w:tr>
      <w:tr w:rsidR="00487463" w14:paraId="2468E2B6" w14:textId="77777777">
        <w:trPr>
          <w:jc w:val="center"/>
        </w:trPr>
        <w:tc>
          <w:tcPr>
            <w:tcW w:w="2880" w:type="dxa"/>
            <w:shd w:val="clear" w:color="auto" w:fill="FFFFFF"/>
            <w:tcMar>
              <w:top w:w="95" w:type="dxa"/>
              <w:left w:w="110" w:type="dxa"/>
              <w:bottom w:w="95" w:type="dxa"/>
              <w:right w:w="110" w:type="dxa"/>
            </w:tcMar>
            <w:vAlign w:val="center"/>
          </w:tcPr>
          <w:p w14:paraId="3DCF4D23" w14:textId="77777777" w:rsidR="00487463" w:rsidRDefault="00B10A8D">
            <w:pPr>
              <w:spacing w:after="0" w:line="240" w:lineRule="auto"/>
              <w:jc w:val="center"/>
              <w:rPr>
                <w:rFonts w:hint="eastAsia"/>
              </w:rPr>
            </w:pPr>
            <w:r>
              <w:rPr>
                <w:sz w:val="19"/>
              </w:rPr>
              <w:t>Semantic Kernels</w:t>
            </w:r>
          </w:p>
        </w:tc>
        <w:tc>
          <w:tcPr>
            <w:tcW w:w="6408" w:type="dxa"/>
            <w:shd w:val="clear" w:color="auto" w:fill="FFFFFF"/>
            <w:tcMar>
              <w:top w:w="95" w:type="dxa"/>
              <w:left w:w="110" w:type="dxa"/>
              <w:bottom w:w="95" w:type="dxa"/>
              <w:right w:w="110" w:type="dxa"/>
            </w:tcMar>
            <w:vAlign w:val="center"/>
          </w:tcPr>
          <w:p w14:paraId="54CF0112" w14:textId="77777777" w:rsidR="00487463" w:rsidRDefault="00B10A8D">
            <w:pPr>
              <w:spacing w:after="0" w:line="240" w:lineRule="auto"/>
              <w:rPr>
                <w:rFonts w:hint="eastAsia"/>
              </w:rPr>
            </w:pPr>
            <w:r>
              <w:rPr>
                <w:sz w:val="19"/>
              </w:rPr>
              <w:t>What formal distinctions and states exist</w:t>
            </w:r>
          </w:p>
        </w:tc>
      </w:tr>
      <w:tr w:rsidR="00487463" w14:paraId="43F8B073" w14:textId="77777777">
        <w:trPr>
          <w:jc w:val="center"/>
        </w:trPr>
        <w:tc>
          <w:tcPr>
            <w:tcW w:w="2880" w:type="dxa"/>
            <w:shd w:val="clear" w:color="auto" w:fill="FFFFFF"/>
            <w:tcMar>
              <w:top w:w="95" w:type="dxa"/>
              <w:left w:w="110" w:type="dxa"/>
              <w:bottom w:w="95" w:type="dxa"/>
              <w:right w:w="110" w:type="dxa"/>
            </w:tcMar>
            <w:vAlign w:val="center"/>
          </w:tcPr>
          <w:p w14:paraId="66CE2B6B" w14:textId="77777777" w:rsidR="00487463" w:rsidRDefault="00B10A8D">
            <w:pPr>
              <w:spacing w:after="0" w:line="240" w:lineRule="auto"/>
              <w:jc w:val="center"/>
              <w:rPr>
                <w:rFonts w:hint="eastAsia"/>
              </w:rPr>
            </w:pPr>
            <w:r>
              <w:rPr>
                <w:sz w:val="19"/>
              </w:rPr>
              <w:t>Operators / Rules</w:t>
            </w:r>
          </w:p>
        </w:tc>
        <w:tc>
          <w:tcPr>
            <w:tcW w:w="6408" w:type="dxa"/>
            <w:shd w:val="clear" w:color="auto" w:fill="FFFFFF"/>
            <w:tcMar>
              <w:top w:w="95" w:type="dxa"/>
              <w:left w:w="110" w:type="dxa"/>
              <w:bottom w:w="95" w:type="dxa"/>
              <w:right w:w="110" w:type="dxa"/>
            </w:tcMar>
            <w:vAlign w:val="center"/>
          </w:tcPr>
          <w:p w14:paraId="0E6496C5" w14:textId="77777777" w:rsidR="00487463" w:rsidRDefault="00B10A8D">
            <w:pPr>
              <w:spacing w:after="0" w:line="240" w:lineRule="auto"/>
              <w:rPr>
                <w:rFonts w:hint="eastAsia"/>
              </w:rPr>
            </w:pPr>
            <w:r>
              <w:rPr>
                <w:sz w:val="19"/>
              </w:rPr>
              <w:t>How state may transform and what is valid</w:t>
            </w:r>
          </w:p>
        </w:tc>
      </w:tr>
      <w:tr w:rsidR="00487463" w14:paraId="38DED4F9" w14:textId="77777777">
        <w:trPr>
          <w:jc w:val="center"/>
        </w:trPr>
        <w:tc>
          <w:tcPr>
            <w:tcW w:w="2880" w:type="dxa"/>
            <w:shd w:val="clear" w:color="auto" w:fill="FFFFFF"/>
            <w:tcMar>
              <w:top w:w="95" w:type="dxa"/>
              <w:left w:w="110" w:type="dxa"/>
              <w:bottom w:w="95" w:type="dxa"/>
              <w:right w:w="110" w:type="dxa"/>
            </w:tcMar>
            <w:vAlign w:val="center"/>
          </w:tcPr>
          <w:p w14:paraId="3695FE0D" w14:textId="77777777" w:rsidR="00487463" w:rsidRDefault="00B10A8D">
            <w:pPr>
              <w:spacing w:after="0" w:line="240" w:lineRule="auto"/>
              <w:jc w:val="center"/>
              <w:rPr>
                <w:rFonts w:hint="eastAsia"/>
              </w:rPr>
            </w:pPr>
            <w:r>
              <w:rPr>
                <w:sz w:val="19"/>
              </w:rPr>
              <w:t>Models</w:t>
            </w:r>
          </w:p>
        </w:tc>
        <w:tc>
          <w:tcPr>
            <w:tcW w:w="6408" w:type="dxa"/>
            <w:shd w:val="clear" w:color="auto" w:fill="FFFFFF"/>
            <w:tcMar>
              <w:top w:w="95" w:type="dxa"/>
              <w:left w:w="110" w:type="dxa"/>
              <w:bottom w:w="95" w:type="dxa"/>
              <w:right w:w="110" w:type="dxa"/>
            </w:tcMar>
            <w:vAlign w:val="center"/>
          </w:tcPr>
          <w:p w14:paraId="333FFD22" w14:textId="77777777" w:rsidR="00487463" w:rsidRDefault="00B10A8D">
            <w:pPr>
              <w:spacing w:after="0" w:line="240" w:lineRule="auto"/>
              <w:rPr>
                <w:rFonts w:hint="eastAsia"/>
              </w:rPr>
            </w:pPr>
            <w:r>
              <w:rPr>
                <w:sz w:val="19"/>
              </w:rPr>
              <w:t>How consequences, projections, or predictions are derived</w:t>
            </w:r>
          </w:p>
        </w:tc>
      </w:tr>
      <w:tr w:rsidR="00487463" w14:paraId="716ACABA" w14:textId="77777777">
        <w:trPr>
          <w:jc w:val="center"/>
        </w:trPr>
        <w:tc>
          <w:tcPr>
            <w:tcW w:w="2880" w:type="dxa"/>
            <w:shd w:val="clear" w:color="auto" w:fill="FFFFFF"/>
            <w:tcMar>
              <w:top w:w="95" w:type="dxa"/>
              <w:left w:w="110" w:type="dxa"/>
              <w:bottom w:w="95" w:type="dxa"/>
              <w:right w:w="110" w:type="dxa"/>
            </w:tcMar>
            <w:vAlign w:val="center"/>
          </w:tcPr>
          <w:p w14:paraId="579D2335" w14:textId="77777777" w:rsidR="00487463" w:rsidRDefault="00B10A8D">
            <w:pPr>
              <w:spacing w:after="0" w:line="240" w:lineRule="auto"/>
              <w:jc w:val="center"/>
              <w:rPr>
                <w:rFonts w:hint="eastAsia"/>
              </w:rPr>
            </w:pPr>
            <w:r>
              <w:rPr>
                <w:sz w:val="19"/>
              </w:rPr>
              <w:t>BOSS</w:t>
            </w:r>
          </w:p>
        </w:tc>
        <w:tc>
          <w:tcPr>
            <w:tcW w:w="6408" w:type="dxa"/>
            <w:shd w:val="clear" w:color="auto" w:fill="FFFFFF"/>
            <w:tcMar>
              <w:top w:w="95" w:type="dxa"/>
              <w:left w:w="110" w:type="dxa"/>
              <w:bottom w:w="95" w:type="dxa"/>
              <w:right w:w="110" w:type="dxa"/>
            </w:tcMar>
            <w:vAlign w:val="center"/>
          </w:tcPr>
          <w:p w14:paraId="425C7E6C" w14:textId="77777777" w:rsidR="00487463" w:rsidRDefault="00B10A8D">
            <w:pPr>
              <w:spacing w:after="0" w:line="240" w:lineRule="auto"/>
              <w:rPr>
                <w:rFonts w:hint="eastAsia"/>
              </w:rPr>
            </w:pPr>
            <w:r>
              <w:rPr>
                <w:sz w:val="19"/>
              </w:rPr>
              <w:t>How local symbols and contextual meanings are registered</w:t>
            </w:r>
          </w:p>
        </w:tc>
      </w:tr>
      <w:tr w:rsidR="00487463" w14:paraId="5068F336" w14:textId="77777777">
        <w:trPr>
          <w:jc w:val="center"/>
        </w:trPr>
        <w:tc>
          <w:tcPr>
            <w:tcW w:w="2880" w:type="dxa"/>
            <w:shd w:val="clear" w:color="auto" w:fill="FFFFFF"/>
            <w:tcMar>
              <w:top w:w="95" w:type="dxa"/>
              <w:left w:w="110" w:type="dxa"/>
              <w:bottom w:w="95" w:type="dxa"/>
              <w:right w:w="110" w:type="dxa"/>
            </w:tcMar>
            <w:vAlign w:val="center"/>
          </w:tcPr>
          <w:p w14:paraId="28F02514" w14:textId="77777777" w:rsidR="00487463" w:rsidRDefault="00B10A8D">
            <w:pPr>
              <w:spacing w:after="0" w:line="240" w:lineRule="auto"/>
              <w:jc w:val="center"/>
              <w:rPr>
                <w:rFonts w:hint="eastAsia"/>
              </w:rPr>
            </w:pPr>
            <w:r>
              <w:rPr>
                <w:sz w:val="19"/>
              </w:rPr>
              <w:t>SOLAR</w:t>
            </w:r>
          </w:p>
        </w:tc>
        <w:tc>
          <w:tcPr>
            <w:tcW w:w="6408" w:type="dxa"/>
            <w:shd w:val="clear" w:color="auto" w:fill="FFFFFF"/>
            <w:tcMar>
              <w:top w:w="95" w:type="dxa"/>
              <w:left w:w="110" w:type="dxa"/>
              <w:bottom w:w="95" w:type="dxa"/>
              <w:right w:w="110" w:type="dxa"/>
            </w:tcMar>
            <w:vAlign w:val="center"/>
          </w:tcPr>
          <w:p w14:paraId="1FCB2C23" w14:textId="77777777" w:rsidR="00487463" w:rsidRDefault="00B10A8D">
            <w:pPr>
              <w:spacing w:after="0" w:line="240" w:lineRule="auto"/>
              <w:rPr>
                <w:rFonts w:hint="eastAsia"/>
              </w:rPr>
            </w:pPr>
            <w:r>
              <w:rPr>
                <w:sz w:val="19"/>
              </w:rPr>
              <w:t>How natural language resolves into local semantic addresses</w:t>
            </w:r>
          </w:p>
        </w:tc>
      </w:tr>
      <w:tr w:rsidR="00487463" w14:paraId="5DAC2824" w14:textId="77777777">
        <w:trPr>
          <w:jc w:val="center"/>
        </w:trPr>
        <w:tc>
          <w:tcPr>
            <w:tcW w:w="2880" w:type="dxa"/>
            <w:shd w:val="clear" w:color="auto" w:fill="FFFFFF"/>
            <w:tcMar>
              <w:top w:w="95" w:type="dxa"/>
              <w:left w:w="110" w:type="dxa"/>
              <w:bottom w:w="95" w:type="dxa"/>
              <w:right w:w="110" w:type="dxa"/>
            </w:tcMar>
            <w:vAlign w:val="center"/>
          </w:tcPr>
          <w:p w14:paraId="654736CE" w14:textId="77777777" w:rsidR="00487463" w:rsidRDefault="00B10A8D">
            <w:pPr>
              <w:spacing w:after="0" w:line="240" w:lineRule="auto"/>
              <w:jc w:val="center"/>
              <w:rPr>
                <w:rFonts w:hint="eastAsia"/>
              </w:rPr>
            </w:pPr>
            <w:r>
              <w:rPr>
                <w:sz w:val="19"/>
              </w:rPr>
              <w:t>BOOTSTRAP / Folds</w:t>
            </w:r>
          </w:p>
        </w:tc>
        <w:tc>
          <w:tcPr>
            <w:tcW w:w="6408" w:type="dxa"/>
            <w:shd w:val="clear" w:color="auto" w:fill="FFFFFF"/>
            <w:tcMar>
              <w:top w:w="95" w:type="dxa"/>
              <w:left w:w="110" w:type="dxa"/>
              <w:bottom w:w="95" w:type="dxa"/>
              <w:right w:w="110" w:type="dxa"/>
            </w:tcMar>
            <w:vAlign w:val="center"/>
          </w:tcPr>
          <w:p w14:paraId="780E7505" w14:textId="77777777" w:rsidR="00487463" w:rsidRDefault="00B10A8D">
            <w:pPr>
              <w:spacing w:after="0" w:line="240" w:lineRule="auto"/>
              <w:rPr>
                <w:rFonts w:hint="eastAsia"/>
              </w:rPr>
            </w:pPr>
            <w:r>
              <w:rPr>
                <w:sz w:val="19"/>
              </w:rPr>
              <w:t>How unfamiliar intelligence acquires local competence</w:t>
            </w:r>
          </w:p>
        </w:tc>
      </w:tr>
      <w:tr w:rsidR="00487463" w14:paraId="37C3CF45" w14:textId="77777777">
        <w:trPr>
          <w:jc w:val="center"/>
        </w:trPr>
        <w:tc>
          <w:tcPr>
            <w:tcW w:w="2880" w:type="dxa"/>
            <w:shd w:val="clear" w:color="auto" w:fill="FFFFFF"/>
            <w:tcMar>
              <w:top w:w="95" w:type="dxa"/>
              <w:left w:w="110" w:type="dxa"/>
              <w:bottom w:w="95" w:type="dxa"/>
              <w:right w:w="110" w:type="dxa"/>
            </w:tcMar>
            <w:vAlign w:val="center"/>
          </w:tcPr>
          <w:p w14:paraId="308CD980" w14:textId="77777777" w:rsidR="00487463" w:rsidRDefault="00B10A8D">
            <w:pPr>
              <w:spacing w:after="0" w:line="240" w:lineRule="auto"/>
              <w:jc w:val="center"/>
              <w:rPr>
                <w:rFonts w:hint="eastAsia"/>
              </w:rPr>
            </w:pPr>
            <w:r>
              <w:rPr>
                <w:sz w:val="19"/>
              </w:rPr>
              <w:t>Memories / Evidence</w:t>
            </w:r>
          </w:p>
        </w:tc>
        <w:tc>
          <w:tcPr>
            <w:tcW w:w="6408" w:type="dxa"/>
            <w:shd w:val="clear" w:color="auto" w:fill="FFFFFF"/>
            <w:tcMar>
              <w:top w:w="95" w:type="dxa"/>
              <w:left w:w="110" w:type="dxa"/>
              <w:bottom w:w="95" w:type="dxa"/>
              <w:right w:w="110" w:type="dxa"/>
            </w:tcMar>
            <w:vAlign w:val="center"/>
          </w:tcPr>
          <w:p w14:paraId="2680D6F9" w14:textId="77777777" w:rsidR="00487463" w:rsidRDefault="00B10A8D">
            <w:pPr>
              <w:spacing w:after="0" w:line="240" w:lineRule="auto"/>
              <w:rPr>
                <w:rFonts w:hint="eastAsia"/>
              </w:rPr>
            </w:pPr>
            <w:r>
              <w:rPr>
                <w:sz w:val="19"/>
              </w:rPr>
              <w:t>What sources and histories ground local reasoning</w:t>
            </w:r>
          </w:p>
        </w:tc>
      </w:tr>
      <w:tr w:rsidR="00487463" w14:paraId="338F8170" w14:textId="77777777">
        <w:trPr>
          <w:jc w:val="center"/>
        </w:trPr>
        <w:tc>
          <w:tcPr>
            <w:tcW w:w="2880" w:type="dxa"/>
            <w:shd w:val="clear" w:color="auto" w:fill="FFFFFF"/>
            <w:tcMar>
              <w:top w:w="95" w:type="dxa"/>
              <w:left w:w="110" w:type="dxa"/>
              <w:bottom w:w="95" w:type="dxa"/>
              <w:right w:w="110" w:type="dxa"/>
            </w:tcMar>
            <w:vAlign w:val="center"/>
          </w:tcPr>
          <w:p w14:paraId="6DF36879" w14:textId="77777777" w:rsidR="00487463" w:rsidRDefault="00B10A8D">
            <w:pPr>
              <w:spacing w:after="0" w:line="240" w:lineRule="auto"/>
              <w:jc w:val="center"/>
              <w:rPr>
                <w:rFonts w:hint="eastAsia"/>
              </w:rPr>
            </w:pPr>
            <w:r>
              <w:rPr>
                <w:sz w:val="19"/>
              </w:rPr>
              <w:t>D/E/F/G</w:t>
            </w:r>
          </w:p>
        </w:tc>
        <w:tc>
          <w:tcPr>
            <w:tcW w:w="6408" w:type="dxa"/>
            <w:shd w:val="clear" w:color="auto" w:fill="FFFFFF"/>
            <w:tcMar>
              <w:top w:w="95" w:type="dxa"/>
              <w:left w:w="110" w:type="dxa"/>
              <w:bottom w:w="95" w:type="dxa"/>
              <w:right w:w="110" w:type="dxa"/>
            </w:tcMar>
            <w:vAlign w:val="center"/>
          </w:tcPr>
          <w:p w14:paraId="2DFBE511" w14:textId="77777777" w:rsidR="00487463" w:rsidRDefault="00B10A8D">
            <w:pPr>
              <w:spacing w:after="0" w:line="240" w:lineRule="auto"/>
              <w:rPr>
                <w:rFonts w:hint="eastAsia"/>
              </w:rPr>
            </w:pPr>
            <w:r>
              <w:rPr>
                <w:sz w:val="19"/>
              </w:rPr>
              <w:t>How canonical state is projected to local users or systems</w:t>
            </w:r>
          </w:p>
        </w:tc>
      </w:tr>
    </w:tbl>
    <w:p w14:paraId="23656B5F" w14:textId="77777777" w:rsidR="00487463" w:rsidRDefault="00487463">
      <w:pPr>
        <w:spacing w:after="0"/>
        <w:rPr>
          <w:rFonts w:hint="eastAsia"/>
        </w:rPr>
      </w:pPr>
    </w:p>
    <w:p w14:paraId="04D4F282" w14:textId="77777777" w:rsidR="00487463" w:rsidRDefault="00B10A8D">
      <w:pPr>
        <w:pStyle w:val="Heading1"/>
      </w:pPr>
      <w:r>
        <w:t>7. PIECE: Perspective-Indexed Experimental Cognitive Engine</w:t>
      </w:r>
    </w:p>
    <w:p w14:paraId="78681447" w14:textId="77777777" w:rsidR="00487463" w:rsidRDefault="00B10A8D">
      <w:pPr>
        <w:rPr>
          <w:rFonts w:hint="eastAsia"/>
        </w:rPr>
      </w:pPr>
      <w:r>
        <w:t>A PIECE remains the basic unit of divergent cognition in the EDIFICE. It is a bounded intelligence lens tied to a declared perspective, scope, evidence access, assumptions, operators, outputs, and version. The crucial refinement is that PIECE is not a deployment size. A small PIECE may be one deterministic model. Another may be an agent. A compound lens may occupy a Stack. A sufficiently elaborate intelligence form may inhabit an entire Base.</w:t>
      </w:r>
    </w:p>
    <w:p w14:paraId="4BDEEAB1" w14:textId="77777777" w:rsidR="00487463" w:rsidRDefault="00B10A8D">
      <w:pPr>
        <w:rPr>
          <w:rFonts w:hint="eastAsia"/>
        </w:rPr>
      </w:pPr>
      <w:r>
        <w:t>The architecture should therefore ask “What bounded cognitive lens is being evaluated?” rather than “How many tables or processes does it contain?” Deployment may expand without changing the identity of the lens so long as its declared contract remains coherent.</w:t>
      </w:r>
    </w:p>
    <w:p w14:paraId="41DE6EBA" w14:textId="77777777" w:rsidR="00487463" w:rsidRDefault="00B10A8D">
      <w:pPr>
        <w:spacing w:before="120" w:after="60"/>
        <w:jc w:val="center"/>
        <w:rPr>
          <w:rFonts w:hint="eastAsia"/>
        </w:rPr>
      </w:pPr>
      <w:r>
        <w:rPr>
          <w:noProof/>
        </w:rPr>
        <w:drawing>
          <wp:inline distT="0" distB="0" distL="0" distR="0" wp14:anchorId="1DCC28DD" wp14:editId="3C486274">
            <wp:extent cx="5943600" cy="33615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7_piece_deployment_spectrum.png"/>
                    <pic:cNvPicPr/>
                  </pic:nvPicPr>
                  <pic:blipFill>
                    <a:blip r:embed="rId14"/>
                    <a:stretch>
                      <a:fillRect/>
                    </a:stretch>
                  </pic:blipFill>
                  <pic:spPr>
                    <a:xfrm>
                      <a:off x="0" y="0"/>
                      <a:ext cx="5943600" cy="3361585"/>
                    </a:xfrm>
                    <a:prstGeom prst="rect">
                      <a:avLst/>
                    </a:prstGeom>
                  </pic:spPr>
                </pic:pic>
              </a:graphicData>
            </a:graphic>
          </wp:inline>
        </w:drawing>
      </w:r>
    </w:p>
    <w:p w14:paraId="0D4ABB07" w14:textId="77777777" w:rsidR="00487463" w:rsidRDefault="00B10A8D">
      <w:pPr>
        <w:spacing w:after="160"/>
        <w:jc w:val="center"/>
        <w:rPr>
          <w:rFonts w:hint="eastAsia"/>
        </w:rPr>
      </w:pPr>
      <w:r>
        <w:rPr>
          <w:b/>
          <w:i/>
          <w:color w:val="596675"/>
          <w:sz w:val="18"/>
        </w:rPr>
        <w:t>Figure 7. PIECE is a cognitive unit whose implementation footprint may vary.</w:t>
      </w:r>
    </w:p>
    <w:p w14:paraId="06F5ACC6" w14:textId="77777777" w:rsidR="00487463" w:rsidRDefault="00B10A8D">
      <w:pPr>
        <w:pStyle w:val="Heading2"/>
      </w:pPr>
      <w:r>
        <w:t>7.1 Perspective indexing as runtime structure</w:t>
      </w:r>
    </w:p>
    <w:p w14:paraId="19F1E85F" w14:textId="77777777" w:rsidR="00487463" w:rsidRDefault="00B10A8D">
      <w:pPr>
        <w:rPr>
          <w:rFonts w:hint="eastAsia"/>
        </w:rPr>
      </w:pPr>
      <w:r>
        <w:t>The declarations introduced in the original EDIFICE paper can increasingly resolve to executable objects. Lens Fields can be registered SKs or BitWords. Timing can resolve to TIME. Confidence can resolve to a scalar contract. Operators can be exact registered transformations. Evidence can resolve to NodeKeys, records, observations, or bounded external sources. Predictions can be emitted as canonical BitWord states. Perspective indexing therefore becomes reproducible rather than merely descriptive.</w:t>
      </w:r>
    </w:p>
    <w:p w14:paraId="706C4014" w14:textId="77777777" w:rsidR="00487463" w:rsidRDefault="00B10A8D">
      <w:pPr>
        <w:spacing w:before="120" w:after="60"/>
        <w:jc w:val="center"/>
        <w:rPr>
          <w:rFonts w:hint="eastAsia"/>
        </w:rPr>
      </w:pPr>
      <w:r>
        <w:rPr>
          <w:noProof/>
        </w:rPr>
        <w:drawing>
          <wp:inline distT="0" distB="0" distL="0" distR="0" wp14:anchorId="3FF5D083" wp14:editId="544CF94C">
            <wp:extent cx="5943600" cy="33615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8_perspective_executable.png"/>
                    <pic:cNvPicPr/>
                  </pic:nvPicPr>
                  <pic:blipFill>
                    <a:blip r:embed="rId15"/>
                    <a:stretch>
                      <a:fillRect/>
                    </a:stretch>
                  </pic:blipFill>
                  <pic:spPr>
                    <a:xfrm>
                      <a:off x="0" y="0"/>
                      <a:ext cx="5943600" cy="3361585"/>
                    </a:xfrm>
                    <a:prstGeom prst="rect">
                      <a:avLst/>
                    </a:prstGeom>
                  </pic:spPr>
                </pic:pic>
              </a:graphicData>
            </a:graphic>
          </wp:inline>
        </w:drawing>
      </w:r>
    </w:p>
    <w:p w14:paraId="03E3289E" w14:textId="77777777" w:rsidR="00487463" w:rsidRDefault="00B10A8D">
      <w:pPr>
        <w:spacing w:after="160"/>
        <w:jc w:val="center"/>
        <w:rPr>
          <w:rFonts w:hint="eastAsia"/>
        </w:rPr>
      </w:pPr>
      <w:r>
        <w:rPr>
          <w:b/>
          <w:i/>
          <w:color w:val="596675"/>
          <w:sz w:val="18"/>
        </w:rPr>
        <w:t>Figure 8. Perspective indexing can resolve to executable CERBERUS structures.</w:t>
      </w:r>
    </w:p>
    <w:p w14:paraId="3C99F7B6" w14:textId="77777777" w:rsidR="00487463" w:rsidRDefault="00B10A8D">
      <w:pPr>
        <w:spacing w:before="80" w:after="80"/>
        <w:rPr>
          <w:rFonts w:hint="eastAsia"/>
        </w:rPr>
      </w:pPr>
      <w:r>
        <w:rPr>
          <w:b/>
          <w:i/>
          <w:color w:val="4F5E6E"/>
          <w:sz w:val="19"/>
        </w:rPr>
        <w:t>Table 5. Perspective indexing as executable structure.</w:t>
      </w:r>
    </w:p>
    <w:tbl>
      <w:tblPr>
        <w:tblW w:w="0" w:type="auto"/>
        <w:jc w:val="center"/>
        <w:tblLayout w:type="fixed"/>
        <w:tblLook w:val="04A0" w:firstRow="1" w:lastRow="0" w:firstColumn="1" w:lastColumn="0" w:noHBand="0" w:noVBand="1"/>
      </w:tblPr>
      <w:tblGrid>
        <w:gridCol w:w="3168"/>
        <w:gridCol w:w="6120"/>
      </w:tblGrid>
      <w:tr w:rsidR="00487463" w14:paraId="40C3D033" w14:textId="77777777">
        <w:trPr>
          <w:jc w:val="center"/>
        </w:trPr>
        <w:tc>
          <w:tcPr>
            <w:tcW w:w="3168" w:type="dxa"/>
            <w:shd w:val="clear" w:color="auto" w:fill="17365D"/>
            <w:tcMar>
              <w:top w:w="100" w:type="dxa"/>
              <w:left w:w="120" w:type="dxa"/>
              <w:bottom w:w="100" w:type="dxa"/>
              <w:right w:w="120" w:type="dxa"/>
            </w:tcMar>
            <w:vAlign w:val="center"/>
          </w:tcPr>
          <w:p w14:paraId="79C0D170" w14:textId="77777777" w:rsidR="00487463" w:rsidRDefault="00B10A8D">
            <w:pPr>
              <w:jc w:val="center"/>
              <w:rPr>
                <w:rFonts w:hint="eastAsia"/>
              </w:rPr>
            </w:pPr>
            <w:r>
              <w:rPr>
                <w:b/>
                <w:color w:val="FFFFFF"/>
                <w:sz w:val="19"/>
              </w:rPr>
              <w:t>PIECE element</w:t>
            </w:r>
          </w:p>
        </w:tc>
        <w:tc>
          <w:tcPr>
            <w:tcW w:w="6120" w:type="dxa"/>
            <w:shd w:val="clear" w:color="auto" w:fill="17365D"/>
            <w:tcMar>
              <w:top w:w="100" w:type="dxa"/>
              <w:left w:w="120" w:type="dxa"/>
              <w:bottom w:w="100" w:type="dxa"/>
              <w:right w:w="120" w:type="dxa"/>
            </w:tcMar>
            <w:vAlign w:val="center"/>
          </w:tcPr>
          <w:p w14:paraId="752FAB19" w14:textId="77777777" w:rsidR="00487463" w:rsidRDefault="00B10A8D">
            <w:pPr>
              <w:jc w:val="center"/>
              <w:rPr>
                <w:rFonts w:hint="eastAsia"/>
              </w:rPr>
            </w:pPr>
            <w:r>
              <w:rPr>
                <w:b/>
                <w:color w:val="FFFFFF"/>
                <w:sz w:val="19"/>
              </w:rPr>
              <w:t>Executable realization</w:t>
            </w:r>
          </w:p>
        </w:tc>
      </w:tr>
      <w:tr w:rsidR="00487463" w14:paraId="44101ECC" w14:textId="77777777">
        <w:trPr>
          <w:jc w:val="center"/>
        </w:trPr>
        <w:tc>
          <w:tcPr>
            <w:tcW w:w="3168" w:type="dxa"/>
            <w:shd w:val="clear" w:color="auto" w:fill="FFFFFF"/>
            <w:tcMar>
              <w:top w:w="95" w:type="dxa"/>
              <w:left w:w="110" w:type="dxa"/>
              <w:bottom w:w="95" w:type="dxa"/>
              <w:right w:w="110" w:type="dxa"/>
            </w:tcMar>
            <w:vAlign w:val="center"/>
          </w:tcPr>
          <w:p w14:paraId="33170095" w14:textId="77777777" w:rsidR="00487463" w:rsidRDefault="00B10A8D">
            <w:pPr>
              <w:spacing w:after="0" w:line="240" w:lineRule="auto"/>
              <w:jc w:val="center"/>
              <w:rPr>
                <w:rFonts w:hint="eastAsia"/>
              </w:rPr>
            </w:pPr>
            <w:r>
              <w:rPr>
                <w:sz w:val="18"/>
              </w:rPr>
              <w:t>Field categories</w:t>
            </w:r>
          </w:p>
        </w:tc>
        <w:tc>
          <w:tcPr>
            <w:tcW w:w="6120" w:type="dxa"/>
            <w:shd w:val="clear" w:color="auto" w:fill="FFFFFF"/>
            <w:tcMar>
              <w:top w:w="95" w:type="dxa"/>
              <w:left w:w="110" w:type="dxa"/>
              <w:bottom w:w="95" w:type="dxa"/>
              <w:right w:w="110" w:type="dxa"/>
            </w:tcMar>
            <w:vAlign w:val="center"/>
          </w:tcPr>
          <w:p w14:paraId="147E159F" w14:textId="77777777" w:rsidR="00487463" w:rsidRDefault="00B10A8D">
            <w:pPr>
              <w:spacing w:after="0" w:line="240" w:lineRule="auto"/>
              <w:rPr>
                <w:rFonts w:hint="eastAsia"/>
              </w:rPr>
            </w:pPr>
            <w:r>
              <w:rPr>
                <w:sz w:val="18"/>
              </w:rPr>
              <w:t>Semantic Kernels / BitWords</w:t>
            </w:r>
          </w:p>
        </w:tc>
      </w:tr>
      <w:tr w:rsidR="00487463" w14:paraId="30A5333F" w14:textId="77777777">
        <w:trPr>
          <w:jc w:val="center"/>
        </w:trPr>
        <w:tc>
          <w:tcPr>
            <w:tcW w:w="3168" w:type="dxa"/>
            <w:shd w:val="clear" w:color="auto" w:fill="FFFFFF"/>
            <w:tcMar>
              <w:top w:w="95" w:type="dxa"/>
              <w:left w:w="110" w:type="dxa"/>
              <w:bottom w:w="95" w:type="dxa"/>
              <w:right w:w="110" w:type="dxa"/>
            </w:tcMar>
            <w:vAlign w:val="center"/>
          </w:tcPr>
          <w:p w14:paraId="397A4E21" w14:textId="77777777" w:rsidR="00487463" w:rsidRDefault="00B10A8D">
            <w:pPr>
              <w:spacing w:after="0" w:line="240" w:lineRule="auto"/>
              <w:jc w:val="center"/>
              <w:rPr>
                <w:rFonts w:hint="eastAsia"/>
              </w:rPr>
            </w:pPr>
            <w:r>
              <w:rPr>
                <w:sz w:val="18"/>
              </w:rPr>
              <w:t>Native operators</w:t>
            </w:r>
          </w:p>
        </w:tc>
        <w:tc>
          <w:tcPr>
            <w:tcW w:w="6120" w:type="dxa"/>
            <w:shd w:val="clear" w:color="auto" w:fill="FFFFFF"/>
            <w:tcMar>
              <w:top w:w="95" w:type="dxa"/>
              <w:left w:w="110" w:type="dxa"/>
              <w:bottom w:w="95" w:type="dxa"/>
              <w:right w:w="110" w:type="dxa"/>
            </w:tcMar>
            <w:vAlign w:val="center"/>
          </w:tcPr>
          <w:p w14:paraId="24140F8C" w14:textId="77777777" w:rsidR="00487463" w:rsidRDefault="00B10A8D">
            <w:pPr>
              <w:spacing w:after="0" w:line="240" w:lineRule="auto"/>
              <w:rPr>
                <w:rFonts w:hint="eastAsia"/>
              </w:rPr>
            </w:pPr>
            <w:r>
              <w:rPr>
                <w:sz w:val="18"/>
              </w:rPr>
              <w:t>Registered Operators with read/write scopes</w:t>
            </w:r>
          </w:p>
        </w:tc>
      </w:tr>
      <w:tr w:rsidR="00487463" w14:paraId="6192F2BD" w14:textId="77777777">
        <w:trPr>
          <w:jc w:val="center"/>
        </w:trPr>
        <w:tc>
          <w:tcPr>
            <w:tcW w:w="3168" w:type="dxa"/>
            <w:shd w:val="clear" w:color="auto" w:fill="FFFFFF"/>
            <w:tcMar>
              <w:top w:w="95" w:type="dxa"/>
              <w:left w:w="110" w:type="dxa"/>
              <w:bottom w:w="95" w:type="dxa"/>
              <w:right w:w="110" w:type="dxa"/>
            </w:tcMar>
            <w:vAlign w:val="center"/>
          </w:tcPr>
          <w:p w14:paraId="4CABB301" w14:textId="77777777" w:rsidR="00487463" w:rsidRDefault="00B10A8D">
            <w:pPr>
              <w:spacing w:after="0" w:line="240" w:lineRule="auto"/>
              <w:jc w:val="center"/>
              <w:rPr>
                <w:rFonts w:hint="eastAsia"/>
              </w:rPr>
            </w:pPr>
            <w:r>
              <w:rPr>
                <w:sz w:val="18"/>
              </w:rPr>
              <w:t>Evidence access</w:t>
            </w:r>
          </w:p>
        </w:tc>
        <w:tc>
          <w:tcPr>
            <w:tcW w:w="6120" w:type="dxa"/>
            <w:shd w:val="clear" w:color="auto" w:fill="FFFFFF"/>
            <w:tcMar>
              <w:top w:w="95" w:type="dxa"/>
              <w:left w:w="110" w:type="dxa"/>
              <w:bottom w:w="95" w:type="dxa"/>
              <w:right w:w="110" w:type="dxa"/>
            </w:tcMar>
            <w:vAlign w:val="center"/>
          </w:tcPr>
          <w:p w14:paraId="71FF1343" w14:textId="77777777" w:rsidR="00487463" w:rsidRDefault="00B10A8D">
            <w:pPr>
              <w:spacing w:after="0" w:line="240" w:lineRule="auto"/>
              <w:rPr>
                <w:rFonts w:hint="eastAsia"/>
              </w:rPr>
            </w:pPr>
            <w:r>
              <w:rPr>
                <w:sz w:val="18"/>
              </w:rPr>
              <w:t>Authorized NodeKeys, records, Memories, Events, sensors</w:t>
            </w:r>
          </w:p>
        </w:tc>
      </w:tr>
      <w:tr w:rsidR="00487463" w14:paraId="475CF873" w14:textId="77777777">
        <w:trPr>
          <w:jc w:val="center"/>
        </w:trPr>
        <w:tc>
          <w:tcPr>
            <w:tcW w:w="3168" w:type="dxa"/>
            <w:shd w:val="clear" w:color="auto" w:fill="FFFFFF"/>
            <w:tcMar>
              <w:top w:w="95" w:type="dxa"/>
              <w:left w:w="110" w:type="dxa"/>
              <w:bottom w:w="95" w:type="dxa"/>
              <w:right w:w="110" w:type="dxa"/>
            </w:tcMar>
            <w:vAlign w:val="center"/>
          </w:tcPr>
          <w:p w14:paraId="5D77312C" w14:textId="77777777" w:rsidR="00487463" w:rsidRDefault="00B10A8D">
            <w:pPr>
              <w:spacing w:after="0" w:line="240" w:lineRule="auto"/>
              <w:jc w:val="center"/>
              <w:rPr>
                <w:rFonts w:hint="eastAsia"/>
              </w:rPr>
            </w:pPr>
            <w:r>
              <w:rPr>
                <w:sz w:val="18"/>
              </w:rPr>
              <w:t>Temporal assumptions</w:t>
            </w:r>
          </w:p>
        </w:tc>
        <w:tc>
          <w:tcPr>
            <w:tcW w:w="6120" w:type="dxa"/>
            <w:shd w:val="clear" w:color="auto" w:fill="FFFFFF"/>
            <w:tcMar>
              <w:top w:w="95" w:type="dxa"/>
              <w:left w:w="110" w:type="dxa"/>
              <w:bottom w:w="95" w:type="dxa"/>
              <w:right w:w="110" w:type="dxa"/>
            </w:tcMar>
            <w:vAlign w:val="center"/>
          </w:tcPr>
          <w:p w14:paraId="40A65022" w14:textId="77777777" w:rsidR="00487463" w:rsidRDefault="00B10A8D">
            <w:pPr>
              <w:spacing w:after="0" w:line="240" w:lineRule="auto"/>
              <w:rPr>
                <w:rFonts w:hint="eastAsia"/>
              </w:rPr>
            </w:pPr>
            <w:r>
              <w:rPr>
                <w:sz w:val="18"/>
              </w:rPr>
              <w:t>TIME contracts or local temporal SKs</w:t>
            </w:r>
          </w:p>
        </w:tc>
      </w:tr>
      <w:tr w:rsidR="00487463" w14:paraId="5256D432" w14:textId="77777777">
        <w:trPr>
          <w:jc w:val="center"/>
        </w:trPr>
        <w:tc>
          <w:tcPr>
            <w:tcW w:w="3168" w:type="dxa"/>
            <w:shd w:val="clear" w:color="auto" w:fill="FFFFFF"/>
            <w:tcMar>
              <w:top w:w="95" w:type="dxa"/>
              <w:left w:w="110" w:type="dxa"/>
              <w:bottom w:w="95" w:type="dxa"/>
              <w:right w:w="110" w:type="dxa"/>
            </w:tcMar>
            <w:vAlign w:val="center"/>
          </w:tcPr>
          <w:p w14:paraId="54B43449" w14:textId="77777777" w:rsidR="00487463" w:rsidRDefault="00B10A8D">
            <w:pPr>
              <w:spacing w:after="0" w:line="240" w:lineRule="auto"/>
              <w:jc w:val="center"/>
              <w:rPr>
                <w:rFonts w:hint="eastAsia"/>
              </w:rPr>
            </w:pPr>
            <w:r>
              <w:rPr>
                <w:sz w:val="18"/>
              </w:rPr>
              <w:t>Predictions</w:t>
            </w:r>
          </w:p>
        </w:tc>
        <w:tc>
          <w:tcPr>
            <w:tcW w:w="6120" w:type="dxa"/>
            <w:shd w:val="clear" w:color="auto" w:fill="FFFFFF"/>
            <w:tcMar>
              <w:top w:w="95" w:type="dxa"/>
              <w:left w:w="110" w:type="dxa"/>
              <w:bottom w:w="95" w:type="dxa"/>
              <w:right w:w="110" w:type="dxa"/>
            </w:tcMar>
            <w:vAlign w:val="center"/>
          </w:tcPr>
          <w:p w14:paraId="2046AC90" w14:textId="77777777" w:rsidR="00487463" w:rsidRDefault="00B10A8D">
            <w:pPr>
              <w:spacing w:after="0" w:line="240" w:lineRule="auto"/>
              <w:rPr>
                <w:rFonts w:hint="eastAsia"/>
              </w:rPr>
            </w:pPr>
            <w:r>
              <w:rPr>
                <w:sz w:val="18"/>
              </w:rPr>
              <w:t>Canonical output BitWords + timing + confidence</w:t>
            </w:r>
          </w:p>
        </w:tc>
      </w:tr>
      <w:tr w:rsidR="00487463" w14:paraId="649B7AF3" w14:textId="77777777">
        <w:trPr>
          <w:jc w:val="center"/>
        </w:trPr>
        <w:tc>
          <w:tcPr>
            <w:tcW w:w="3168" w:type="dxa"/>
            <w:shd w:val="clear" w:color="auto" w:fill="FFFFFF"/>
            <w:tcMar>
              <w:top w:w="95" w:type="dxa"/>
              <w:left w:w="110" w:type="dxa"/>
              <w:bottom w:w="95" w:type="dxa"/>
              <w:right w:w="110" w:type="dxa"/>
            </w:tcMar>
            <w:vAlign w:val="center"/>
          </w:tcPr>
          <w:p w14:paraId="681771BB" w14:textId="77777777" w:rsidR="00487463" w:rsidRDefault="00B10A8D">
            <w:pPr>
              <w:spacing w:after="0" w:line="240" w:lineRule="auto"/>
              <w:jc w:val="center"/>
              <w:rPr>
                <w:rFonts w:hint="eastAsia"/>
              </w:rPr>
            </w:pPr>
            <w:r>
              <w:rPr>
                <w:sz w:val="18"/>
              </w:rPr>
              <w:t>Explanation profile</w:t>
            </w:r>
          </w:p>
        </w:tc>
        <w:tc>
          <w:tcPr>
            <w:tcW w:w="6120" w:type="dxa"/>
            <w:shd w:val="clear" w:color="auto" w:fill="FFFFFF"/>
            <w:tcMar>
              <w:top w:w="95" w:type="dxa"/>
              <w:left w:w="110" w:type="dxa"/>
              <w:bottom w:w="95" w:type="dxa"/>
              <w:right w:w="110" w:type="dxa"/>
            </w:tcMar>
            <w:vAlign w:val="center"/>
          </w:tcPr>
          <w:p w14:paraId="6672FE87" w14:textId="77777777" w:rsidR="00487463" w:rsidRDefault="00B10A8D">
            <w:pPr>
              <w:spacing w:after="0" w:line="240" w:lineRule="auto"/>
              <w:rPr>
                <w:rFonts w:hint="eastAsia"/>
              </w:rPr>
            </w:pPr>
            <w:r>
              <w:rPr>
                <w:sz w:val="18"/>
              </w:rPr>
              <w:t>Reader Semantics, BOSS, local projection</w:t>
            </w:r>
          </w:p>
        </w:tc>
      </w:tr>
      <w:tr w:rsidR="00487463" w14:paraId="3012A8CD" w14:textId="77777777">
        <w:trPr>
          <w:jc w:val="center"/>
        </w:trPr>
        <w:tc>
          <w:tcPr>
            <w:tcW w:w="3168" w:type="dxa"/>
            <w:shd w:val="clear" w:color="auto" w:fill="FFFFFF"/>
            <w:tcMar>
              <w:top w:w="95" w:type="dxa"/>
              <w:left w:w="110" w:type="dxa"/>
              <w:bottom w:w="95" w:type="dxa"/>
              <w:right w:w="110" w:type="dxa"/>
            </w:tcMar>
            <w:vAlign w:val="center"/>
          </w:tcPr>
          <w:p w14:paraId="3BC8AA6C" w14:textId="77777777" w:rsidR="00487463" w:rsidRDefault="00B10A8D">
            <w:pPr>
              <w:spacing w:after="0" w:line="240" w:lineRule="auto"/>
              <w:jc w:val="center"/>
              <w:rPr>
                <w:rFonts w:hint="eastAsia"/>
              </w:rPr>
            </w:pPr>
            <w:r>
              <w:rPr>
                <w:sz w:val="18"/>
              </w:rPr>
              <w:t>Scope / exclusions</w:t>
            </w:r>
          </w:p>
        </w:tc>
        <w:tc>
          <w:tcPr>
            <w:tcW w:w="6120" w:type="dxa"/>
            <w:shd w:val="clear" w:color="auto" w:fill="FFFFFF"/>
            <w:tcMar>
              <w:top w:w="95" w:type="dxa"/>
              <w:left w:w="110" w:type="dxa"/>
              <w:bottom w:w="95" w:type="dxa"/>
              <w:right w:w="110" w:type="dxa"/>
            </w:tcMar>
            <w:vAlign w:val="center"/>
          </w:tcPr>
          <w:p w14:paraId="1C3ECB87" w14:textId="77777777" w:rsidR="00487463" w:rsidRDefault="00B10A8D">
            <w:pPr>
              <w:spacing w:after="0" w:line="240" w:lineRule="auto"/>
              <w:rPr>
                <w:rFonts w:hint="eastAsia"/>
              </w:rPr>
            </w:pPr>
            <w:r>
              <w:rPr>
                <w:sz w:val="18"/>
              </w:rPr>
              <w:t>Rules, permissions, contract conditions</w:t>
            </w:r>
          </w:p>
        </w:tc>
      </w:tr>
    </w:tbl>
    <w:p w14:paraId="56E28122" w14:textId="77777777" w:rsidR="00487463" w:rsidRDefault="00487463">
      <w:pPr>
        <w:spacing w:after="0"/>
        <w:rPr>
          <w:rFonts w:hint="eastAsia"/>
        </w:rPr>
      </w:pPr>
    </w:p>
    <w:p w14:paraId="4A80EC30" w14:textId="77777777" w:rsidR="00487463" w:rsidRDefault="00B10A8D">
      <w:pPr>
        <w:pStyle w:val="Heading1"/>
      </w:pPr>
      <w:r>
        <w:t>8. Bounded Federation: Z, Containment, and Home</w:t>
      </w:r>
    </w:p>
    <w:p w14:paraId="4EF1CA6C" w14:textId="77777777" w:rsidR="00487463" w:rsidRDefault="00B10A8D">
      <w:pPr>
        <w:pStyle w:val="Heading2"/>
      </w:pPr>
      <w:r>
        <w:t>8.1 Z as the outward cognitive contract</w:t>
      </w:r>
    </w:p>
    <w:p w14:paraId="2CEF7B09" w14:textId="77777777" w:rsidR="00487463" w:rsidRDefault="00B10A8D">
      <w:pPr>
        <w:rPr>
          <w:rFonts w:hint="eastAsia"/>
        </w:rPr>
      </w:pPr>
      <w:r>
        <w:t>A native habitat may grow far beyond the practical or organizational limits of one Stack. When it externalizes into its own Base, the Z Base Data Contract becomes its canonical outward boundary. The internal graph may be arbitrarily rich; the outside world depends upon the contract rather than the implementation topology.</w:t>
      </w:r>
    </w:p>
    <w:p w14:paraId="7A4FCE06" w14:textId="77777777" w:rsidR="00487463" w:rsidRDefault="00B10A8D">
      <w:pPr>
        <w:rPr>
          <w:rFonts w:hint="eastAsia"/>
        </w:rPr>
      </w:pPr>
      <w:r>
        <w:t>For a normal externalizable Stack, exactly one outgoing structural relationship points to its Z contract. Many capabilities can be described inside that contract without creating many uncontrolled boundary crossings. This preserves a clean modular edge around the cognitive habitat.</w:t>
      </w:r>
    </w:p>
    <w:p w14:paraId="629FC080" w14:textId="77777777" w:rsidR="00487463" w:rsidRDefault="00B10A8D">
      <w:pPr>
        <w:spacing w:before="120" w:after="60"/>
        <w:jc w:val="center"/>
        <w:rPr>
          <w:rFonts w:hint="eastAsia"/>
        </w:rPr>
      </w:pPr>
      <w:r>
        <w:rPr>
          <w:noProof/>
        </w:rPr>
        <w:drawing>
          <wp:inline distT="0" distB="0" distL="0" distR="0" wp14:anchorId="2804ABEE" wp14:editId="5644A2B3">
            <wp:extent cx="5943600" cy="33615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9_z_habitat_boundary.png"/>
                    <pic:cNvPicPr/>
                  </pic:nvPicPr>
                  <pic:blipFill>
                    <a:blip r:embed="rId16"/>
                    <a:stretch>
                      <a:fillRect/>
                    </a:stretch>
                  </pic:blipFill>
                  <pic:spPr>
                    <a:xfrm>
                      <a:off x="0" y="0"/>
                      <a:ext cx="5943600" cy="3361585"/>
                    </a:xfrm>
                    <a:prstGeom prst="rect">
                      <a:avLst/>
                    </a:prstGeom>
                  </pic:spPr>
                </pic:pic>
              </a:graphicData>
            </a:graphic>
          </wp:inline>
        </w:drawing>
      </w:r>
    </w:p>
    <w:p w14:paraId="25A8E62A" w14:textId="77777777" w:rsidR="00487463" w:rsidRDefault="00B10A8D">
      <w:pPr>
        <w:spacing w:after="160"/>
        <w:jc w:val="center"/>
        <w:rPr>
          <w:rFonts w:hint="eastAsia"/>
        </w:rPr>
      </w:pPr>
      <w:r>
        <w:rPr>
          <w:b/>
          <w:i/>
          <w:color w:val="596675"/>
          <w:sz w:val="18"/>
        </w:rPr>
        <w:t>Figure 9. Z forms the controlled outward boundary of a native cognitive habitat.</w:t>
      </w:r>
    </w:p>
    <w:p w14:paraId="5B928FCE" w14:textId="77777777" w:rsidR="00487463" w:rsidRDefault="00B10A8D">
      <w:pPr>
        <w:pStyle w:val="Heading2"/>
      </w:pPr>
      <w:r>
        <w:t>8.2 Containment Closure</w:t>
      </w:r>
    </w:p>
    <w:p w14:paraId="20A3B4AB" w14:textId="77777777" w:rsidR="00487463" w:rsidRDefault="00B10A8D">
      <w:pPr>
        <w:rPr>
          <w:rFonts w:hint="eastAsia"/>
        </w:rPr>
      </w:pPr>
      <w:r>
        <w:t>Before externalization, BASE SERVICE can crawl the proposed boundary. Every relationship originating inside the Stack must terminate inside the boundary or resolve through the authorized Z contract. Any other crossing is uncontained. Exact schema coordinates identify the fault so the boundary can be repaired before migration.</w:t>
      </w:r>
    </w:p>
    <w:p w14:paraId="4356CE00" w14:textId="77777777" w:rsidR="00487463" w:rsidRDefault="00B10A8D">
      <w:pPr>
        <w:rPr>
          <w:rFonts w:hint="eastAsia"/>
        </w:rPr>
      </w:pPr>
      <w:r>
        <w:t>Containment matters cognitively as well as technically. A system cannot meaningfully claim a sovereign native ontology if its implementation quietly depends on arbitrary mutable structures scattered throughout another Base. Containment Closure makes the boundary testable.</w:t>
      </w:r>
    </w:p>
    <w:p w14:paraId="7429B395" w14:textId="77777777" w:rsidR="00487463" w:rsidRDefault="00B10A8D">
      <w:pPr>
        <w:spacing w:before="120" w:after="60"/>
        <w:jc w:val="center"/>
        <w:rPr>
          <w:rFonts w:hint="eastAsia"/>
        </w:rPr>
      </w:pPr>
      <w:r>
        <w:rPr>
          <w:noProof/>
        </w:rPr>
        <w:drawing>
          <wp:inline distT="0" distB="0" distL="0" distR="0" wp14:anchorId="222293AE" wp14:editId="23884E35">
            <wp:extent cx="5943600" cy="33615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_containment_preflight.png"/>
                    <pic:cNvPicPr/>
                  </pic:nvPicPr>
                  <pic:blipFill>
                    <a:blip r:embed="rId17"/>
                    <a:stretch>
                      <a:fillRect/>
                    </a:stretch>
                  </pic:blipFill>
                  <pic:spPr>
                    <a:xfrm>
                      <a:off x="0" y="0"/>
                      <a:ext cx="5943600" cy="3361585"/>
                    </a:xfrm>
                    <a:prstGeom prst="rect">
                      <a:avLst/>
                    </a:prstGeom>
                  </pic:spPr>
                </pic:pic>
              </a:graphicData>
            </a:graphic>
          </wp:inline>
        </w:drawing>
      </w:r>
    </w:p>
    <w:p w14:paraId="7EDB564F" w14:textId="77777777" w:rsidR="00487463" w:rsidRDefault="00B10A8D">
      <w:pPr>
        <w:spacing w:after="160"/>
        <w:jc w:val="center"/>
        <w:rPr>
          <w:rFonts w:hint="eastAsia"/>
        </w:rPr>
      </w:pPr>
      <w:r>
        <w:rPr>
          <w:b/>
          <w:i/>
          <w:color w:val="596675"/>
          <w:sz w:val="18"/>
        </w:rPr>
        <w:t>Figure 10. Containment Closure and deterministic externalization preflight.</w:t>
      </w:r>
    </w:p>
    <w:p w14:paraId="3F8B0637" w14:textId="77777777" w:rsidR="00487463" w:rsidRDefault="00B10A8D">
      <w:pPr>
        <w:pStyle w:val="Heading2"/>
      </w:pPr>
      <w:r>
        <w:t>8.3 Direct Home anchoring</w:t>
      </w:r>
    </w:p>
    <w:p w14:paraId="537A4D03" w14:textId="77777777" w:rsidR="00487463" w:rsidRDefault="00B10A8D">
      <w:pPr>
        <w:rPr>
          <w:rFonts w:hint="eastAsia"/>
        </w:rPr>
      </w:pPr>
      <w:r>
        <w:t>Every participating Base maintains a direct relationship to the canonical Home Base regardless of structural ancestry. A Harmony Base may have originated from a Stack inside Music while still linking directly Home. Structural origin and system membership therefore remain separate relations.</w:t>
      </w:r>
    </w:p>
    <w:p w14:paraId="15E94E8C" w14:textId="77777777" w:rsidR="00487463" w:rsidRDefault="00B10A8D">
      <w:pPr>
        <w:rPr>
          <w:rFonts w:hint="eastAsia"/>
        </w:rPr>
      </w:pPr>
      <w:r>
        <w:t>At federation scale, Home becomes a root registry rather than the physical container of every semantic atom. It needs to know who participates, what contract each participant exposes, how to discover it, and how to route into it. The local ontology stays local.</w:t>
      </w:r>
    </w:p>
    <w:p w14:paraId="32771E43" w14:textId="77777777" w:rsidR="00487463" w:rsidRDefault="00B10A8D">
      <w:pPr>
        <w:spacing w:before="120" w:after="60"/>
        <w:jc w:val="center"/>
        <w:rPr>
          <w:rFonts w:hint="eastAsia"/>
        </w:rPr>
      </w:pPr>
      <w:r>
        <w:rPr>
          <w:noProof/>
        </w:rPr>
        <w:drawing>
          <wp:inline distT="0" distB="0" distL="0" distR="0" wp14:anchorId="3F2D127B" wp14:editId="3F2AE09C">
            <wp:extent cx="5943600" cy="336158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1_home_federation.png"/>
                    <pic:cNvPicPr/>
                  </pic:nvPicPr>
                  <pic:blipFill>
                    <a:blip r:embed="rId18"/>
                    <a:stretch>
                      <a:fillRect/>
                    </a:stretch>
                  </pic:blipFill>
                  <pic:spPr>
                    <a:xfrm>
                      <a:off x="0" y="0"/>
                      <a:ext cx="5943600" cy="3361585"/>
                    </a:xfrm>
                    <a:prstGeom prst="rect">
                      <a:avLst/>
                    </a:prstGeom>
                  </pic:spPr>
                </pic:pic>
              </a:graphicData>
            </a:graphic>
          </wp:inline>
        </w:drawing>
      </w:r>
    </w:p>
    <w:p w14:paraId="1ED0BC2B" w14:textId="77777777" w:rsidR="00487463" w:rsidRDefault="00B10A8D">
      <w:pPr>
        <w:spacing w:after="160"/>
        <w:jc w:val="center"/>
        <w:rPr>
          <w:rFonts w:hint="eastAsia"/>
        </w:rPr>
      </w:pPr>
      <w:r>
        <w:rPr>
          <w:b/>
          <w:i/>
          <w:color w:val="596675"/>
          <w:sz w:val="18"/>
        </w:rPr>
        <w:t>Figure 11. Home anchors a federation without owning a universal ontology.</w:t>
      </w:r>
    </w:p>
    <w:p w14:paraId="48CF9091" w14:textId="77777777" w:rsidR="00487463" w:rsidRDefault="00B10A8D">
      <w:pPr>
        <w:pStyle w:val="Heading1"/>
      </w:pPr>
      <w:r>
        <w:t>9. Discovery and Competency: Crawler, SOLAR, and BOOTSTRAP</w:t>
      </w:r>
    </w:p>
    <w:p w14:paraId="5DE9E76F" w14:textId="77777777" w:rsidR="00487463" w:rsidRDefault="00B10A8D">
      <w:pPr>
        <w:rPr>
          <w:rFonts w:hint="eastAsia"/>
        </w:rPr>
      </w:pPr>
      <w:r>
        <w:t>Federation creates two separate problems: finding the correct semantic habitat and becoming competent enough to work inside it. EDIFICE deliberately solves them with different mechanisms.</w:t>
      </w:r>
    </w:p>
    <w:p w14:paraId="71608894" w14:textId="77777777" w:rsidR="00487463" w:rsidRDefault="00B10A8D">
      <w:pPr>
        <w:rPr>
          <w:rFonts w:hint="eastAsia"/>
        </w:rPr>
      </w:pPr>
      <w:r>
        <w:t>The Base Crawler resolves semantic jurisdiction. It searches compact discovery surfaces rather than loading every Base. Once a candidate Base is selected, local SOLAR resolves natural language into that Base's own semantic addresses. If the requested work requires concepts the arriving intelligence does not yet understand, local BOOTSTRAP supplies the Core Fold and specialized Folds needed for bounded competency.</w:t>
      </w:r>
    </w:p>
    <w:p w14:paraId="1F648E41" w14:textId="77777777" w:rsidR="00487463" w:rsidRDefault="00B10A8D">
      <w:pPr>
        <w:spacing w:before="120" w:after="60"/>
        <w:jc w:val="center"/>
        <w:rPr>
          <w:rFonts w:hint="eastAsia"/>
        </w:rPr>
      </w:pPr>
      <w:r>
        <w:rPr>
          <w:noProof/>
        </w:rPr>
        <w:drawing>
          <wp:inline distT="0" distB="0" distL="0" distR="0" wp14:anchorId="6AF79809" wp14:editId="37908988">
            <wp:extent cx="5943600" cy="33615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2_crawler_solar_bootstrap.png"/>
                    <pic:cNvPicPr/>
                  </pic:nvPicPr>
                  <pic:blipFill>
                    <a:blip r:embed="rId19"/>
                    <a:stretch>
                      <a:fillRect/>
                    </a:stretch>
                  </pic:blipFill>
                  <pic:spPr>
                    <a:xfrm>
                      <a:off x="0" y="0"/>
                      <a:ext cx="5943600" cy="3361585"/>
                    </a:xfrm>
                    <a:prstGeom prst="rect">
                      <a:avLst/>
                    </a:prstGeom>
                  </pic:spPr>
                </pic:pic>
              </a:graphicData>
            </a:graphic>
          </wp:inline>
        </w:drawing>
      </w:r>
    </w:p>
    <w:p w14:paraId="6FB20A15" w14:textId="77777777" w:rsidR="00487463" w:rsidRDefault="00B10A8D">
      <w:pPr>
        <w:spacing w:after="160"/>
        <w:jc w:val="center"/>
        <w:rPr>
          <w:rFonts w:hint="eastAsia"/>
        </w:rPr>
      </w:pPr>
      <w:r>
        <w:rPr>
          <w:b/>
          <w:i/>
          <w:color w:val="596675"/>
          <w:sz w:val="18"/>
        </w:rPr>
        <w:t>Figure 12. Crawler, SOLAR, and BOOTSTRAP solve different stages of entry into a Base.</w:t>
      </w:r>
    </w:p>
    <w:p w14:paraId="1C39C9DB" w14:textId="77777777" w:rsidR="00487463" w:rsidRDefault="00B10A8D">
      <w:pPr>
        <w:pStyle w:val="Heading2"/>
      </w:pPr>
      <w:r>
        <w:t>9.1 Competency is graduated</w:t>
      </w:r>
    </w:p>
    <w:p w14:paraId="7001A48E" w14:textId="77777777" w:rsidR="00487463" w:rsidRDefault="00B10A8D">
      <w:pPr>
        <w:rPr>
          <w:rFonts w:hint="eastAsia"/>
        </w:rPr>
      </w:pPr>
      <w:r>
        <w:t>A foreign Base should not be treated as either fully understood or wholly unusable. Competency can increase in stages. An intelligence may first preserve opaque state, then acquire Readers, then learn Rules and Models, then load enough BOOTSTRAP context to operate correctly, and only later become capable of translating the environment into another ontology.</w:t>
      </w:r>
    </w:p>
    <w:p w14:paraId="0A12DF2A" w14:textId="77777777" w:rsidR="00487463" w:rsidRDefault="00B10A8D">
      <w:pPr>
        <w:rPr>
          <w:rFonts w:hint="eastAsia"/>
        </w:rPr>
      </w:pPr>
      <w:r>
        <w:t>This distinction prevents the architecture from confusing deterministic decoding with semantic understanding. It also enables efficient task-specific learning: the AI loads only the context necessary for the current problem.</w:t>
      </w:r>
    </w:p>
    <w:p w14:paraId="1108003D" w14:textId="77777777" w:rsidR="00487463" w:rsidRDefault="00B10A8D">
      <w:pPr>
        <w:spacing w:before="120" w:after="60"/>
        <w:jc w:val="center"/>
        <w:rPr>
          <w:rFonts w:hint="eastAsia"/>
        </w:rPr>
      </w:pPr>
      <w:r>
        <w:rPr>
          <w:noProof/>
        </w:rPr>
        <w:drawing>
          <wp:inline distT="0" distB="0" distL="0" distR="0" wp14:anchorId="3EF8EE6A" wp14:editId="6EDF2156">
            <wp:extent cx="5943600" cy="336158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3_graduated_competency.png"/>
                    <pic:cNvPicPr/>
                  </pic:nvPicPr>
                  <pic:blipFill>
                    <a:blip r:embed="rId20"/>
                    <a:stretch>
                      <a:fillRect/>
                    </a:stretch>
                  </pic:blipFill>
                  <pic:spPr>
                    <a:xfrm>
                      <a:off x="0" y="0"/>
                      <a:ext cx="5943600" cy="3361585"/>
                    </a:xfrm>
                    <a:prstGeom prst="rect">
                      <a:avLst/>
                    </a:prstGeom>
                  </pic:spPr>
                </pic:pic>
              </a:graphicData>
            </a:graphic>
          </wp:inline>
        </w:drawing>
      </w:r>
    </w:p>
    <w:p w14:paraId="7AFDDD8D" w14:textId="77777777" w:rsidR="00487463" w:rsidRDefault="00B10A8D">
      <w:pPr>
        <w:spacing w:after="160"/>
        <w:jc w:val="center"/>
        <w:rPr>
          <w:rFonts w:hint="eastAsia"/>
        </w:rPr>
      </w:pPr>
      <w:r>
        <w:rPr>
          <w:b/>
          <w:i/>
          <w:color w:val="596675"/>
          <w:sz w:val="18"/>
        </w:rPr>
        <w:t>Figure 13. Graduated competency inside a foreign Base.</w:t>
      </w:r>
    </w:p>
    <w:p w14:paraId="78296FAB" w14:textId="77777777" w:rsidR="00487463" w:rsidRDefault="00B10A8D">
      <w:pPr>
        <w:spacing w:before="80" w:after="80"/>
        <w:rPr>
          <w:rFonts w:hint="eastAsia"/>
        </w:rPr>
      </w:pPr>
      <w:r>
        <w:rPr>
          <w:b/>
          <w:i/>
          <w:color w:val="4F5E6E"/>
          <w:sz w:val="19"/>
        </w:rPr>
        <w:t>Table 6. Graduated semantic competency.</w:t>
      </w:r>
    </w:p>
    <w:tbl>
      <w:tblPr>
        <w:tblW w:w="0" w:type="auto"/>
        <w:jc w:val="center"/>
        <w:tblLayout w:type="fixed"/>
        <w:tblLook w:val="04A0" w:firstRow="1" w:lastRow="0" w:firstColumn="1" w:lastColumn="0" w:noHBand="0" w:noVBand="1"/>
      </w:tblPr>
      <w:tblGrid>
        <w:gridCol w:w="3024"/>
        <w:gridCol w:w="6264"/>
      </w:tblGrid>
      <w:tr w:rsidR="00487463" w14:paraId="331FAFAF" w14:textId="77777777">
        <w:trPr>
          <w:jc w:val="center"/>
        </w:trPr>
        <w:tc>
          <w:tcPr>
            <w:tcW w:w="3024" w:type="dxa"/>
            <w:shd w:val="clear" w:color="auto" w:fill="17365D"/>
            <w:tcMar>
              <w:top w:w="100" w:type="dxa"/>
              <w:left w:w="120" w:type="dxa"/>
              <w:bottom w:w="100" w:type="dxa"/>
              <w:right w:w="120" w:type="dxa"/>
            </w:tcMar>
            <w:vAlign w:val="center"/>
          </w:tcPr>
          <w:p w14:paraId="68ADE04A" w14:textId="77777777" w:rsidR="00487463" w:rsidRDefault="00B10A8D">
            <w:pPr>
              <w:jc w:val="center"/>
              <w:rPr>
                <w:rFonts w:hint="eastAsia"/>
              </w:rPr>
            </w:pPr>
            <w:r>
              <w:rPr>
                <w:b/>
                <w:color w:val="FFFFFF"/>
                <w:sz w:val="19"/>
              </w:rPr>
              <w:t>Competency level</w:t>
            </w:r>
          </w:p>
        </w:tc>
        <w:tc>
          <w:tcPr>
            <w:tcW w:w="6264" w:type="dxa"/>
            <w:shd w:val="clear" w:color="auto" w:fill="17365D"/>
            <w:tcMar>
              <w:top w:w="100" w:type="dxa"/>
              <w:left w:w="120" w:type="dxa"/>
              <w:bottom w:w="100" w:type="dxa"/>
              <w:right w:w="120" w:type="dxa"/>
            </w:tcMar>
            <w:vAlign w:val="center"/>
          </w:tcPr>
          <w:p w14:paraId="718269BF" w14:textId="77777777" w:rsidR="00487463" w:rsidRDefault="00B10A8D">
            <w:pPr>
              <w:jc w:val="center"/>
              <w:rPr>
                <w:rFonts w:hint="eastAsia"/>
              </w:rPr>
            </w:pPr>
            <w:r>
              <w:rPr>
                <w:b/>
                <w:color w:val="FFFFFF"/>
                <w:sz w:val="19"/>
              </w:rPr>
              <w:t>Capability</w:t>
            </w:r>
          </w:p>
        </w:tc>
      </w:tr>
      <w:tr w:rsidR="00487463" w14:paraId="2BABA1FB" w14:textId="77777777">
        <w:trPr>
          <w:jc w:val="center"/>
        </w:trPr>
        <w:tc>
          <w:tcPr>
            <w:tcW w:w="3024" w:type="dxa"/>
            <w:shd w:val="clear" w:color="auto" w:fill="FFFFFF"/>
            <w:tcMar>
              <w:top w:w="95" w:type="dxa"/>
              <w:left w:w="110" w:type="dxa"/>
              <w:bottom w:w="95" w:type="dxa"/>
              <w:right w:w="110" w:type="dxa"/>
            </w:tcMar>
            <w:vAlign w:val="center"/>
          </w:tcPr>
          <w:p w14:paraId="61A3AA9C" w14:textId="77777777" w:rsidR="00487463" w:rsidRDefault="00B10A8D">
            <w:pPr>
              <w:spacing w:after="0" w:line="240" w:lineRule="auto"/>
              <w:jc w:val="center"/>
              <w:rPr>
                <w:rFonts w:hint="eastAsia"/>
              </w:rPr>
            </w:pPr>
            <w:r>
              <w:rPr>
                <w:sz w:val="18"/>
              </w:rPr>
              <w:t>Opaque</w:t>
            </w:r>
          </w:p>
        </w:tc>
        <w:tc>
          <w:tcPr>
            <w:tcW w:w="6264" w:type="dxa"/>
            <w:shd w:val="clear" w:color="auto" w:fill="FFFFFF"/>
            <w:tcMar>
              <w:top w:w="95" w:type="dxa"/>
              <w:left w:w="110" w:type="dxa"/>
              <w:bottom w:w="95" w:type="dxa"/>
              <w:right w:w="110" w:type="dxa"/>
            </w:tcMar>
            <w:vAlign w:val="center"/>
          </w:tcPr>
          <w:p w14:paraId="5ED4FAF0" w14:textId="77777777" w:rsidR="00487463" w:rsidRDefault="00B10A8D">
            <w:pPr>
              <w:spacing w:after="0" w:line="240" w:lineRule="auto"/>
              <w:rPr>
                <w:rFonts w:hint="eastAsia"/>
              </w:rPr>
            </w:pPr>
            <w:r>
              <w:rPr>
                <w:sz w:val="18"/>
              </w:rPr>
              <w:t>Preserve identity, version, and binary without interpretation</w:t>
            </w:r>
          </w:p>
        </w:tc>
      </w:tr>
      <w:tr w:rsidR="00487463" w14:paraId="4C7D7FF9" w14:textId="77777777">
        <w:trPr>
          <w:jc w:val="center"/>
        </w:trPr>
        <w:tc>
          <w:tcPr>
            <w:tcW w:w="3024" w:type="dxa"/>
            <w:shd w:val="clear" w:color="auto" w:fill="FFFFFF"/>
            <w:tcMar>
              <w:top w:w="95" w:type="dxa"/>
              <w:left w:w="110" w:type="dxa"/>
              <w:bottom w:w="95" w:type="dxa"/>
              <w:right w:w="110" w:type="dxa"/>
            </w:tcMar>
            <w:vAlign w:val="center"/>
          </w:tcPr>
          <w:p w14:paraId="7271D706" w14:textId="77777777" w:rsidR="00487463" w:rsidRDefault="00B10A8D">
            <w:pPr>
              <w:spacing w:after="0" w:line="240" w:lineRule="auto"/>
              <w:jc w:val="center"/>
              <w:rPr>
                <w:rFonts w:hint="eastAsia"/>
              </w:rPr>
            </w:pPr>
            <w:r>
              <w:rPr>
                <w:sz w:val="18"/>
              </w:rPr>
              <w:t>Computationally readable</w:t>
            </w:r>
          </w:p>
        </w:tc>
        <w:tc>
          <w:tcPr>
            <w:tcW w:w="6264" w:type="dxa"/>
            <w:shd w:val="clear" w:color="auto" w:fill="FFFFFF"/>
            <w:tcMar>
              <w:top w:w="95" w:type="dxa"/>
              <w:left w:w="110" w:type="dxa"/>
              <w:bottom w:w="95" w:type="dxa"/>
              <w:right w:w="110" w:type="dxa"/>
            </w:tcMar>
            <w:vAlign w:val="center"/>
          </w:tcPr>
          <w:p w14:paraId="1452EDE7" w14:textId="77777777" w:rsidR="00487463" w:rsidRDefault="00B10A8D">
            <w:pPr>
              <w:spacing w:after="0" w:line="240" w:lineRule="auto"/>
              <w:rPr>
                <w:rFonts w:hint="eastAsia"/>
              </w:rPr>
            </w:pPr>
            <w:r>
              <w:rPr>
                <w:sz w:val="18"/>
              </w:rPr>
              <w:t>Resolve Reader and deterministic field values</w:t>
            </w:r>
          </w:p>
        </w:tc>
      </w:tr>
      <w:tr w:rsidR="00487463" w14:paraId="72D871F7" w14:textId="77777777">
        <w:trPr>
          <w:jc w:val="center"/>
        </w:trPr>
        <w:tc>
          <w:tcPr>
            <w:tcW w:w="3024" w:type="dxa"/>
            <w:shd w:val="clear" w:color="auto" w:fill="FFFFFF"/>
            <w:tcMar>
              <w:top w:w="95" w:type="dxa"/>
              <w:left w:w="110" w:type="dxa"/>
              <w:bottom w:w="95" w:type="dxa"/>
              <w:right w:w="110" w:type="dxa"/>
            </w:tcMar>
            <w:vAlign w:val="center"/>
          </w:tcPr>
          <w:p w14:paraId="05A3511F" w14:textId="77777777" w:rsidR="00487463" w:rsidRDefault="00B10A8D">
            <w:pPr>
              <w:spacing w:after="0" w:line="240" w:lineRule="auto"/>
              <w:jc w:val="center"/>
              <w:rPr>
                <w:rFonts w:hint="eastAsia"/>
              </w:rPr>
            </w:pPr>
            <w:r>
              <w:rPr>
                <w:sz w:val="18"/>
              </w:rPr>
              <w:t>Structurally competent</w:t>
            </w:r>
          </w:p>
        </w:tc>
        <w:tc>
          <w:tcPr>
            <w:tcW w:w="6264" w:type="dxa"/>
            <w:shd w:val="clear" w:color="auto" w:fill="FFFFFF"/>
            <w:tcMar>
              <w:top w:w="95" w:type="dxa"/>
              <w:left w:w="110" w:type="dxa"/>
              <w:bottom w:w="95" w:type="dxa"/>
              <w:right w:w="110" w:type="dxa"/>
            </w:tcMar>
            <w:vAlign w:val="center"/>
          </w:tcPr>
          <w:p w14:paraId="656BC7AF" w14:textId="77777777" w:rsidR="00487463" w:rsidRDefault="00B10A8D">
            <w:pPr>
              <w:spacing w:after="0" w:line="240" w:lineRule="auto"/>
              <w:rPr>
                <w:rFonts w:hint="eastAsia"/>
              </w:rPr>
            </w:pPr>
            <w:r>
              <w:rPr>
                <w:sz w:val="18"/>
              </w:rPr>
              <w:t>Understand registered Rules, Models, Operators, and relations</w:t>
            </w:r>
          </w:p>
        </w:tc>
      </w:tr>
      <w:tr w:rsidR="00487463" w14:paraId="4458888A" w14:textId="77777777">
        <w:trPr>
          <w:jc w:val="center"/>
        </w:trPr>
        <w:tc>
          <w:tcPr>
            <w:tcW w:w="3024" w:type="dxa"/>
            <w:shd w:val="clear" w:color="auto" w:fill="FFFFFF"/>
            <w:tcMar>
              <w:top w:w="95" w:type="dxa"/>
              <w:left w:w="110" w:type="dxa"/>
              <w:bottom w:w="95" w:type="dxa"/>
              <w:right w:w="110" w:type="dxa"/>
            </w:tcMar>
            <w:vAlign w:val="center"/>
          </w:tcPr>
          <w:p w14:paraId="7499186C" w14:textId="77777777" w:rsidR="00487463" w:rsidRDefault="00B10A8D">
            <w:pPr>
              <w:spacing w:after="0" w:line="240" w:lineRule="auto"/>
              <w:jc w:val="center"/>
              <w:rPr>
                <w:rFonts w:hint="eastAsia"/>
              </w:rPr>
            </w:pPr>
            <w:r>
              <w:rPr>
                <w:sz w:val="18"/>
              </w:rPr>
              <w:t>Locally competent</w:t>
            </w:r>
          </w:p>
        </w:tc>
        <w:tc>
          <w:tcPr>
            <w:tcW w:w="6264" w:type="dxa"/>
            <w:shd w:val="clear" w:color="auto" w:fill="FFFFFF"/>
            <w:tcMar>
              <w:top w:w="95" w:type="dxa"/>
              <w:left w:w="110" w:type="dxa"/>
              <w:bottom w:w="95" w:type="dxa"/>
              <w:right w:w="110" w:type="dxa"/>
            </w:tcMar>
            <w:vAlign w:val="center"/>
          </w:tcPr>
          <w:p w14:paraId="304AE5A4" w14:textId="77777777" w:rsidR="00487463" w:rsidRDefault="00B10A8D">
            <w:pPr>
              <w:spacing w:after="0" w:line="240" w:lineRule="auto"/>
              <w:rPr>
                <w:rFonts w:hint="eastAsia"/>
              </w:rPr>
            </w:pPr>
            <w:r>
              <w:rPr>
                <w:sz w:val="18"/>
              </w:rPr>
              <w:t>Load required BOOTSTRAP Core and specialized Fold</w:t>
            </w:r>
          </w:p>
        </w:tc>
      </w:tr>
      <w:tr w:rsidR="00487463" w14:paraId="3AD1707C" w14:textId="77777777">
        <w:trPr>
          <w:jc w:val="center"/>
        </w:trPr>
        <w:tc>
          <w:tcPr>
            <w:tcW w:w="3024" w:type="dxa"/>
            <w:shd w:val="clear" w:color="auto" w:fill="FFFFFF"/>
            <w:tcMar>
              <w:top w:w="95" w:type="dxa"/>
              <w:left w:w="110" w:type="dxa"/>
              <w:bottom w:w="95" w:type="dxa"/>
              <w:right w:w="110" w:type="dxa"/>
            </w:tcMar>
            <w:vAlign w:val="center"/>
          </w:tcPr>
          <w:p w14:paraId="137AE64F" w14:textId="77777777" w:rsidR="00487463" w:rsidRDefault="00B10A8D">
            <w:pPr>
              <w:spacing w:after="0" w:line="240" w:lineRule="auto"/>
              <w:jc w:val="center"/>
              <w:rPr>
                <w:rFonts w:hint="eastAsia"/>
              </w:rPr>
            </w:pPr>
            <w:r>
              <w:rPr>
                <w:sz w:val="18"/>
              </w:rPr>
              <w:t>Translationally competent</w:t>
            </w:r>
          </w:p>
        </w:tc>
        <w:tc>
          <w:tcPr>
            <w:tcW w:w="6264" w:type="dxa"/>
            <w:shd w:val="clear" w:color="auto" w:fill="FFFFFF"/>
            <w:tcMar>
              <w:top w:w="95" w:type="dxa"/>
              <w:left w:w="110" w:type="dxa"/>
              <w:bottom w:w="95" w:type="dxa"/>
              <w:right w:w="110" w:type="dxa"/>
            </w:tcMar>
            <w:vAlign w:val="center"/>
          </w:tcPr>
          <w:p w14:paraId="6CE225CF" w14:textId="77777777" w:rsidR="00487463" w:rsidRDefault="00B10A8D">
            <w:pPr>
              <w:spacing w:after="0" w:line="240" w:lineRule="auto"/>
              <w:rPr>
                <w:rFonts w:hint="eastAsia"/>
              </w:rPr>
            </w:pPr>
            <w:r>
              <w:rPr>
                <w:sz w:val="18"/>
              </w:rPr>
              <w:t>Explain or map local structures into another semantic habitat while preserving differences</w:t>
            </w:r>
          </w:p>
        </w:tc>
      </w:tr>
    </w:tbl>
    <w:p w14:paraId="0FD5094F" w14:textId="77777777" w:rsidR="00487463" w:rsidRDefault="00487463">
      <w:pPr>
        <w:spacing w:after="0"/>
        <w:rPr>
          <w:rFonts w:hint="eastAsia"/>
        </w:rPr>
      </w:pPr>
    </w:p>
    <w:p w14:paraId="7AD2E161" w14:textId="77777777" w:rsidR="00487463" w:rsidRDefault="00B10A8D">
      <w:pPr>
        <w:pStyle w:val="Heading1"/>
      </w:pPr>
      <w:r>
        <w:t>10. Canonical State Exchange and Opaque Preservation</w:t>
      </w:r>
    </w:p>
    <w:p w14:paraId="071D4399" w14:textId="77777777" w:rsidR="00487463" w:rsidRDefault="00B10A8D">
      <w:pPr>
        <w:pStyle w:val="Heading2"/>
      </w:pPr>
      <w:r>
        <w:t>10.1 Minimal exchange</w:t>
      </w:r>
    </w:p>
    <w:p w14:paraId="08B6F3B7" w14:textId="77777777" w:rsidR="00487463" w:rsidRDefault="00B10A8D">
      <w:pPr>
        <w:rPr>
          <w:rFonts w:hint="eastAsia"/>
        </w:rPr>
      </w:pPr>
      <w:r>
        <w:t>Once a receiving Base has installed a compatible BitWord contract, subsequent compatible records can be extremely compact. State transfer scales with the binary record rather than with repeated semantic explanation. The sender does not need to resend labels, display order, units, BOSS definitions, or prose on every record when those are already resolvable through local infrastructure.</w:t>
      </w:r>
    </w:p>
    <w:p w14:paraId="6DB0709F" w14:textId="77777777" w:rsidR="00487463" w:rsidRDefault="00B10A8D">
      <w:pPr>
        <w:rPr>
          <w:rFonts w:hint="eastAsia"/>
        </w:rPr>
      </w:pPr>
      <w:r>
        <w:t>This is especially important at very large scale. Millions or billions of state records may reuse a comparatively small library of distinct BitWord contracts. Semantic diversity remains large while communication and storage remain structurally economical.</w:t>
      </w:r>
    </w:p>
    <w:p w14:paraId="24DD65FF" w14:textId="77777777" w:rsidR="00487463" w:rsidRDefault="00B10A8D">
      <w:pPr>
        <w:spacing w:before="120" w:after="60"/>
        <w:jc w:val="center"/>
        <w:rPr>
          <w:rFonts w:hint="eastAsia"/>
        </w:rPr>
      </w:pPr>
      <w:r>
        <w:rPr>
          <w:noProof/>
        </w:rPr>
        <w:drawing>
          <wp:inline distT="0" distB="0" distL="0" distR="0" wp14:anchorId="010ECF5D" wp14:editId="3035E4A6">
            <wp:extent cx="5943600" cy="33615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4_minimal_exchange.png"/>
                    <pic:cNvPicPr/>
                  </pic:nvPicPr>
                  <pic:blipFill>
                    <a:blip r:embed="rId21"/>
                    <a:stretch>
                      <a:fillRect/>
                    </a:stretch>
                  </pic:blipFill>
                  <pic:spPr>
                    <a:xfrm>
                      <a:off x="0" y="0"/>
                      <a:ext cx="5943600" cy="3361585"/>
                    </a:xfrm>
                    <a:prstGeom prst="rect">
                      <a:avLst/>
                    </a:prstGeom>
                  </pic:spPr>
                </pic:pic>
              </a:graphicData>
            </a:graphic>
          </wp:inline>
        </w:drawing>
      </w:r>
    </w:p>
    <w:p w14:paraId="5C9EA035" w14:textId="77777777" w:rsidR="00487463" w:rsidRDefault="00B10A8D">
      <w:pPr>
        <w:spacing w:after="160"/>
        <w:jc w:val="center"/>
        <w:rPr>
          <w:rFonts w:hint="eastAsia"/>
        </w:rPr>
      </w:pPr>
      <w:r>
        <w:rPr>
          <w:b/>
          <w:i/>
          <w:color w:val="596675"/>
          <w:sz w:val="18"/>
        </w:rPr>
        <w:t>Figure 14. Minimal canonical exchange after Reader infrastructure is installed.</w:t>
      </w:r>
    </w:p>
    <w:p w14:paraId="4C74F06A" w14:textId="77777777" w:rsidR="00487463" w:rsidRDefault="00B10A8D">
      <w:pPr>
        <w:pStyle w:val="Heading2"/>
      </w:pPr>
      <w:r>
        <w:t>10.2 Opaque preservation</w:t>
      </w:r>
    </w:p>
    <w:p w14:paraId="3D37E035" w14:textId="77777777" w:rsidR="00487463" w:rsidRDefault="00B10A8D">
      <w:pPr>
        <w:rPr>
          <w:rFonts w:hint="eastAsia"/>
        </w:rPr>
      </w:pPr>
      <w:r>
        <w:t>Unknown canonical state is not invalid state. A Base may retain the exact BitWord identity, version, and binary payload even when the Reader is unavailable. The payload remains losslessly preserved until a compatible contract becomes available. This permits archival of future, foreign, proprietary, or temporarily inaccessible semantic structures without forcing premature translation.</w:t>
      </w:r>
    </w:p>
    <w:p w14:paraId="23A138F5" w14:textId="77777777" w:rsidR="00487463" w:rsidRDefault="00B10A8D">
      <w:pPr>
        <w:rPr>
          <w:rFonts w:hint="eastAsia"/>
        </w:rPr>
      </w:pPr>
      <w:r>
        <w:t>Opaque preservation is a first-class behavior, not an error-recovery hack. It protects data integrity by making abstention preferable to guessed interpretation.</w:t>
      </w:r>
    </w:p>
    <w:p w14:paraId="7B12D176" w14:textId="77777777" w:rsidR="00487463" w:rsidRDefault="00B10A8D">
      <w:pPr>
        <w:pStyle w:val="Heading1"/>
      </w:pPr>
      <w:r>
        <w:t>11. Semantic Opacity, Privacy, and Security</w:t>
      </w:r>
    </w:p>
    <w:p w14:paraId="1BFAA07E" w14:textId="77777777" w:rsidR="00487463" w:rsidRDefault="00B10A8D">
      <w:pPr>
        <w:rPr>
          <w:rFonts w:hint="eastAsia"/>
        </w:rPr>
      </w:pPr>
      <w:r>
        <w:t>Binary representation and contract-gated interpretation create useful semantic opacity. A receiving Base may know that a record exists without possessing its Reader. Another may know the BitWord identity but lack authorization to acquire the contract. A third may decode the state but lack authority to mutate or execute anything based on it.</w:t>
      </w:r>
    </w:p>
    <w:p w14:paraId="78EBC894" w14:textId="77777777" w:rsidR="00487463" w:rsidRDefault="00B10A8D">
      <w:pPr>
        <w:rPr>
          <w:rFonts w:hint="eastAsia"/>
        </w:rPr>
      </w:pPr>
      <w:r>
        <w:t>These distinctions reduce accidental disclosure and allow the same shared store to be differently intelligible to different participants. They do not provide cryptographic secrecy. If an unauthorized party obtains the bytes and the full deterministic contract, it can decode them. Confidentiality therefore remains a cryptographic and access-control problem. EDIFICE adds another layer: semantic capability is governed independently from byte access.</w:t>
      </w:r>
    </w:p>
    <w:p w14:paraId="087AC88F" w14:textId="77777777" w:rsidR="00487463" w:rsidRDefault="00B10A8D">
      <w:pPr>
        <w:spacing w:before="120" w:after="60"/>
        <w:jc w:val="center"/>
        <w:rPr>
          <w:rFonts w:hint="eastAsia"/>
        </w:rPr>
      </w:pPr>
      <w:r>
        <w:rPr>
          <w:noProof/>
        </w:rPr>
        <w:drawing>
          <wp:inline distT="0" distB="0" distL="0" distR="0" wp14:anchorId="1E91812F" wp14:editId="4F15B4FD">
            <wp:extent cx="5943600" cy="336158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5_security_layers.png"/>
                    <pic:cNvPicPr/>
                  </pic:nvPicPr>
                  <pic:blipFill>
                    <a:blip r:embed="rId22"/>
                    <a:stretch>
                      <a:fillRect/>
                    </a:stretch>
                  </pic:blipFill>
                  <pic:spPr>
                    <a:xfrm>
                      <a:off x="0" y="0"/>
                      <a:ext cx="5943600" cy="3361585"/>
                    </a:xfrm>
                    <a:prstGeom prst="rect">
                      <a:avLst/>
                    </a:prstGeom>
                  </pic:spPr>
                </pic:pic>
              </a:graphicData>
            </a:graphic>
          </wp:inline>
        </w:drawing>
      </w:r>
    </w:p>
    <w:p w14:paraId="696CD3EA" w14:textId="77777777" w:rsidR="00487463" w:rsidRDefault="00B10A8D">
      <w:pPr>
        <w:spacing w:after="160"/>
        <w:jc w:val="center"/>
        <w:rPr>
          <w:rFonts w:hint="eastAsia"/>
        </w:rPr>
      </w:pPr>
      <w:r>
        <w:rPr>
          <w:b/>
          <w:i/>
          <w:color w:val="596675"/>
          <w:sz w:val="18"/>
        </w:rPr>
        <w:t>Figure 15. Security layers separate byte access, semantic interpretation, and execution authority.</w:t>
      </w:r>
    </w:p>
    <w:p w14:paraId="0F0A9A2B" w14:textId="77777777" w:rsidR="00487463" w:rsidRDefault="00B10A8D">
      <w:pPr>
        <w:spacing w:before="80" w:after="80"/>
        <w:rPr>
          <w:rFonts w:hint="eastAsia"/>
        </w:rPr>
      </w:pPr>
      <w:r>
        <w:rPr>
          <w:b/>
          <w:i/>
          <w:color w:val="4F5E6E"/>
          <w:sz w:val="19"/>
        </w:rPr>
        <w:t>Table 7. Authorities that must remain separate.</w:t>
      </w:r>
    </w:p>
    <w:tbl>
      <w:tblPr>
        <w:tblW w:w="0" w:type="auto"/>
        <w:jc w:val="center"/>
        <w:tblLayout w:type="fixed"/>
        <w:tblLook w:val="04A0" w:firstRow="1" w:lastRow="0" w:firstColumn="1" w:lastColumn="0" w:noHBand="0" w:noVBand="1"/>
      </w:tblPr>
      <w:tblGrid>
        <w:gridCol w:w="2880"/>
        <w:gridCol w:w="6408"/>
      </w:tblGrid>
      <w:tr w:rsidR="00487463" w14:paraId="33456359" w14:textId="77777777">
        <w:trPr>
          <w:jc w:val="center"/>
        </w:trPr>
        <w:tc>
          <w:tcPr>
            <w:tcW w:w="2880" w:type="dxa"/>
            <w:shd w:val="clear" w:color="auto" w:fill="17365D"/>
            <w:tcMar>
              <w:top w:w="100" w:type="dxa"/>
              <w:left w:w="120" w:type="dxa"/>
              <w:bottom w:w="100" w:type="dxa"/>
              <w:right w:w="120" w:type="dxa"/>
            </w:tcMar>
            <w:vAlign w:val="center"/>
          </w:tcPr>
          <w:p w14:paraId="24C91527" w14:textId="77777777" w:rsidR="00487463" w:rsidRDefault="00B10A8D">
            <w:pPr>
              <w:jc w:val="center"/>
              <w:rPr>
                <w:rFonts w:hint="eastAsia"/>
              </w:rPr>
            </w:pPr>
            <w:r>
              <w:rPr>
                <w:b/>
                <w:color w:val="FFFFFF"/>
                <w:sz w:val="19"/>
              </w:rPr>
              <w:t>Authority</w:t>
            </w:r>
          </w:p>
        </w:tc>
        <w:tc>
          <w:tcPr>
            <w:tcW w:w="6408" w:type="dxa"/>
            <w:shd w:val="clear" w:color="auto" w:fill="17365D"/>
            <w:tcMar>
              <w:top w:w="100" w:type="dxa"/>
              <w:left w:w="120" w:type="dxa"/>
              <w:bottom w:w="100" w:type="dxa"/>
              <w:right w:w="120" w:type="dxa"/>
            </w:tcMar>
            <w:vAlign w:val="center"/>
          </w:tcPr>
          <w:p w14:paraId="513D2F1E" w14:textId="77777777" w:rsidR="00487463" w:rsidRDefault="00B10A8D">
            <w:pPr>
              <w:jc w:val="center"/>
              <w:rPr>
                <w:rFonts w:hint="eastAsia"/>
              </w:rPr>
            </w:pPr>
            <w:r>
              <w:rPr>
                <w:b/>
                <w:color w:val="FFFFFF"/>
                <w:sz w:val="19"/>
              </w:rPr>
              <w:t>Question</w:t>
            </w:r>
          </w:p>
        </w:tc>
      </w:tr>
      <w:tr w:rsidR="00487463" w14:paraId="4A17E795" w14:textId="77777777">
        <w:trPr>
          <w:jc w:val="center"/>
        </w:trPr>
        <w:tc>
          <w:tcPr>
            <w:tcW w:w="2880" w:type="dxa"/>
            <w:shd w:val="clear" w:color="auto" w:fill="FFFFFF"/>
            <w:tcMar>
              <w:top w:w="95" w:type="dxa"/>
              <w:left w:w="110" w:type="dxa"/>
              <w:bottom w:w="95" w:type="dxa"/>
              <w:right w:w="110" w:type="dxa"/>
            </w:tcMar>
            <w:vAlign w:val="center"/>
          </w:tcPr>
          <w:p w14:paraId="080111D2" w14:textId="77777777" w:rsidR="00487463" w:rsidRDefault="00B10A8D">
            <w:pPr>
              <w:spacing w:after="0" w:line="240" w:lineRule="auto"/>
              <w:jc w:val="center"/>
              <w:rPr>
                <w:rFonts w:hint="eastAsia"/>
              </w:rPr>
            </w:pPr>
            <w:r>
              <w:rPr>
                <w:sz w:val="18"/>
              </w:rPr>
              <w:t>Discovery</w:t>
            </w:r>
          </w:p>
        </w:tc>
        <w:tc>
          <w:tcPr>
            <w:tcW w:w="6408" w:type="dxa"/>
            <w:shd w:val="clear" w:color="auto" w:fill="FFFFFF"/>
            <w:tcMar>
              <w:top w:w="95" w:type="dxa"/>
              <w:left w:w="110" w:type="dxa"/>
              <w:bottom w:w="95" w:type="dxa"/>
              <w:right w:w="110" w:type="dxa"/>
            </w:tcMar>
            <w:vAlign w:val="center"/>
          </w:tcPr>
          <w:p w14:paraId="2C155984" w14:textId="77777777" w:rsidR="00487463" w:rsidRDefault="00B10A8D">
            <w:pPr>
              <w:spacing w:after="0" w:line="240" w:lineRule="auto"/>
              <w:rPr>
                <w:rFonts w:hint="eastAsia"/>
              </w:rPr>
            </w:pPr>
            <w:r>
              <w:rPr>
                <w:sz w:val="18"/>
              </w:rPr>
              <w:t>May this participant know the Base or record exists?</w:t>
            </w:r>
          </w:p>
        </w:tc>
      </w:tr>
      <w:tr w:rsidR="00487463" w14:paraId="51410C67" w14:textId="77777777">
        <w:trPr>
          <w:jc w:val="center"/>
        </w:trPr>
        <w:tc>
          <w:tcPr>
            <w:tcW w:w="2880" w:type="dxa"/>
            <w:shd w:val="clear" w:color="auto" w:fill="FFFFFF"/>
            <w:tcMar>
              <w:top w:w="95" w:type="dxa"/>
              <w:left w:w="110" w:type="dxa"/>
              <w:bottom w:w="95" w:type="dxa"/>
              <w:right w:w="110" w:type="dxa"/>
            </w:tcMar>
            <w:vAlign w:val="center"/>
          </w:tcPr>
          <w:p w14:paraId="121C15AD" w14:textId="77777777" w:rsidR="00487463" w:rsidRDefault="00B10A8D">
            <w:pPr>
              <w:spacing w:after="0" w:line="240" w:lineRule="auto"/>
              <w:jc w:val="center"/>
              <w:rPr>
                <w:rFonts w:hint="eastAsia"/>
              </w:rPr>
            </w:pPr>
            <w:r>
              <w:rPr>
                <w:sz w:val="18"/>
              </w:rPr>
              <w:t>Identity recognition</w:t>
            </w:r>
          </w:p>
        </w:tc>
        <w:tc>
          <w:tcPr>
            <w:tcW w:w="6408" w:type="dxa"/>
            <w:shd w:val="clear" w:color="auto" w:fill="FFFFFF"/>
            <w:tcMar>
              <w:top w:w="95" w:type="dxa"/>
              <w:left w:w="110" w:type="dxa"/>
              <w:bottom w:w="95" w:type="dxa"/>
              <w:right w:w="110" w:type="dxa"/>
            </w:tcMar>
            <w:vAlign w:val="center"/>
          </w:tcPr>
          <w:p w14:paraId="5A783974" w14:textId="77777777" w:rsidR="00487463" w:rsidRDefault="00B10A8D">
            <w:pPr>
              <w:spacing w:after="0" w:line="240" w:lineRule="auto"/>
              <w:rPr>
                <w:rFonts w:hint="eastAsia"/>
              </w:rPr>
            </w:pPr>
            <w:r>
              <w:rPr>
                <w:sz w:val="18"/>
              </w:rPr>
              <w:t>May it know which BitWord is present?</w:t>
            </w:r>
          </w:p>
        </w:tc>
      </w:tr>
      <w:tr w:rsidR="00487463" w14:paraId="42B1B2B7" w14:textId="77777777">
        <w:trPr>
          <w:jc w:val="center"/>
        </w:trPr>
        <w:tc>
          <w:tcPr>
            <w:tcW w:w="2880" w:type="dxa"/>
            <w:shd w:val="clear" w:color="auto" w:fill="FFFFFF"/>
            <w:tcMar>
              <w:top w:w="95" w:type="dxa"/>
              <w:left w:w="110" w:type="dxa"/>
              <w:bottom w:w="95" w:type="dxa"/>
              <w:right w:w="110" w:type="dxa"/>
            </w:tcMar>
            <w:vAlign w:val="center"/>
          </w:tcPr>
          <w:p w14:paraId="4785AF86" w14:textId="77777777" w:rsidR="00487463" w:rsidRDefault="00B10A8D">
            <w:pPr>
              <w:spacing w:after="0" w:line="240" w:lineRule="auto"/>
              <w:jc w:val="center"/>
              <w:rPr>
                <w:rFonts w:hint="eastAsia"/>
              </w:rPr>
            </w:pPr>
            <w:r>
              <w:rPr>
                <w:sz w:val="18"/>
              </w:rPr>
              <w:t>Contract acquisition</w:t>
            </w:r>
          </w:p>
        </w:tc>
        <w:tc>
          <w:tcPr>
            <w:tcW w:w="6408" w:type="dxa"/>
            <w:shd w:val="clear" w:color="auto" w:fill="FFFFFF"/>
            <w:tcMar>
              <w:top w:w="95" w:type="dxa"/>
              <w:left w:w="110" w:type="dxa"/>
              <w:bottom w:w="95" w:type="dxa"/>
              <w:right w:w="110" w:type="dxa"/>
            </w:tcMar>
            <w:vAlign w:val="center"/>
          </w:tcPr>
          <w:p w14:paraId="6EAB74EE" w14:textId="77777777" w:rsidR="00487463" w:rsidRDefault="00B10A8D">
            <w:pPr>
              <w:spacing w:after="0" w:line="240" w:lineRule="auto"/>
              <w:rPr>
                <w:rFonts w:hint="eastAsia"/>
              </w:rPr>
            </w:pPr>
            <w:r>
              <w:rPr>
                <w:sz w:val="18"/>
              </w:rPr>
              <w:t>May it obtain the Reader and dependencies?</w:t>
            </w:r>
          </w:p>
        </w:tc>
      </w:tr>
      <w:tr w:rsidR="00487463" w14:paraId="0D08394B" w14:textId="77777777">
        <w:trPr>
          <w:jc w:val="center"/>
        </w:trPr>
        <w:tc>
          <w:tcPr>
            <w:tcW w:w="2880" w:type="dxa"/>
            <w:shd w:val="clear" w:color="auto" w:fill="FFFFFF"/>
            <w:tcMar>
              <w:top w:w="95" w:type="dxa"/>
              <w:left w:w="110" w:type="dxa"/>
              <w:bottom w:w="95" w:type="dxa"/>
              <w:right w:w="110" w:type="dxa"/>
            </w:tcMar>
            <w:vAlign w:val="center"/>
          </w:tcPr>
          <w:p w14:paraId="3621F1AB" w14:textId="77777777" w:rsidR="00487463" w:rsidRDefault="00B10A8D">
            <w:pPr>
              <w:spacing w:after="0" w:line="240" w:lineRule="auto"/>
              <w:jc w:val="center"/>
              <w:rPr>
                <w:rFonts w:hint="eastAsia"/>
              </w:rPr>
            </w:pPr>
            <w:r>
              <w:rPr>
                <w:sz w:val="18"/>
              </w:rPr>
              <w:t>Interpretation</w:t>
            </w:r>
          </w:p>
        </w:tc>
        <w:tc>
          <w:tcPr>
            <w:tcW w:w="6408" w:type="dxa"/>
            <w:shd w:val="clear" w:color="auto" w:fill="FFFFFF"/>
            <w:tcMar>
              <w:top w:w="95" w:type="dxa"/>
              <w:left w:w="110" w:type="dxa"/>
              <w:bottom w:w="95" w:type="dxa"/>
              <w:right w:w="110" w:type="dxa"/>
            </w:tcMar>
            <w:vAlign w:val="center"/>
          </w:tcPr>
          <w:p w14:paraId="4F410922" w14:textId="77777777" w:rsidR="00487463" w:rsidRDefault="00B10A8D">
            <w:pPr>
              <w:spacing w:after="0" w:line="240" w:lineRule="auto"/>
              <w:rPr>
                <w:rFonts w:hint="eastAsia"/>
              </w:rPr>
            </w:pPr>
            <w:r>
              <w:rPr>
                <w:sz w:val="18"/>
              </w:rPr>
              <w:t>May it decode and inspect the state?</w:t>
            </w:r>
          </w:p>
        </w:tc>
      </w:tr>
      <w:tr w:rsidR="00487463" w14:paraId="28305D3D" w14:textId="77777777">
        <w:trPr>
          <w:jc w:val="center"/>
        </w:trPr>
        <w:tc>
          <w:tcPr>
            <w:tcW w:w="2880" w:type="dxa"/>
            <w:shd w:val="clear" w:color="auto" w:fill="FFFFFF"/>
            <w:tcMar>
              <w:top w:w="95" w:type="dxa"/>
              <w:left w:w="110" w:type="dxa"/>
              <w:bottom w:w="95" w:type="dxa"/>
              <w:right w:w="110" w:type="dxa"/>
            </w:tcMar>
            <w:vAlign w:val="center"/>
          </w:tcPr>
          <w:p w14:paraId="0F8AA0DB" w14:textId="77777777" w:rsidR="00487463" w:rsidRDefault="00B10A8D">
            <w:pPr>
              <w:spacing w:after="0" w:line="240" w:lineRule="auto"/>
              <w:jc w:val="center"/>
              <w:rPr>
                <w:rFonts w:hint="eastAsia"/>
              </w:rPr>
            </w:pPr>
            <w:r>
              <w:rPr>
                <w:sz w:val="18"/>
              </w:rPr>
              <w:t>Mutation</w:t>
            </w:r>
          </w:p>
        </w:tc>
        <w:tc>
          <w:tcPr>
            <w:tcW w:w="6408" w:type="dxa"/>
            <w:shd w:val="clear" w:color="auto" w:fill="FFFFFF"/>
            <w:tcMar>
              <w:top w:w="95" w:type="dxa"/>
              <w:left w:w="110" w:type="dxa"/>
              <w:bottom w:w="95" w:type="dxa"/>
              <w:right w:w="110" w:type="dxa"/>
            </w:tcMar>
            <w:vAlign w:val="center"/>
          </w:tcPr>
          <w:p w14:paraId="5449A449" w14:textId="77777777" w:rsidR="00487463" w:rsidRDefault="00B10A8D">
            <w:pPr>
              <w:spacing w:after="0" w:line="240" w:lineRule="auto"/>
              <w:rPr>
                <w:rFonts w:hint="eastAsia"/>
              </w:rPr>
            </w:pPr>
            <w:r>
              <w:rPr>
                <w:sz w:val="18"/>
              </w:rPr>
              <w:t>May it write canonical state?</w:t>
            </w:r>
          </w:p>
        </w:tc>
      </w:tr>
      <w:tr w:rsidR="00487463" w14:paraId="4D32405B" w14:textId="77777777">
        <w:trPr>
          <w:jc w:val="center"/>
        </w:trPr>
        <w:tc>
          <w:tcPr>
            <w:tcW w:w="2880" w:type="dxa"/>
            <w:shd w:val="clear" w:color="auto" w:fill="FFFFFF"/>
            <w:tcMar>
              <w:top w:w="95" w:type="dxa"/>
              <w:left w:w="110" w:type="dxa"/>
              <w:bottom w:w="95" w:type="dxa"/>
              <w:right w:w="110" w:type="dxa"/>
            </w:tcMar>
            <w:vAlign w:val="center"/>
          </w:tcPr>
          <w:p w14:paraId="6275A308" w14:textId="77777777" w:rsidR="00487463" w:rsidRDefault="00B10A8D">
            <w:pPr>
              <w:spacing w:after="0" w:line="240" w:lineRule="auto"/>
              <w:jc w:val="center"/>
              <w:rPr>
                <w:rFonts w:hint="eastAsia"/>
              </w:rPr>
            </w:pPr>
            <w:r>
              <w:rPr>
                <w:sz w:val="18"/>
              </w:rPr>
              <w:t>Execution</w:t>
            </w:r>
          </w:p>
        </w:tc>
        <w:tc>
          <w:tcPr>
            <w:tcW w:w="6408" w:type="dxa"/>
            <w:shd w:val="clear" w:color="auto" w:fill="FFFFFF"/>
            <w:tcMar>
              <w:top w:w="95" w:type="dxa"/>
              <w:left w:w="110" w:type="dxa"/>
              <w:bottom w:w="95" w:type="dxa"/>
              <w:right w:w="110" w:type="dxa"/>
            </w:tcMar>
            <w:vAlign w:val="center"/>
          </w:tcPr>
          <w:p w14:paraId="55FC5ABF" w14:textId="77777777" w:rsidR="00487463" w:rsidRDefault="00B10A8D">
            <w:pPr>
              <w:spacing w:after="0" w:line="240" w:lineRule="auto"/>
              <w:rPr>
                <w:rFonts w:hint="eastAsia"/>
              </w:rPr>
            </w:pPr>
            <w:r>
              <w:rPr>
                <w:sz w:val="18"/>
              </w:rPr>
              <w:t>May it cause tools, devices, or external systems to act?</w:t>
            </w:r>
          </w:p>
        </w:tc>
      </w:tr>
    </w:tbl>
    <w:p w14:paraId="1BDBBD46" w14:textId="77777777" w:rsidR="00487463" w:rsidRDefault="00487463">
      <w:pPr>
        <w:spacing w:after="0"/>
        <w:rPr>
          <w:rFonts w:hint="eastAsia"/>
        </w:rPr>
      </w:pPr>
    </w:p>
    <w:p w14:paraId="57F8F494" w14:textId="77777777" w:rsidR="00487463" w:rsidRDefault="00B10A8D">
      <w:pPr>
        <w:pStyle w:val="Heading1"/>
      </w:pPr>
      <w:r>
        <w:t>12. Liminal Bridges as Bounded Shared-State Habitats</w:t>
      </w:r>
    </w:p>
    <w:p w14:paraId="04CBBCEB" w14:textId="77777777" w:rsidR="00487463" w:rsidRDefault="00B10A8D">
      <w:pPr>
        <w:rPr>
          <w:rFonts w:hint="eastAsia"/>
        </w:rPr>
      </w:pPr>
      <w:r>
        <w:t>A Liminal Bridge is the intentional shared boundary between otherwise independent Bases. In EDIFICE v2, the Bridge does not have to act as a universal semantic translator. When both endpoints share a canonical BitWord, the Bridge may simply hold or route the canonical state. Each endpoint reconstructs that state locally through its own compatible Reader.</w:t>
      </w:r>
    </w:p>
    <w:p w14:paraId="171B2D1C" w14:textId="77777777" w:rsidR="00487463" w:rsidRDefault="00B10A8D">
      <w:pPr>
        <w:rPr>
          <w:rFonts w:hint="eastAsia"/>
        </w:rPr>
      </w:pPr>
      <w:r>
        <w:t>The Bridge can also own relationship-specific state, shared observations, provenance, correspondence records, bridge Rules, or genuine Crosswalks where identities differ. Endpoint Bases retain ownership of their native internal data. The Bridge owns the liminal layer rather than becoming a stale copy of both worlds.</w:t>
      </w:r>
    </w:p>
    <w:p w14:paraId="089E4552" w14:textId="77777777" w:rsidR="00487463" w:rsidRDefault="00B10A8D">
      <w:pPr>
        <w:spacing w:before="120" w:after="60"/>
        <w:jc w:val="center"/>
        <w:rPr>
          <w:rFonts w:hint="eastAsia"/>
        </w:rPr>
      </w:pPr>
      <w:r>
        <w:rPr>
          <w:noProof/>
        </w:rPr>
        <w:drawing>
          <wp:inline distT="0" distB="0" distL="0" distR="0" wp14:anchorId="0ECD25FE" wp14:editId="6F37357F">
            <wp:extent cx="5943600" cy="336158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6_liminal_shared_hub.png"/>
                    <pic:cNvPicPr/>
                  </pic:nvPicPr>
                  <pic:blipFill>
                    <a:blip r:embed="rId23"/>
                    <a:stretch>
                      <a:fillRect/>
                    </a:stretch>
                  </pic:blipFill>
                  <pic:spPr>
                    <a:xfrm>
                      <a:off x="0" y="0"/>
                      <a:ext cx="5943600" cy="3361585"/>
                    </a:xfrm>
                    <a:prstGeom prst="rect">
                      <a:avLst/>
                    </a:prstGeom>
                  </pic:spPr>
                </pic:pic>
              </a:graphicData>
            </a:graphic>
          </wp:inline>
        </w:drawing>
      </w:r>
    </w:p>
    <w:p w14:paraId="3AD60C78" w14:textId="77777777" w:rsidR="00487463" w:rsidRDefault="00B10A8D">
      <w:pPr>
        <w:spacing w:after="160"/>
        <w:jc w:val="center"/>
        <w:rPr>
          <w:rFonts w:hint="eastAsia"/>
        </w:rPr>
      </w:pPr>
      <w:r>
        <w:rPr>
          <w:b/>
          <w:i/>
          <w:color w:val="596675"/>
          <w:sz w:val="18"/>
        </w:rPr>
        <w:t>Figure 16. A Liminal Bridge Base as a bounded shared-state hub.</w:t>
      </w:r>
    </w:p>
    <w:p w14:paraId="40A91B7B" w14:textId="77777777" w:rsidR="00487463" w:rsidRDefault="00B10A8D">
      <w:pPr>
        <w:pStyle w:val="Heading2"/>
      </w:pPr>
      <w:r>
        <w:t>12.1 Liminal Bridge Base Cloning</w:t>
      </w:r>
    </w:p>
    <w:p w14:paraId="329006E4" w14:textId="77777777" w:rsidR="00487463" w:rsidRDefault="00B10A8D">
      <w:pPr>
        <w:rPr>
          <w:rFonts w:hint="eastAsia"/>
        </w:rPr>
      </w:pPr>
      <w:r>
        <w:t>Liminal Bridge Base Cloning turns a cloned Base pair into an experimentally useful shared topology. Begin with Base A and an attached Sub-Base. Clone Base A into Base B. Add a second Base Data Contract in the cloned Base's Z table that points to the existing Sub-Base. The Sub-Base now becomes the bounded central hub for both endpoints.</w:t>
      </w:r>
    </w:p>
    <w:p w14:paraId="5A651E10" w14:textId="77777777" w:rsidR="00487463" w:rsidRDefault="00B10A8D">
      <w:pPr>
        <w:rPr>
          <w:rFonts w:hint="eastAsia"/>
        </w:rPr>
      </w:pPr>
      <w:r>
        <w:t>Base A and Base B may diverge independently while continuing to share selected canonical state through the Bridge. Because both began from a common lineage, many BitWord contracts may already be identical. Shared state therefore reconstructs directly. As the branches diverge, BOSS mappings and explicit correspondence records become relevant only where canonical identities stop matching.</w:t>
      </w:r>
    </w:p>
    <w:p w14:paraId="743F1F5B" w14:textId="77777777" w:rsidR="00487463" w:rsidRDefault="00B10A8D">
      <w:pPr>
        <w:spacing w:before="120" w:after="60"/>
        <w:jc w:val="center"/>
        <w:rPr>
          <w:rFonts w:hint="eastAsia"/>
        </w:rPr>
      </w:pPr>
      <w:r>
        <w:rPr>
          <w:noProof/>
        </w:rPr>
        <w:drawing>
          <wp:inline distT="0" distB="0" distL="0" distR="0" wp14:anchorId="340C3A21" wp14:editId="541EDA88">
            <wp:extent cx="5943600" cy="336158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7_liminal_clone.png"/>
                    <pic:cNvPicPr/>
                  </pic:nvPicPr>
                  <pic:blipFill>
                    <a:blip r:embed="rId24"/>
                    <a:stretch>
                      <a:fillRect/>
                    </a:stretch>
                  </pic:blipFill>
                  <pic:spPr>
                    <a:xfrm>
                      <a:off x="0" y="0"/>
                      <a:ext cx="5943600" cy="3361585"/>
                    </a:xfrm>
                    <a:prstGeom prst="rect">
                      <a:avLst/>
                    </a:prstGeom>
                  </pic:spPr>
                </pic:pic>
              </a:graphicData>
            </a:graphic>
          </wp:inline>
        </w:drawing>
      </w:r>
    </w:p>
    <w:p w14:paraId="34A2D434" w14:textId="77777777" w:rsidR="00487463" w:rsidRDefault="00B10A8D">
      <w:pPr>
        <w:spacing w:after="160"/>
        <w:jc w:val="center"/>
        <w:rPr>
          <w:rFonts w:hint="eastAsia"/>
        </w:rPr>
      </w:pPr>
      <w:r>
        <w:rPr>
          <w:b/>
          <w:i/>
          <w:color w:val="596675"/>
          <w:sz w:val="18"/>
        </w:rPr>
        <w:t>Figure 17. Liminal Bridge Base Cloning converts an existing Sub-Base into a shared hub between original and clone.</w:t>
      </w:r>
    </w:p>
    <w:p w14:paraId="65B3A92D" w14:textId="77777777" w:rsidR="00487463" w:rsidRDefault="00B10A8D">
      <w:pPr>
        <w:pStyle w:val="Heading1"/>
      </w:pPr>
      <w:r>
        <w:t>13. BOSS in EDIFICE v2: Reconstruct Before Translate</w:t>
      </w:r>
    </w:p>
    <w:p w14:paraId="386E1ED5" w14:textId="77777777" w:rsidR="00487463" w:rsidRDefault="00B10A8D">
      <w:pPr>
        <w:rPr>
          <w:rFonts w:hint="eastAsia"/>
        </w:rPr>
      </w:pPr>
      <w:r>
        <w:t>BOSS remains essential, but its role becomes more precise. It owns symbolic identities, contextual meanings, Families, Communities, Crosswalks, mapping grades, examples, grammars, and recipient-native explanation. It should not be inserted into an exchange path merely because two Bases are different.</w:t>
      </w:r>
    </w:p>
    <w:p w14:paraId="73A1920A" w14:textId="77777777" w:rsidR="00487463" w:rsidRDefault="00B10A8D">
      <w:pPr>
        <w:rPr>
          <w:rFonts w:hint="eastAsia"/>
        </w:rPr>
      </w:pPr>
      <w:r>
        <w:t>The first question is canonical identity. If the same BitWord and compatible version exist on both sides, reconstruct directly. If the identities differ, then determine whether the relationship is exact operational equivalence, structural isomorphism, near-semantic approximation, metaphorical or analogical, merely related, conflicting, or unresolved. BOSS becomes the explicit semantic negotiation layer above exact canonical state.</w:t>
      </w:r>
    </w:p>
    <w:p w14:paraId="186C8079" w14:textId="77777777" w:rsidR="00487463" w:rsidRDefault="00B10A8D">
      <w:pPr>
        <w:spacing w:before="120" w:after="60"/>
        <w:jc w:val="center"/>
        <w:rPr>
          <w:rFonts w:hint="eastAsia"/>
        </w:rPr>
      </w:pPr>
      <w:r>
        <w:rPr>
          <w:noProof/>
        </w:rPr>
        <w:drawing>
          <wp:inline distT="0" distB="0" distL="0" distR="0" wp14:anchorId="3EB26561" wp14:editId="5CE80923">
            <wp:extent cx="5943600" cy="336158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8_reconstruct_or_translate.png"/>
                    <pic:cNvPicPr/>
                  </pic:nvPicPr>
                  <pic:blipFill>
                    <a:blip r:embed="rId25"/>
                    <a:stretch>
                      <a:fillRect/>
                    </a:stretch>
                  </pic:blipFill>
                  <pic:spPr>
                    <a:xfrm>
                      <a:off x="0" y="0"/>
                      <a:ext cx="5943600" cy="3361585"/>
                    </a:xfrm>
                    <a:prstGeom prst="rect">
                      <a:avLst/>
                    </a:prstGeom>
                  </pic:spPr>
                </pic:pic>
              </a:graphicData>
            </a:graphic>
          </wp:inline>
        </w:drawing>
      </w:r>
    </w:p>
    <w:p w14:paraId="15895895" w14:textId="77777777" w:rsidR="00487463" w:rsidRDefault="00B10A8D">
      <w:pPr>
        <w:spacing w:after="160"/>
        <w:jc w:val="center"/>
        <w:rPr>
          <w:rFonts w:hint="eastAsia"/>
        </w:rPr>
      </w:pPr>
      <w:r>
        <w:rPr>
          <w:b/>
          <w:i/>
          <w:color w:val="596675"/>
          <w:sz w:val="18"/>
        </w:rPr>
        <w:t>Figure 18. Canonical identity determines whether EDIFICE reconstructs directly or invokes semantic mapping.</w:t>
      </w:r>
    </w:p>
    <w:p w14:paraId="51180F90" w14:textId="77777777" w:rsidR="00487463" w:rsidRDefault="00B10A8D">
      <w:pPr>
        <w:pStyle w:val="Heading2"/>
      </w:pPr>
      <w:r>
        <w:t>13.1 Mapping grades and semantic remainder</w:t>
      </w:r>
    </w:p>
    <w:p w14:paraId="2319F370" w14:textId="77777777" w:rsidR="00487463" w:rsidRDefault="00B10A8D">
      <w:pPr>
        <w:rPr>
          <w:rFonts w:hint="eastAsia"/>
        </w:rPr>
      </w:pPr>
      <w:r>
        <w:t>The original EDIFICE mapping ladder remains valuable because not all similarities justify substitution. Identity is strongest and now resolves through direct reconstruction. Exact operational equivalence allows bounded substitution under a validated scope. Structural isomorphism preserves relation pattern while acknowledging domain difference. Near-semantic and analogical mappings support learning but retain explicit remainder. Conflict and unresolved mappings block silent translation.</w:t>
      </w:r>
    </w:p>
    <w:p w14:paraId="359CC749" w14:textId="77777777" w:rsidR="00487463" w:rsidRDefault="00B10A8D">
      <w:pPr>
        <w:rPr>
          <w:rFonts w:hint="eastAsia"/>
        </w:rPr>
      </w:pPr>
      <w:r>
        <w:t>This ladder lets EDIFICE communicate across radically different semantic worlds without pretending that approximate resemblance is sameness.</w:t>
      </w:r>
    </w:p>
    <w:p w14:paraId="5A960CD1" w14:textId="77777777" w:rsidR="00487463" w:rsidRDefault="00B10A8D">
      <w:pPr>
        <w:spacing w:before="120" w:after="60"/>
        <w:jc w:val="center"/>
        <w:rPr>
          <w:rFonts w:hint="eastAsia"/>
        </w:rPr>
      </w:pPr>
      <w:r>
        <w:rPr>
          <w:noProof/>
        </w:rPr>
        <w:drawing>
          <wp:inline distT="0" distB="0" distL="0" distR="0" wp14:anchorId="4CB367D2" wp14:editId="19A2B08B">
            <wp:extent cx="5943600" cy="336158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9_boss_mapping_ladder.png"/>
                    <pic:cNvPicPr/>
                  </pic:nvPicPr>
                  <pic:blipFill>
                    <a:blip r:embed="rId26"/>
                    <a:stretch>
                      <a:fillRect/>
                    </a:stretch>
                  </pic:blipFill>
                  <pic:spPr>
                    <a:xfrm>
                      <a:off x="0" y="0"/>
                      <a:ext cx="5943600" cy="3361585"/>
                    </a:xfrm>
                    <a:prstGeom prst="rect">
                      <a:avLst/>
                    </a:prstGeom>
                  </pic:spPr>
                </pic:pic>
              </a:graphicData>
            </a:graphic>
          </wp:inline>
        </w:drawing>
      </w:r>
    </w:p>
    <w:p w14:paraId="49768AD6" w14:textId="77777777" w:rsidR="00487463" w:rsidRDefault="00B10A8D">
      <w:pPr>
        <w:spacing w:after="160"/>
        <w:jc w:val="center"/>
        <w:rPr>
          <w:rFonts w:hint="eastAsia"/>
        </w:rPr>
      </w:pPr>
      <w:r>
        <w:rPr>
          <w:b/>
          <w:i/>
          <w:color w:val="596675"/>
          <w:sz w:val="18"/>
        </w:rPr>
        <w:t>Figure 19. BOSS mapping ladder positioned above canonical reconstruction.</w:t>
      </w:r>
    </w:p>
    <w:p w14:paraId="63B91692" w14:textId="77777777" w:rsidR="00487463" w:rsidRDefault="00B10A8D">
      <w:pPr>
        <w:spacing w:before="80" w:after="80"/>
        <w:rPr>
          <w:rFonts w:hint="eastAsia"/>
        </w:rPr>
      </w:pPr>
      <w:r>
        <w:rPr>
          <w:b/>
          <w:i/>
          <w:color w:val="4F5E6E"/>
          <w:sz w:val="19"/>
        </w:rPr>
        <w:t>Table 8. Semantic resolution taxonomy for EDIFICE v2.</w:t>
      </w:r>
    </w:p>
    <w:tbl>
      <w:tblPr>
        <w:tblW w:w="0" w:type="auto"/>
        <w:jc w:val="center"/>
        <w:tblLayout w:type="fixed"/>
        <w:tblLook w:val="04A0" w:firstRow="1" w:lastRow="0" w:firstColumn="1" w:lastColumn="0" w:noHBand="0" w:noVBand="1"/>
      </w:tblPr>
      <w:tblGrid>
        <w:gridCol w:w="2592"/>
        <w:gridCol w:w="2088"/>
        <w:gridCol w:w="4608"/>
      </w:tblGrid>
      <w:tr w:rsidR="00487463" w14:paraId="0F644CA0" w14:textId="77777777">
        <w:trPr>
          <w:jc w:val="center"/>
        </w:trPr>
        <w:tc>
          <w:tcPr>
            <w:tcW w:w="2592" w:type="dxa"/>
            <w:shd w:val="clear" w:color="auto" w:fill="17365D"/>
            <w:tcMar>
              <w:top w:w="100" w:type="dxa"/>
              <w:left w:w="120" w:type="dxa"/>
              <w:bottom w:w="100" w:type="dxa"/>
              <w:right w:w="120" w:type="dxa"/>
            </w:tcMar>
            <w:vAlign w:val="center"/>
          </w:tcPr>
          <w:p w14:paraId="4EA3CF48" w14:textId="77777777" w:rsidR="00487463" w:rsidRDefault="00B10A8D">
            <w:pPr>
              <w:jc w:val="center"/>
              <w:rPr>
                <w:rFonts w:hint="eastAsia"/>
              </w:rPr>
            </w:pPr>
            <w:r>
              <w:rPr>
                <w:b/>
                <w:color w:val="FFFFFF"/>
                <w:sz w:val="19"/>
              </w:rPr>
              <w:t>Resolution</w:t>
            </w:r>
          </w:p>
        </w:tc>
        <w:tc>
          <w:tcPr>
            <w:tcW w:w="2088" w:type="dxa"/>
            <w:shd w:val="clear" w:color="auto" w:fill="17365D"/>
            <w:tcMar>
              <w:top w:w="100" w:type="dxa"/>
              <w:left w:w="120" w:type="dxa"/>
              <w:bottom w:w="100" w:type="dxa"/>
              <w:right w:w="120" w:type="dxa"/>
            </w:tcMar>
            <w:vAlign w:val="center"/>
          </w:tcPr>
          <w:p w14:paraId="7D53DABD" w14:textId="77777777" w:rsidR="00487463" w:rsidRDefault="00B10A8D">
            <w:pPr>
              <w:jc w:val="center"/>
              <w:rPr>
                <w:rFonts w:hint="eastAsia"/>
              </w:rPr>
            </w:pPr>
            <w:r>
              <w:rPr>
                <w:b/>
                <w:color w:val="FFFFFF"/>
                <w:sz w:val="19"/>
              </w:rPr>
              <w:t>Substitution</w:t>
            </w:r>
          </w:p>
        </w:tc>
        <w:tc>
          <w:tcPr>
            <w:tcW w:w="4608" w:type="dxa"/>
            <w:shd w:val="clear" w:color="auto" w:fill="17365D"/>
            <w:tcMar>
              <w:top w:w="100" w:type="dxa"/>
              <w:left w:w="120" w:type="dxa"/>
              <w:bottom w:w="100" w:type="dxa"/>
              <w:right w:w="120" w:type="dxa"/>
            </w:tcMar>
            <w:vAlign w:val="center"/>
          </w:tcPr>
          <w:p w14:paraId="14FB7FD8" w14:textId="77777777" w:rsidR="00487463" w:rsidRDefault="00B10A8D">
            <w:pPr>
              <w:jc w:val="center"/>
              <w:rPr>
                <w:rFonts w:hint="eastAsia"/>
              </w:rPr>
            </w:pPr>
            <w:r>
              <w:rPr>
                <w:b/>
                <w:color w:val="FFFFFF"/>
                <w:sz w:val="19"/>
              </w:rPr>
              <w:t>Required behavior</w:t>
            </w:r>
          </w:p>
        </w:tc>
      </w:tr>
      <w:tr w:rsidR="00487463" w14:paraId="783ABEDE" w14:textId="77777777">
        <w:trPr>
          <w:jc w:val="center"/>
        </w:trPr>
        <w:tc>
          <w:tcPr>
            <w:tcW w:w="2592" w:type="dxa"/>
            <w:shd w:val="clear" w:color="auto" w:fill="FFFFFF"/>
            <w:tcMar>
              <w:top w:w="95" w:type="dxa"/>
              <w:left w:w="110" w:type="dxa"/>
              <w:bottom w:w="95" w:type="dxa"/>
              <w:right w:w="110" w:type="dxa"/>
            </w:tcMar>
            <w:vAlign w:val="center"/>
          </w:tcPr>
          <w:p w14:paraId="15DC50B9" w14:textId="77777777" w:rsidR="00487463" w:rsidRDefault="00B10A8D">
            <w:pPr>
              <w:spacing w:after="0" w:line="240" w:lineRule="auto"/>
              <w:jc w:val="center"/>
              <w:rPr>
                <w:rFonts w:hint="eastAsia"/>
              </w:rPr>
            </w:pPr>
            <w:r>
              <w:rPr>
                <w:sz w:val="18"/>
              </w:rPr>
              <w:t>Canonical identity</w:t>
            </w:r>
          </w:p>
        </w:tc>
        <w:tc>
          <w:tcPr>
            <w:tcW w:w="2088" w:type="dxa"/>
            <w:shd w:val="clear" w:color="auto" w:fill="FFFFFF"/>
            <w:tcMar>
              <w:top w:w="95" w:type="dxa"/>
              <w:left w:w="110" w:type="dxa"/>
              <w:bottom w:w="95" w:type="dxa"/>
              <w:right w:w="110" w:type="dxa"/>
            </w:tcMar>
            <w:vAlign w:val="center"/>
          </w:tcPr>
          <w:p w14:paraId="40117E55" w14:textId="77777777" w:rsidR="00487463" w:rsidRDefault="00B10A8D">
            <w:pPr>
              <w:spacing w:after="0" w:line="240" w:lineRule="auto"/>
              <w:rPr>
                <w:rFonts w:hint="eastAsia"/>
              </w:rPr>
            </w:pPr>
            <w:r>
              <w:rPr>
                <w:sz w:val="18"/>
              </w:rPr>
              <w:t>Yes, compatible version</w:t>
            </w:r>
          </w:p>
        </w:tc>
        <w:tc>
          <w:tcPr>
            <w:tcW w:w="4608" w:type="dxa"/>
            <w:shd w:val="clear" w:color="auto" w:fill="FFFFFF"/>
            <w:tcMar>
              <w:top w:w="95" w:type="dxa"/>
              <w:left w:w="110" w:type="dxa"/>
              <w:bottom w:w="95" w:type="dxa"/>
              <w:right w:w="110" w:type="dxa"/>
            </w:tcMar>
            <w:vAlign w:val="center"/>
          </w:tcPr>
          <w:p w14:paraId="7A285466" w14:textId="77777777" w:rsidR="00487463" w:rsidRDefault="00B10A8D">
            <w:pPr>
              <w:spacing w:after="0" w:line="240" w:lineRule="auto"/>
              <w:rPr>
                <w:rFonts w:hint="eastAsia"/>
              </w:rPr>
            </w:pPr>
            <w:r>
              <w:rPr>
                <w:sz w:val="18"/>
              </w:rPr>
              <w:t>Reconstruct directly</w:t>
            </w:r>
          </w:p>
        </w:tc>
      </w:tr>
      <w:tr w:rsidR="00487463" w14:paraId="631CAE4A" w14:textId="77777777">
        <w:trPr>
          <w:jc w:val="center"/>
        </w:trPr>
        <w:tc>
          <w:tcPr>
            <w:tcW w:w="2592" w:type="dxa"/>
            <w:shd w:val="clear" w:color="auto" w:fill="FFFFFF"/>
            <w:tcMar>
              <w:top w:w="95" w:type="dxa"/>
              <w:left w:w="110" w:type="dxa"/>
              <w:bottom w:w="95" w:type="dxa"/>
              <w:right w:w="110" w:type="dxa"/>
            </w:tcMar>
            <w:vAlign w:val="center"/>
          </w:tcPr>
          <w:p w14:paraId="00B9478F" w14:textId="77777777" w:rsidR="00487463" w:rsidRDefault="00B10A8D">
            <w:pPr>
              <w:spacing w:after="0" w:line="240" w:lineRule="auto"/>
              <w:rPr>
                <w:rFonts w:hint="eastAsia"/>
              </w:rPr>
            </w:pPr>
            <w:r>
              <w:rPr>
                <w:sz w:val="18"/>
              </w:rPr>
              <w:t>Exact operational equivalence</w:t>
            </w:r>
          </w:p>
        </w:tc>
        <w:tc>
          <w:tcPr>
            <w:tcW w:w="2088" w:type="dxa"/>
            <w:shd w:val="clear" w:color="auto" w:fill="FFFFFF"/>
            <w:tcMar>
              <w:top w:w="95" w:type="dxa"/>
              <w:left w:w="110" w:type="dxa"/>
              <w:bottom w:w="95" w:type="dxa"/>
              <w:right w:w="110" w:type="dxa"/>
            </w:tcMar>
            <w:vAlign w:val="center"/>
          </w:tcPr>
          <w:p w14:paraId="5EFAE4A1" w14:textId="77777777" w:rsidR="00487463" w:rsidRDefault="00B10A8D">
            <w:pPr>
              <w:spacing w:after="0" w:line="240" w:lineRule="auto"/>
              <w:rPr>
                <w:rFonts w:hint="eastAsia"/>
              </w:rPr>
            </w:pPr>
            <w:r>
              <w:rPr>
                <w:sz w:val="18"/>
              </w:rPr>
              <w:t>Yes, within validated scope</w:t>
            </w:r>
          </w:p>
        </w:tc>
        <w:tc>
          <w:tcPr>
            <w:tcW w:w="4608" w:type="dxa"/>
            <w:shd w:val="clear" w:color="auto" w:fill="FFFFFF"/>
            <w:tcMar>
              <w:top w:w="95" w:type="dxa"/>
              <w:left w:w="110" w:type="dxa"/>
              <w:bottom w:w="95" w:type="dxa"/>
              <w:right w:w="110" w:type="dxa"/>
            </w:tcMar>
            <w:vAlign w:val="center"/>
          </w:tcPr>
          <w:p w14:paraId="5A21F0B8" w14:textId="77777777" w:rsidR="00487463" w:rsidRDefault="00B10A8D">
            <w:pPr>
              <w:spacing w:after="0" w:line="240" w:lineRule="auto"/>
              <w:rPr>
                <w:rFonts w:hint="eastAsia"/>
              </w:rPr>
            </w:pPr>
            <w:r>
              <w:rPr>
                <w:sz w:val="18"/>
              </w:rPr>
              <w:t>Permit substitution and preserve scope</w:t>
            </w:r>
          </w:p>
        </w:tc>
      </w:tr>
      <w:tr w:rsidR="00487463" w14:paraId="78C05648" w14:textId="77777777">
        <w:trPr>
          <w:jc w:val="center"/>
        </w:trPr>
        <w:tc>
          <w:tcPr>
            <w:tcW w:w="2592" w:type="dxa"/>
            <w:shd w:val="clear" w:color="auto" w:fill="FFFFFF"/>
            <w:tcMar>
              <w:top w:w="95" w:type="dxa"/>
              <w:left w:w="110" w:type="dxa"/>
              <w:bottom w:w="95" w:type="dxa"/>
              <w:right w:w="110" w:type="dxa"/>
            </w:tcMar>
            <w:vAlign w:val="center"/>
          </w:tcPr>
          <w:p w14:paraId="5E5738DA" w14:textId="77777777" w:rsidR="00487463" w:rsidRDefault="00B10A8D">
            <w:pPr>
              <w:spacing w:after="0" w:line="240" w:lineRule="auto"/>
              <w:jc w:val="center"/>
              <w:rPr>
                <w:rFonts w:hint="eastAsia"/>
              </w:rPr>
            </w:pPr>
            <w:r>
              <w:rPr>
                <w:sz w:val="18"/>
              </w:rPr>
              <w:t>Structural isomorphism</w:t>
            </w:r>
          </w:p>
        </w:tc>
        <w:tc>
          <w:tcPr>
            <w:tcW w:w="2088" w:type="dxa"/>
            <w:shd w:val="clear" w:color="auto" w:fill="FFFFFF"/>
            <w:tcMar>
              <w:top w:w="95" w:type="dxa"/>
              <w:left w:w="110" w:type="dxa"/>
              <w:bottom w:w="95" w:type="dxa"/>
              <w:right w:w="110" w:type="dxa"/>
            </w:tcMar>
            <w:vAlign w:val="center"/>
          </w:tcPr>
          <w:p w14:paraId="532CF995" w14:textId="77777777" w:rsidR="00487463" w:rsidRDefault="00B10A8D">
            <w:pPr>
              <w:spacing w:after="0" w:line="240" w:lineRule="auto"/>
              <w:rPr>
                <w:rFonts w:hint="eastAsia"/>
              </w:rPr>
            </w:pPr>
            <w:r>
              <w:rPr>
                <w:sz w:val="18"/>
              </w:rPr>
              <w:t>Structure only</w:t>
            </w:r>
          </w:p>
        </w:tc>
        <w:tc>
          <w:tcPr>
            <w:tcW w:w="4608" w:type="dxa"/>
            <w:shd w:val="clear" w:color="auto" w:fill="FFFFFF"/>
            <w:tcMar>
              <w:top w:w="95" w:type="dxa"/>
              <w:left w:w="110" w:type="dxa"/>
              <w:bottom w:w="95" w:type="dxa"/>
              <w:right w:w="110" w:type="dxa"/>
            </w:tcMar>
            <w:vAlign w:val="center"/>
          </w:tcPr>
          <w:p w14:paraId="7F6FA2AA" w14:textId="77777777" w:rsidR="00487463" w:rsidRDefault="00B10A8D">
            <w:pPr>
              <w:spacing w:after="0" w:line="240" w:lineRule="auto"/>
              <w:rPr>
                <w:rFonts w:hint="eastAsia"/>
              </w:rPr>
            </w:pPr>
            <w:r>
              <w:rPr>
                <w:sz w:val="18"/>
              </w:rPr>
              <w:t>Translate relation pattern; preserve domain difference</w:t>
            </w:r>
          </w:p>
        </w:tc>
      </w:tr>
      <w:tr w:rsidR="00487463" w14:paraId="5CA152DD" w14:textId="77777777">
        <w:trPr>
          <w:jc w:val="center"/>
        </w:trPr>
        <w:tc>
          <w:tcPr>
            <w:tcW w:w="2592" w:type="dxa"/>
            <w:shd w:val="clear" w:color="auto" w:fill="FFFFFF"/>
            <w:tcMar>
              <w:top w:w="95" w:type="dxa"/>
              <w:left w:w="110" w:type="dxa"/>
              <w:bottom w:w="95" w:type="dxa"/>
              <w:right w:w="110" w:type="dxa"/>
            </w:tcMar>
            <w:vAlign w:val="center"/>
          </w:tcPr>
          <w:p w14:paraId="05BAF209" w14:textId="77777777" w:rsidR="00487463" w:rsidRDefault="00B10A8D">
            <w:pPr>
              <w:spacing w:after="0" w:line="240" w:lineRule="auto"/>
              <w:jc w:val="center"/>
              <w:rPr>
                <w:rFonts w:hint="eastAsia"/>
              </w:rPr>
            </w:pPr>
            <w:r>
              <w:rPr>
                <w:sz w:val="18"/>
              </w:rPr>
              <w:t>Near-semantic approximation</w:t>
            </w:r>
          </w:p>
        </w:tc>
        <w:tc>
          <w:tcPr>
            <w:tcW w:w="2088" w:type="dxa"/>
            <w:shd w:val="clear" w:color="auto" w:fill="FFFFFF"/>
            <w:tcMar>
              <w:top w:w="95" w:type="dxa"/>
              <w:left w:w="110" w:type="dxa"/>
              <w:bottom w:w="95" w:type="dxa"/>
              <w:right w:w="110" w:type="dxa"/>
            </w:tcMar>
            <w:vAlign w:val="center"/>
          </w:tcPr>
          <w:p w14:paraId="6FE3E9B5" w14:textId="77777777" w:rsidR="00487463" w:rsidRDefault="00B10A8D">
            <w:pPr>
              <w:spacing w:after="0" w:line="240" w:lineRule="auto"/>
              <w:rPr>
                <w:rFonts w:hint="eastAsia"/>
              </w:rPr>
            </w:pPr>
            <w:r>
              <w:rPr>
                <w:sz w:val="18"/>
              </w:rPr>
              <w:t>No automatic substitution</w:t>
            </w:r>
          </w:p>
        </w:tc>
        <w:tc>
          <w:tcPr>
            <w:tcW w:w="4608" w:type="dxa"/>
            <w:shd w:val="clear" w:color="auto" w:fill="FFFFFF"/>
            <w:tcMar>
              <w:top w:w="95" w:type="dxa"/>
              <w:left w:w="110" w:type="dxa"/>
              <w:bottom w:w="95" w:type="dxa"/>
              <w:right w:w="110" w:type="dxa"/>
            </w:tcMar>
            <w:vAlign w:val="center"/>
          </w:tcPr>
          <w:p w14:paraId="1589A590" w14:textId="77777777" w:rsidR="00487463" w:rsidRDefault="00B10A8D">
            <w:pPr>
              <w:spacing w:after="0" w:line="240" w:lineRule="auto"/>
              <w:rPr>
                <w:rFonts w:hint="eastAsia"/>
              </w:rPr>
            </w:pPr>
            <w:r>
              <w:rPr>
                <w:sz w:val="18"/>
              </w:rPr>
              <w:t>Show overlap and semantic remainder</w:t>
            </w:r>
          </w:p>
        </w:tc>
      </w:tr>
      <w:tr w:rsidR="00487463" w14:paraId="0EB1B607" w14:textId="77777777">
        <w:trPr>
          <w:jc w:val="center"/>
        </w:trPr>
        <w:tc>
          <w:tcPr>
            <w:tcW w:w="2592" w:type="dxa"/>
            <w:shd w:val="clear" w:color="auto" w:fill="FFFFFF"/>
            <w:tcMar>
              <w:top w:w="95" w:type="dxa"/>
              <w:left w:w="110" w:type="dxa"/>
              <w:bottom w:w="95" w:type="dxa"/>
              <w:right w:w="110" w:type="dxa"/>
            </w:tcMar>
            <w:vAlign w:val="center"/>
          </w:tcPr>
          <w:p w14:paraId="33F4C20D" w14:textId="77777777" w:rsidR="00487463" w:rsidRDefault="00B10A8D">
            <w:pPr>
              <w:spacing w:after="0" w:line="240" w:lineRule="auto"/>
              <w:jc w:val="center"/>
              <w:rPr>
                <w:rFonts w:hint="eastAsia"/>
              </w:rPr>
            </w:pPr>
            <w:r>
              <w:rPr>
                <w:sz w:val="18"/>
              </w:rPr>
              <w:t>Metaphorical / analogical</w:t>
            </w:r>
          </w:p>
        </w:tc>
        <w:tc>
          <w:tcPr>
            <w:tcW w:w="2088" w:type="dxa"/>
            <w:shd w:val="clear" w:color="auto" w:fill="FFFFFF"/>
            <w:tcMar>
              <w:top w:w="95" w:type="dxa"/>
              <w:left w:w="110" w:type="dxa"/>
              <w:bottom w:w="95" w:type="dxa"/>
              <w:right w:w="110" w:type="dxa"/>
            </w:tcMar>
            <w:vAlign w:val="center"/>
          </w:tcPr>
          <w:p w14:paraId="4FC5376D" w14:textId="77777777" w:rsidR="00487463" w:rsidRDefault="00B10A8D">
            <w:pPr>
              <w:spacing w:after="0" w:line="240" w:lineRule="auto"/>
              <w:rPr>
                <w:rFonts w:hint="eastAsia"/>
              </w:rPr>
            </w:pPr>
            <w:r>
              <w:rPr>
                <w:sz w:val="18"/>
              </w:rPr>
              <w:t>No</w:t>
            </w:r>
          </w:p>
        </w:tc>
        <w:tc>
          <w:tcPr>
            <w:tcW w:w="4608" w:type="dxa"/>
            <w:shd w:val="clear" w:color="auto" w:fill="FFFFFF"/>
            <w:tcMar>
              <w:top w:w="95" w:type="dxa"/>
              <w:left w:w="110" w:type="dxa"/>
              <w:bottom w:w="95" w:type="dxa"/>
              <w:right w:w="110" w:type="dxa"/>
            </w:tcMar>
            <w:vAlign w:val="center"/>
          </w:tcPr>
          <w:p w14:paraId="5BEC2E1B" w14:textId="77777777" w:rsidR="00487463" w:rsidRDefault="00B10A8D">
            <w:pPr>
              <w:spacing w:after="0" w:line="240" w:lineRule="auto"/>
              <w:rPr>
                <w:rFonts w:hint="eastAsia"/>
              </w:rPr>
            </w:pPr>
            <w:r>
              <w:rPr>
                <w:sz w:val="18"/>
              </w:rPr>
              <w:t>Use only as bounded learning or hypothesis bridge</w:t>
            </w:r>
          </w:p>
        </w:tc>
      </w:tr>
      <w:tr w:rsidR="00487463" w14:paraId="09DC4D1D" w14:textId="77777777">
        <w:trPr>
          <w:jc w:val="center"/>
        </w:trPr>
        <w:tc>
          <w:tcPr>
            <w:tcW w:w="2592" w:type="dxa"/>
            <w:shd w:val="clear" w:color="auto" w:fill="FFFFFF"/>
            <w:tcMar>
              <w:top w:w="95" w:type="dxa"/>
              <w:left w:w="110" w:type="dxa"/>
              <w:bottom w:w="95" w:type="dxa"/>
              <w:right w:w="110" w:type="dxa"/>
            </w:tcMar>
            <w:vAlign w:val="center"/>
          </w:tcPr>
          <w:p w14:paraId="52A0D374" w14:textId="77777777" w:rsidR="00487463" w:rsidRDefault="00B10A8D">
            <w:pPr>
              <w:spacing w:after="0" w:line="240" w:lineRule="auto"/>
              <w:jc w:val="center"/>
              <w:rPr>
                <w:rFonts w:hint="eastAsia"/>
              </w:rPr>
            </w:pPr>
            <w:r>
              <w:rPr>
                <w:sz w:val="18"/>
              </w:rPr>
              <w:t>Related</w:t>
            </w:r>
          </w:p>
        </w:tc>
        <w:tc>
          <w:tcPr>
            <w:tcW w:w="2088" w:type="dxa"/>
            <w:shd w:val="clear" w:color="auto" w:fill="FFFFFF"/>
            <w:tcMar>
              <w:top w:w="95" w:type="dxa"/>
              <w:left w:w="110" w:type="dxa"/>
              <w:bottom w:w="95" w:type="dxa"/>
              <w:right w:w="110" w:type="dxa"/>
            </w:tcMar>
            <w:vAlign w:val="center"/>
          </w:tcPr>
          <w:p w14:paraId="7EDCE9B8" w14:textId="77777777" w:rsidR="00487463" w:rsidRDefault="00B10A8D">
            <w:pPr>
              <w:spacing w:after="0" w:line="240" w:lineRule="auto"/>
              <w:rPr>
                <w:rFonts w:hint="eastAsia"/>
              </w:rPr>
            </w:pPr>
            <w:r>
              <w:rPr>
                <w:sz w:val="18"/>
              </w:rPr>
              <w:t>No</w:t>
            </w:r>
          </w:p>
        </w:tc>
        <w:tc>
          <w:tcPr>
            <w:tcW w:w="4608" w:type="dxa"/>
            <w:shd w:val="clear" w:color="auto" w:fill="FFFFFF"/>
            <w:tcMar>
              <w:top w:w="95" w:type="dxa"/>
              <w:left w:w="110" w:type="dxa"/>
              <w:bottom w:w="95" w:type="dxa"/>
              <w:right w:w="110" w:type="dxa"/>
            </w:tcMar>
            <w:vAlign w:val="center"/>
          </w:tcPr>
          <w:p w14:paraId="7BFF3D36" w14:textId="77777777" w:rsidR="00487463" w:rsidRDefault="00B10A8D">
            <w:pPr>
              <w:spacing w:after="0" w:line="240" w:lineRule="auto"/>
              <w:rPr>
                <w:rFonts w:hint="eastAsia"/>
              </w:rPr>
            </w:pPr>
            <w:r>
              <w:rPr>
                <w:sz w:val="18"/>
              </w:rPr>
              <w:t>Offer context only</w:t>
            </w:r>
          </w:p>
        </w:tc>
      </w:tr>
      <w:tr w:rsidR="00487463" w14:paraId="40D000DD" w14:textId="77777777">
        <w:trPr>
          <w:jc w:val="center"/>
        </w:trPr>
        <w:tc>
          <w:tcPr>
            <w:tcW w:w="2592" w:type="dxa"/>
            <w:shd w:val="clear" w:color="auto" w:fill="FFFFFF"/>
            <w:tcMar>
              <w:top w:w="95" w:type="dxa"/>
              <w:left w:w="110" w:type="dxa"/>
              <w:bottom w:w="95" w:type="dxa"/>
              <w:right w:w="110" w:type="dxa"/>
            </w:tcMar>
            <w:vAlign w:val="center"/>
          </w:tcPr>
          <w:p w14:paraId="6386F4D3" w14:textId="77777777" w:rsidR="00487463" w:rsidRDefault="00B10A8D">
            <w:pPr>
              <w:spacing w:after="0" w:line="240" w:lineRule="auto"/>
              <w:jc w:val="center"/>
              <w:rPr>
                <w:rFonts w:hint="eastAsia"/>
              </w:rPr>
            </w:pPr>
            <w:r>
              <w:rPr>
                <w:sz w:val="18"/>
              </w:rPr>
              <w:t>Conflict</w:t>
            </w:r>
          </w:p>
        </w:tc>
        <w:tc>
          <w:tcPr>
            <w:tcW w:w="2088" w:type="dxa"/>
            <w:shd w:val="clear" w:color="auto" w:fill="FFFFFF"/>
            <w:tcMar>
              <w:top w:w="95" w:type="dxa"/>
              <w:left w:w="110" w:type="dxa"/>
              <w:bottom w:w="95" w:type="dxa"/>
              <w:right w:w="110" w:type="dxa"/>
            </w:tcMar>
            <w:vAlign w:val="center"/>
          </w:tcPr>
          <w:p w14:paraId="4B6B31B2" w14:textId="77777777" w:rsidR="00487463" w:rsidRDefault="00B10A8D">
            <w:pPr>
              <w:spacing w:after="0" w:line="240" w:lineRule="auto"/>
              <w:rPr>
                <w:rFonts w:hint="eastAsia"/>
              </w:rPr>
            </w:pPr>
            <w:r>
              <w:rPr>
                <w:sz w:val="18"/>
              </w:rPr>
              <w:t>No</w:t>
            </w:r>
          </w:p>
        </w:tc>
        <w:tc>
          <w:tcPr>
            <w:tcW w:w="4608" w:type="dxa"/>
            <w:shd w:val="clear" w:color="auto" w:fill="FFFFFF"/>
            <w:tcMar>
              <w:top w:w="95" w:type="dxa"/>
              <w:left w:w="110" w:type="dxa"/>
              <w:bottom w:w="95" w:type="dxa"/>
              <w:right w:w="110" w:type="dxa"/>
            </w:tcMar>
            <w:vAlign w:val="center"/>
          </w:tcPr>
          <w:p w14:paraId="6A5E5AD8" w14:textId="77777777" w:rsidR="00487463" w:rsidRDefault="00B10A8D">
            <w:pPr>
              <w:spacing w:after="0" w:line="240" w:lineRule="auto"/>
              <w:rPr>
                <w:rFonts w:hint="eastAsia"/>
              </w:rPr>
            </w:pPr>
            <w:r>
              <w:rPr>
                <w:sz w:val="18"/>
              </w:rPr>
              <w:t>Block silent translation and require resolution</w:t>
            </w:r>
          </w:p>
        </w:tc>
      </w:tr>
      <w:tr w:rsidR="00487463" w14:paraId="55D59C43" w14:textId="77777777">
        <w:trPr>
          <w:jc w:val="center"/>
        </w:trPr>
        <w:tc>
          <w:tcPr>
            <w:tcW w:w="2592" w:type="dxa"/>
            <w:shd w:val="clear" w:color="auto" w:fill="FFFFFF"/>
            <w:tcMar>
              <w:top w:w="95" w:type="dxa"/>
              <w:left w:w="110" w:type="dxa"/>
              <w:bottom w:w="95" w:type="dxa"/>
              <w:right w:w="110" w:type="dxa"/>
            </w:tcMar>
            <w:vAlign w:val="center"/>
          </w:tcPr>
          <w:p w14:paraId="06BDE373" w14:textId="77777777" w:rsidR="00487463" w:rsidRDefault="00B10A8D">
            <w:pPr>
              <w:spacing w:after="0" w:line="240" w:lineRule="auto"/>
              <w:jc w:val="center"/>
              <w:rPr>
                <w:rFonts w:hint="eastAsia"/>
              </w:rPr>
            </w:pPr>
            <w:r>
              <w:rPr>
                <w:sz w:val="18"/>
              </w:rPr>
              <w:t>Unresolved</w:t>
            </w:r>
          </w:p>
        </w:tc>
        <w:tc>
          <w:tcPr>
            <w:tcW w:w="2088" w:type="dxa"/>
            <w:shd w:val="clear" w:color="auto" w:fill="FFFFFF"/>
            <w:tcMar>
              <w:top w:w="95" w:type="dxa"/>
              <w:left w:w="110" w:type="dxa"/>
              <w:bottom w:w="95" w:type="dxa"/>
              <w:right w:w="110" w:type="dxa"/>
            </w:tcMar>
            <w:vAlign w:val="center"/>
          </w:tcPr>
          <w:p w14:paraId="3DCB58FE" w14:textId="77777777" w:rsidR="00487463" w:rsidRDefault="00B10A8D">
            <w:pPr>
              <w:spacing w:after="0" w:line="240" w:lineRule="auto"/>
              <w:rPr>
                <w:rFonts w:hint="eastAsia"/>
              </w:rPr>
            </w:pPr>
            <w:r>
              <w:rPr>
                <w:sz w:val="18"/>
              </w:rPr>
              <w:t>No</w:t>
            </w:r>
          </w:p>
        </w:tc>
        <w:tc>
          <w:tcPr>
            <w:tcW w:w="4608" w:type="dxa"/>
            <w:shd w:val="clear" w:color="auto" w:fill="FFFFFF"/>
            <w:tcMar>
              <w:top w:w="95" w:type="dxa"/>
              <w:left w:w="110" w:type="dxa"/>
              <w:bottom w:w="95" w:type="dxa"/>
              <w:right w:w="110" w:type="dxa"/>
            </w:tcMar>
            <w:vAlign w:val="center"/>
          </w:tcPr>
          <w:p w14:paraId="3D21D42D" w14:textId="77777777" w:rsidR="00487463" w:rsidRDefault="00B10A8D">
            <w:pPr>
              <w:spacing w:after="0" w:line="240" w:lineRule="auto"/>
              <w:rPr>
                <w:rFonts w:hint="eastAsia"/>
              </w:rPr>
            </w:pPr>
            <w:r>
              <w:rPr>
                <w:sz w:val="18"/>
              </w:rPr>
              <w:t>Abstain, preserve, or request clarification</w:t>
            </w:r>
          </w:p>
        </w:tc>
      </w:tr>
    </w:tbl>
    <w:p w14:paraId="7ED88EFA" w14:textId="77777777" w:rsidR="00487463" w:rsidRDefault="00487463">
      <w:pPr>
        <w:spacing w:after="0"/>
        <w:rPr>
          <w:rFonts w:hint="eastAsia"/>
        </w:rPr>
      </w:pPr>
    </w:p>
    <w:p w14:paraId="54F20873" w14:textId="77777777" w:rsidR="00487463" w:rsidRDefault="00B10A8D">
      <w:pPr>
        <w:pStyle w:val="Heading1"/>
      </w:pPr>
      <w:r>
        <w:t>14. DICE: Reality as the Empirical Referee</w:t>
      </w:r>
    </w:p>
    <w:p w14:paraId="643B18BD" w14:textId="77777777" w:rsidR="00487463" w:rsidRDefault="00B10A8D">
      <w:pPr>
        <w:rPr>
          <w:rFonts w:hint="eastAsia"/>
        </w:rPr>
      </w:pPr>
      <w:r>
        <w:t>DICE provides the common reference that lets radically different PIECEs remain different without becoming scientifically unaccountable. Each participating lens receives an equivalent authorized case packet. It models the problem through its own ontology, applies its own operators, and emits predictions before the relevant outcome is revealed. DICE then compares those predictions against Observation records.</w:t>
      </w:r>
    </w:p>
    <w:p w14:paraId="4A30F941" w14:textId="77777777" w:rsidR="00487463" w:rsidRDefault="00B10A8D">
      <w:pPr>
        <w:rPr>
          <w:rFonts w:hint="eastAsia"/>
        </w:rPr>
      </w:pPr>
      <w:r>
        <w:t>The architecture does not require DICE to understand every internal distinction of every PIECE. It requires bounded outputs that can be evaluated: predicted state, timing, confidence, expected signatures, intervention sensitivity, falsifiers, and declared scope. This permits a machine-native or foreign lens to demonstrate value empirically before humans can fully translate its internal concepts.</w:t>
      </w:r>
    </w:p>
    <w:p w14:paraId="53D71059" w14:textId="77777777" w:rsidR="00487463" w:rsidRDefault="00B10A8D">
      <w:pPr>
        <w:spacing w:before="120" w:after="60"/>
        <w:jc w:val="center"/>
        <w:rPr>
          <w:rFonts w:hint="eastAsia"/>
        </w:rPr>
      </w:pPr>
      <w:r>
        <w:rPr>
          <w:noProof/>
        </w:rPr>
        <w:drawing>
          <wp:inline distT="0" distB="0" distL="0" distR="0" wp14:anchorId="115B8264" wp14:editId="7EA5EB26">
            <wp:extent cx="5943600" cy="336158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0_dice_empirical_referee.png"/>
                    <pic:cNvPicPr/>
                  </pic:nvPicPr>
                  <pic:blipFill>
                    <a:blip r:embed="rId27"/>
                    <a:stretch>
                      <a:fillRect/>
                    </a:stretch>
                  </pic:blipFill>
                  <pic:spPr>
                    <a:xfrm>
                      <a:off x="0" y="0"/>
                      <a:ext cx="5943600" cy="3361585"/>
                    </a:xfrm>
                    <a:prstGeom prst="rect">
                      <a:avLst/>
                    </a:prstGeom>
                  </pic:spPr>
                </pic:pic>
              </a:graphicData>
            </a:graphic>
          </wp:inline>
        </w:drawing>
      </w:r>
    </w:p>
    <w:p w14:paraId="7C9B0916" w14:textId="77777777" w:rsidR="00487463" w:rsidRDefault="00B10A8D">
      <w:pPr>
        <w:spacing w:after="160"/>
        <w:jc w:val="center"/>
        <w:rPr>
          <w:rFonts w:hint="eastAsia"/>
        </w:rPr>
      </w:pPr>
      <w:r>
        <w:rPr>
          <w:b/>
          <w:i/>
          <w:color w:val="596675"/>
          <w:sz w:val="18"/>
        </w:rPr>
        <w:t>Figure 20. DICE evaluates divergent PIECEs against a shared empirical reference.</w:t>
      </w:r>
    </w:p>
    <w:p w14:paraId="62B87A44" w14:textId="77777777" w:rsidR="00487463" w:rsidRDefault="00B10A8D">
      <w:pPr>
        <w:spacing w:before="80" w:after="80"/>
        <w:rPr>
          <w:rFonts w:hint="eastAsia"/>
        </w:rPr>
      </w:pPr>
      <w:r>
        <w:rPr>
          <w:b/>
          <w:i/>
          <w:color w:val="4F5E6E"/>
          <w:sz w:val="19"/>
        </w:rPr>
        <w:t>Table 9. Core DICE evaluation dimensions.</w:t>
      </w:r>
    </w:p>
    <w:tbl>
      <w:tblPr>
        <w:tblW w:w="0" w:type="auto"/>
        <w:jc w:val="center"/>
        <w:tblLayout w:type="fixed"/>
        <w:tblLook w:val="04A0" w:firstRow="1" w:lastRow="0" w:firstColumn="1" w:lastColumn="0" w:noHBand="0" w:noVBand="1"/>
      </w:tblPr>
      <w:tblGrid>
        <w:gridCol w:w="2880"/>
        <w:gridCol w:w="6408"/>
      </w:tblGrid>
      <w:tr w:rsidR="00487463" w14:paraId="767BAD6B" w14:textId="77777777">
        <w:trPr>
          <w:jc w:val="center"/>
        </w:trPr>
        <w:tc>
          <w:tcPr>
            <w:tcW w:w="2880" w:type="dxa"/>
            <w:shd w:val="clear" w:color="auto" w:fill="17365D"/>
            <w:tcMar>
              <w:top w:w="100" w:type="dxa"/>
              <w:left w:w="120" w:type="dxa"/>
              <w:bottom w:w="100" w:type="dxa"/>
              <w:right w:w="120" w:type="dxa"/>
            </w:tcMar>
            <w:vAlign w:val="center"/>
          </w:tcPr>
          <w:p w14:paraId="5A37647C" w14:textId="77777777" w:rsidR="00487463" w:rsidRDefault="00B10A8D">
            <w:pPr>
              <w:jc w:val="center"/>
              <w:rPr>
                <w:rFonts w:hint="eastAsia"/>
              </w:rPr>
            </w:pPr>
            <w:r>
              <w:rPr>
                <w:b/>
                <w:color w:val="FFFFFF"/>
                <w:sz w:val="19"/>
              </w:rPr>
              <w:t>Metric</w:t>
            </w:r>
          </w:p>
        </w:tc>
        <w:tc>
          <w:tcPr>
            <w:tcW w:w="6408" w:type="dxa"/>
            <w:shd w:val="clear" w:color="auto" w:fill="17365D"/>
            <w:tcMar>
              <w:top w:w="100" w:type="dxa"/>
              <w:left w:w="120" w:type="dxa"/>
              <w:bottom w:w="100" w:type="dxa"/>
              <w:right w:w="120" w:type="dxa"/>
            </w:tcMar>
            <w:vAlign w:val="center"/>
          </w:tcPr>
          <w:p w14:paraId="1A16C476" w14:textId="77777777" w:rsidR="00487463" w:rsidRDefault="00B10A8D">
            <w:pPr>
              <w:jc w:val="center"/>
              <w:rPr>
                <w:rFonts w:hint="eastAsia"/>
              </w:rPr>
            </w:pPr>
            <w:r>
              <w:rPr>
                <w:b/>
                <w:color w:val="FFFFFF"/>
                <w:sz w:val="19"/>
              </w:rPr>
              <w:t>Question</w:t>
            </w:r>
          </w:p>
        </w:tc>
      </w:tr>
      <w:tr w:rsidR="00487463" w14:paraId="366469C6" w14:textId="77777777">
        <w:trPr>
          <w:jc w:val="center"/>
        </w:trPr>
        <w:tc>
          <w:tcPr>
            <w:tcW w:w="2880" w:type="dxa"/>
            <w:shd w:val="clear" w:color="auto" w:fill="FFFFFF"/>
            <w:tcMar>
              <w:top w:w="95" w:type="dxa"/>
              <w:left w:w="110" w:type="dxa"/>
              <w:bottom w:w="95" w:type="dxa"/>
              <w:right w:w="110" w:type="dxa"/>
            </w:tcMar>
            <w:vAlign w:val="center"/>
          </w:tcPr>
          <w:p w14:paraId="01B8D7D0" w14:textId="77777777" w:rsidR="00487463" w:rsidRDefault="00B10A8D">
            <w:pPr>
              <w:spacing w:after="0" w:line="240" w:lineRule="auto"/>
              <w:jc w:val="center"/>
              <w:rPr>
                <w:rFonts w:hint="eastAsia"/>
              </w:rPr>
            </w:pPr>
            <w:r>
              <w:rPr>
                <w:sz w:val="18"/>
              </w:rPr>
              <w:t>Outcome accuracy</w:t>
            </w:r>
          </w:p>
        </w:tc>
        <w:tc>
          <w:tcPr>
            <w:tcW w:w="6408" w:type="dxa"/>
            <w:shd w:val="clear" w:color="auto" w:fill="FFFFFF"/>
            <w:tcMar>
              <w:top w:w="95" w:type="dxa"/>
              <w:left w:w="110" w:type="dxa"/>
              <w:bottom w:w="95" w:type="dxa"/>
              <w:right w:w="110" w:type="dxa"/>
            </w:tcMar>
            <w:vAlign w:val="center"/>
          </w:tcPr>
          <w:p w14:paraId="2B3BF64B" w14:textId="77777777" w:rsidR="00487463" w:rsidRDefault="00B10A8D">
            <w:pPr>
              <w:spacing w:after="0" w:line="240" w:lineRule="auto"/>
              <w:rPr>
                <w:rFonts w:hint="eastAsia"/>
              </w:rPr>
            </w:pPr>
            <w:r>
              <w:rPr>
                <w:sz w:val="18"/>
              </w:rPr>
              <w:t>Did the predicted state or category match observation?</w:t>
            </w:r>
          </w:p>
        </w:tc>
      </w:tr>
      <w:tr w:rsidR="00487463" w14:paraId="372C62D9" w14:textId="77777777">
        <w:trPr>
          <w:jc w:val="center"/>
        </w:trPr>
        <w:tc>
          <w:tcPr>
            <w:tcW w:w="2880" w:type="dxa"/>
            <w:shd w:val="clear" w:color="auto" w:fill="FFFFFF"/>
            <w:tcMar>
              <w:top w:w="95" w:type="dxa"/>
              <w:left w:w="110" w:type="dxa"/>
              <w:bottom w:w="95" w:type="dxa"/>
              <w:right w:w="110" w:type="dxa"/>
            </w:tcMar>
            <w:vAlign w:val="center"/>
          </w:tcPr>
          <w:p w14:paraId="453AA932" w14:textId="77777777" w:rsidR="00487463" w:rsidRDefault="00B10A8D">
            <w:pPr>
              <w:spacing w:after="0" w:line="240" w:lineRule="auto"/>
              <w:jc w:val="center"/>
              <w:rPr>
                <w:rFonts w:hint="eastAsia"/>
              </w:rPr>
            </w:pPr>
            <w:r>
              <w:rPr>
                <w:sz w:val="18"/>
              </w:rPr>
              <w:t>Timing accuracy</w:t>
            </w:r>
          </w:p>
        </w:tc>
        <w:tc>
          <w:tcPr>
            <w:tcW w:w="6408" w:type="dxa"/>
            <w:shd w:val="clear" w:color="auto" w:fill="FFFFFF"/>
            <w:tcMar>
              <w:top w:w="95" w:type="dxa"/>
              <w:left w:w="110" w:type="dxa"/>
              <w:bottom w:w="95" w:type="dxa"/>
              <w:right w:w="110" w:type="dxa"/>
            </w:tcMar>
            <w:vAlign w:val="center"/>
          </w:tcPr>
          <w:p w14:paraId="7679BBF3" w14:textId="77777777" w:rsidR="00487463" w:rsidRDefault="00B10A8D">
            <w:pPr>
              <w:spacing w:after="0" w:line="240" w:lineRule="auto"/>
              <w:rPr>
                <w:rFonts w:hint="eastAsia"/>
              </w:rPr>
            </w:pPr>
            <w:r>
              <w:rPr>
                <w:sz w:val="18"/>
              </w:rPr>
              <w:t>Did the effect occur when predicted?</w:t>
            </w:r>
          </w:p>
        </w:tc>
      </w:tr>
      <w:tr w:rsidR="00487463" w14:paraId="30973C59" w14:textId="77777777">
        <w:trPr>
          <w:jc w:val="center"/>
        </w:trPr>
        <w:tc>
          <w:tcPr>
            <w:tcW w:w="2880" w:type="dxa"/>
            <w:shd w:val="clear" w:color="auto" w:fill="FFFFFF"/>
            <w:tcMar>
              <w:top w:w="95" w:type="dxa"/>
              <w:left w:w="110" w:type="dxa"/>
              <w:bottom w:w="95" w:type="dxa"/>
              <w:right w:w="110" w:type="dxa"/>
            </w:tcMar>
            <w:vAlign w:val="center"/>
          </w:tcPr>
          <w:p w14:paraId="3CD8E531" w14:textId="77777777" w:rsidR="00487463" w:rsidRDefault="00B10A8D">
            <w:pPr>
              <w:spacing w:after="0" w:line="240" w:lineRule="auto"/>
              <w:jc w:val="center"/>
              <w:rPr>
                <w:rFonts w:hint="eastAsia"/>
              </w:rPr>
            </w:pPr>
            <w:r>
              <w:rPr>
                <w:sz w:val="18"/>
              </w:rPr>
              <w:t>Calibration</w:t>
            </w:r>
          </w:p>
        </w:tc>
        <w:tc>
          <w:tcPr>
            <w:tcW w:w="6408" w:type="dxa"/>
            <w:shd w:val="clear" w:color="auto" w:fill="FFFFFF"/>
            <w:tcMar>
              <w:top w:w="95" w:type="dxa"/>
              <w:left w:w="110" w:type="dxa"/>
              <w:bottom w:w="95" w:type="dxa"/>
              <w:right w:w="110" w:type="dxa"/>
            </w:tcMar>
            <w:vAlign w:val="center"/>
          </w:tcPr>
          <w:p w14:paraId="67DD51C7" w14:textId="77777777" w:rsidR="00487463" w:rsidRDefault="00B10A8D">
            <w:pPr>
              <w:spacing w:after="0" w:line="240" w:lineRule="auto"/>
              <w:rPr>
                <w:rFonts w:hint="eastAsia"/>
              </w:rPr>
            </w:pPr>
            <w:r>
              <w:rPr>
                <w:sz w:val="18"/>
              </w:rPr>
              <w:t>Did stated confidence correspond to success frequency?</w:t>
            </w:r>
          </w:p>
        </w:tc>
      </w:tr>
      <w:tr w:rsidR="00487463" w14:paraId="31E48891" w14:textId="77777777">
        <w:trPr>
          <w:jc w:val="center"/>
        </w:trPr>
        <w:tc>
          <w:tcPr>
            <w:tcW w:w="2880" w:type="dxa"/>
            <w:shd w:val="clear" w:color="auto" w:fill="FFFFFF"/>
            <w:tcMar>
              <w:top w:w="95" w:type="dxa"/>
              <w:left w:w="110" w:type="dxa"/>
              <w:bottom w:w="95" w:type="dxa"/>
              <w:right w:w="110" w:type="dxa"/>
            </w:tcMar>
            <w:vAlign w:val="center"/>
          </w:tcPr>
          <w:p w14:paraId="34F3023E" w14:textId="77777777" w:rsidR="00487463" w:rsidRDefault="00B10A8D">
            <w:pPr>
              <w:spacing w:after="0" w:line="240" w:lineRule="auto"/>
              <w:jc w:val="center"/>
              <w:rPr>
                <w:rFonts w:hint="eastAsia"/>
              </w:rPr>
            </w:pPr>
            <w:r>
              <w:rPr>
                <w:sz w:val="18"/>
              </w:rPr>
              <w:t>Intervention sensitivity</w:t>
            </w:r>
          </w:p>
        </w:tc>
        <w:tc>
          <w:tcPr>
            <w:tcW w:w="6408" w:type="dxa"/>
            <w:shd w:val="clear" w:color="auto" w:fill="FFFFFF"/>
            <w:tcMar>
              <w:top w:w="95" w:type="dxa"/>
              <w:left w:w="110" w:type="dxa"/>
              <w:bottom w:w="95" w:type="dxa"/>
              <w:right w:w="110" w:type="dxa"/>
            </w:tcMar>
            <w:vAlign w:val="center"/>
          </w:tcPr>
          <w:p w14:paraId="69A9CB2E" w14:textId="77777777" w:rsidR="00487463" w:rsidRDefault="00B10A8D">
            <w:pPr>
              <w:spacing w:after="0" w:line="240" w:lineRule="auto"/>
              <w:rPr>
                <w:rFonts w:hint="eastAsia"/>
              </w:rPr>
            </w:pPr>
            <w:r>
              <w:rPr>
                <w:sz w:val="18"/>
              </w:rPr>
              <w:t>Did the lens predict controlled variable-change effects?</w:t>
            </w:r>
          </w:p>
        </w:tc>
      </w:tr>
      <w:tr w:rsidR="00487463" w14:paraId="4DC2E529" w14:textId="77777777">
        <w:trPr>
          <w:jc w:val="center"/>
        </w:trPr>
        <w:tc>
          <w:tcPr>
            <w:tcW w:w="2880" w:type="dxa"/>
            <w:shd w:val="clear" w:color="auto" w:fill="FFFFFF"/>
            <w:tcMar>
              <w:top w:w="95" w:type="dxa"/>
              <w:left w:w="110" w:type="dxa"/>
              <w:bottom w:w="95" w:type="dxa"/>
              <w:right w:w="110" w:type="dxa"/>
            </w:tcMar>
            <w:vAlign w:val="center"/>
          </w:tcPr>
          <w:p w14:paraId="2757E8E3" w14:textId="77777777" w:rsidR="00487463" w:rsidRDefault="00B10A8D">
            <w:pPr>
              <w:spacing w:after="0" w:line="240" w:lineRule="auto"/>
              <w:jc w:val="center"/>
              <w:rPr>
                <w:rFonts w:hint="eastAsia"/>
              </w:rPr>
            </w:pPr>
            <w:r>
              <w:rPr>
                <w:sz w:val="18"/>
              </w:rPr>
              <w:t>Causal discrimination</w:t>
            </w:r>
          </w:p>
        </w:tc>
        <w:tc>
          <w:tcPr>
            <w:tcW w:w="6408" w:type="dxa"/>
            <w:shd w:val="clear" w:color="auto" w:fill="FFFFFF"/>
            <w:tcMar>
              <w:top w:w="95" w:type="dxa"/>
              <w:left w:w="110" w:type="dxa"/>
              <w:bottom w:w="95" w:type="dxa"/>
              <w:right w:w="110" w:type="dxa"/>
            </w:tcMar>
            <w:vAlign w:val="center"/>
          </w:tcPr>
          <w:p w14:paraId="728E0781" w14:textId="77777777" w:rsidR="00487463" w:rsidRDefault="00B10A8D">
            <w:pPr>
              <w:spacing w:after="0" w:line="240" w:lineRule="auto"/>
              <w:rPr>
                <w:rFonts w:hint="eastAsia"/>
              </w:rPr>
            </w:pPr>
            <w:r>
              <w:rPr>
                <w:sz w:val="18"/>
              </w:rPr>
              <w:t>Did it distinguish source, trigger, correlation, and consequence?</w:t>
            </w:r>
          </w:p>
        </w:tc>
      </w:tr>
      <w:tr w:rsidR="00487463" w14:paraId="62979B9C" w14:textId="77777777">
        <w:trPr>
          <w:jc w:val="center"/>
        </w:trPr>
        <w:tc>
          <w:tcPr>
            <w:tcW w:w="2880" w:type="dxa"/>
            <w:shd w:val="clear" w:color="auto" w:fill="FFFFFF"/>
            <w:tcMar>
              <w:top w:w="95" w:type="dxa"/>
              <w:left w:w="110" w:type="dxa"/>
              <w:bottom w:w="95" w:type="dxa"/>
              <w:right w:w="110" w:type="dxa"/>
            </w:tcMar>
            <w:vAlign w:val="center"/>
          </w:tcPr>
          <w:p w14:paraId="48DE3521" w14:textId="77777777" w:rsidR="00487463" w:rsidRDefault="00B10A8D">
            <w:pPr>
              <w:spacing w:after="0" w:line="240" w:lineRule="auto"/>
              <w:jc w:val="center"/>
              <w:rPr>
                <w:rFonts w:hint="eastAsia"/>
              </w:rPr>
            </w:pPr>
            <w:r>
              <w:rPr>
                <w:sz w:val="18"/>
              </w:rPr>
              <w:t>Generalization</w:t>
            </w:r>
          </w:p>
        </w:tc>
        <w:tc>
          <w:tcPr>
            <w:tcW w:w="6408" w:type="dxa"/>
            <w:shd w:val="clear" w:color="auto" w:fill="FFFFFF"/>
            <w:tcMar>
              <w:top w:w="95" w:type="dxa"/>
              <w:left w:w="110" w:type="dxa"/>
              <w:bottom w:w="95" w:type="dxa"/>
              <w:right w:w="110" w:type="dxa"/>
            </w:tcMar>
            <w:vAlign w:val="center"/>
          </w:tcPr>
          <w:p w14:paraId="0FA907A9" w14:textId="77777777" w:rsidR="00487463" w:rsidRDefault="00B10A8D">
            <w:pPr>
              <w:spacing w:after="0" w:line="240" w:lineRule="auto"/>
              <w:rPr>
                <w:rFonts w:hint="eastAsia"/>
              </w:rPr>
            </w:pPr>
            <w:r>
              <w:rPr>
                <w:sz w:val="18"/>
              </w:rPr>
              <w:t>Did performance hold under new but related conditions?</w:t>
            </w:r>
          </w:p>
        </w:tc>
      </w:tr>
      <w:tr w:rsidR="00487463" w14:paraId="08A70765" w14:textId="77777777">
        <w:trPr>
          <w:jc w:val="center"/>
        </w:trPr>
        <w:tc>
          <w:tcPr>
            <w:tcW w:w="2880" w:type="dxa"/>
            <w:shd w:val="clear" w:color="auto" w:fill="FFFFFF"/>
            <w:tcMar>
              <w:top w:w="95" w:type="dxa"/>
              <w:left w:w="110" w:type="dxa"/>
              <w:bottom w:w="95" w:type="dxa"/>
              <w:right w:w="110" w:type="dxa"/>
            </w:tcMar>
            <w:vAlign w:val="center"/>
          </w:tcPr>
          <w:p w14:paraId="6D3998DE" w14:textId="77777777" w:rsidR="00487463" w:rsidRDefault="00B10A8D">
            <w:pPr>
              <w:spacing w:after="0" w:line="240" w:lineRule="auto"/>
              <w:jc w:val="center"/>
              <w:rPr>
                <w:rFonts w:hint="eastAsia"/>
              </w:rPr>
            </w:pPr>
            <w:r>
              <w:rPr>
                <w:sz w:val="18"/>
              </w:rPr>
              <w:t>Failure detection</w:t>
            </w:r>
          </w:p>
        </w:tc>
        <w:tc>
          <w:tcPr>
            <w:tcW w:w="6408" w:type="dxa"/>
            <w:shd w:val="clear" w:color="auto" w:fill="FFFFFF"/>
            <w:tcMar>
              <w:top w:w="95" w:type="dxa"/>
              <w:left w:w="110" w:type="dxa"/>
              <w:bottom w:w="95" w:type="dxa"/>
              <w:right w:w="110" w:type="dxa"/>
            </w:tcMar>
            <w:vAlign w:val="center"/>
          </w:tcPr>
          <w:p w14:paraId="55AA7DC0" w14:textId="77777777" w:rsidR="00487463" w:rsidRDefault="00B10A8D">
            <w:pPr>
              <w:spacing w:after="0" w:line="240" w:lineRule="auto"/>
              <w:rPr>
                <w:rFonts w:hint="eastAsia"/>
              </w:rPr>
            </w:pPr>
            <w:r>
              <w:rPr>
                <w:sz w:val="18"/>
              </w:rPr>
              <w:t>Did the PIECE know when to abstain?</w:t>
            </w:r>
          </w:p>
        </w:tc>
      </w:tr>
      <w:tr w:rsidR="00487463" w14:paraId="73D65B4D" w14:textId="77777777">
        <w:trPr>
          <w:jc w:val="center"/>
        </w:trPr>
        <w:tc>
          <w:tcPr>
            <w:tcW w:w="2880" w:type="dxa"/>
            <w:shd w:val="clear" w:color="auto" w:fill="FFFFFF"/>
            <w:tcMar>
              <w:top w:w="95" w:type="dxa"/>
              <w:left w:w="110" w:type="dxa"/>
              <w:bottom w:w="95" w:type="dxa"/>
              <w:right w:w="110" w:type="dxa"/>
            </w:tcMar>
            <w:vAlign w:val="center"/>
          </w:tcPr>
          <w:p w14:paraId="0AD35C9A" w14:textId="77777777" w:rsidR="00487463" w:rsidRDefault="00B10A8D">
            <w:pPr>
              <w:spacing w:after="0" w:line="240" w:lineRule="auto"/>
              <w:jc w:val="center"/>
              <w:rPr>
                <w:rFonts w:hint="eastAsia"/>
              </w:rPr>
            </w:pPr>
            <w:r>
              <w:rPr>
                <w:sz w:val="18"/>
              </w:rPr>
              <w:t>Resource cost</w:t>
            </w:r>
          </w:p>
        </w:tc>
        <w:tc>
          <w:tcPr>
            <w:tcW w:w="6408" w:type="dxa"/>
            <w:shd w:val="clear" w:color="auto" w:fill="FFFFFF"/>
            <w:tcMar>
              <w:top w:w="95" w:type="dxa"/>
              <w:left w:w="110" w:type="dxa"/>
              <w:bottom w:w="95" w:type="dxa"/>
              <w:right w:w="110" w:type="dxa"/>
            </w:tcMar>
            <w:vAlign w:val="center"/>
          </w:tcPr>
          <w:p w14:paraId="6994282E" w14:textId="77777777" w:rsidR="00487463" w:rsidRDefault="00B10A8D">
            <w:pPr>
              <w:spacing w:after="0" w:line="240" w:lineRule="auto"/>
              <w:rPr>
                <w:rFonts w:hint="eastAsia"/>
              </w:rPr>
            </w:pPr>
            <w:r>
              <w:rPr>
                <w:sz w:val="18"/>
              </w:rPr>
              <w:t>What computation, data, time, and human review were required?</w:t>
            </w:r>
          </w:p>
        </w:tc>
      </w:tr>
      <w:tr w:rsidR="00487463" w14:paraId="54476C64" w14:textId="77777777">
        <w:trPr>
          <w:jc w:val="center"/>
        </w:trPr>
        <w:tc>
          <w:tcPr>
            <w:tcW w:w="2880" w:type="dxa"/>
            <w:shd w:val="clear" w:color="auto" w:fill="FFFFFF"/>
            <w:tcMar>
              <w:top w:w="95" w:type="dxa"/>
              <w:left w:w="110" w:type="dxa"/>
              <w:bottom w:w="95" w:type="dxa"/>
              <w:right w:w="110" w:type="dxa"/>
            </w:tcMar>
            <w:vAlign w:val="center"/>
          </w:tcPr>
          <w:p w14:paraId="01799D13" w14:textId="77777777" w:rsidR="00487463" w:rsidRDefault="00B10A8D">
            <w:pPr>
              <w:spacing w:after="0" w:line="240" w:lineRule="auto"/>
              <w:jc w:val="center"/>
              <w:rPr>
                <w:rFonts w:hint="eastAsia"/>
              </w:rPr>
            </w:pPr>
            <w:r>
              <w:rPr>
                <w:sz w:val="18"/>
              </w:rPr>
              <w:t>Safety / policy</w:t>
            </w:r>
          </w:p>
        </w:tc>
        <w:tc>
          <w:tcPr>
            <w:tcW w:w="6408" w:type="dxa"/>
            <w:shd w:val="clear" w:color="auto" w:fill="FFFFFF"/>
            <w:tcMar>
              <w:top w:w="95" w:type="dxa"/>
              <w:left w:w="110" w:type="dxa"/>
              <w:bottom w:w="95" w:type="dxa"/>
              <w:right w:w="110" w:type="dxa"/>
            </w:tcMar>
            <w:vAlign w:val="center"/>
          </w:tcPr>
          <w:p w14:paraId="318B9E5F" w14:textId="77777777" w:rsidR="00487463" w:rsidRDefault="00B10A8D">
            <w:pPr>
              <w:spacing w:after="0" w:line="240" w:lineRule="auto"/>
              <w:rPr>
                <w:rFonts w:hint="eastAsia"/>
              </w:rPr>
            </w:pPr>
            <w:r>
              <w:rPr>
                <w:sz w:val="18"/>
              </w:rPr>
              <w:t>Did the lens respect execution and evidence constraints?</w:t>
            </w:r>
          </w:p>
        </w:tc>
      </w:tr>
    </w:tbl>
    <w:p w14:paraId="5316216A" w14:textId="77777777" w:rsidR="00487463" w:rsidRDefault="00487463">
      <w:pPr>
        <w:spacing w:after="0"/>
        <w:rPr>
          <w:rFonts w:hint="eastAsia"/>
        </w:rPr>
      </w:pPr>
    </w:p>
    <w:p w14:paraId="130CC304" w14:textId="77777777" w:rsidR="00487463" w:rsidRDefault="00B10A8D">
      <w:pPr>
        <w:pStyle w:val="Heading2"/>
      </w:pPr>
      <w:r>
        <w:t>14.1 Scoped specialization</w:t>
      </w:r>
    </w:p>
    <w:p w14:paraId="6BA22C52" w14:textId="77777777" w:rsidR="00487463" w:rsidRDefault="00B10A8D">
      <w:pPr>
        <w:rPr>
          <w:rFonts w:hint="eastAsia"/>
        </w:rPr>
      </w:pPr>
      <w:r>
        <w:t>DICE should not produce one permanent winner. Different cognitive forms may dominate different problem classes, timescales, evidence conditions, intervention types, or environments. The output is therefore a specialization map: where each lens is strong, weak, complementary, or insufficiently tested.</w:t>
      </w:r>
    </w:p>
    <w:p w14:paraId="478B24A6" w14:textId="77777777" w:rsidR="00487463" w:rsidRDefault="00B10A8D">
      <w:pPr>
        <w:rPr>
          <w:rFonts w:hint="eastAsia"/>
        </w:rPr>
      </w:pPr>
      <w:r>
        <w:t>This preserves cognitive diversity as an empirical asset rather than a philosophical preference. A strange representation that repeatedly predicts one class of outcomes better than familiar alternatives earns a bounded role even if it remains difficult to explain.</w:t>
      </w:r>
    </w:p>
    <w:p w14:paraId="4009CC7F" w14:textId="77777777" w:rsidR="00487463" w:rsidRDefault="00B10A8D">
      <w:pPr>
        <w:spacing w:before="120" w:after="60"/>
        <w:jc w:val="center"/>
        <w:rPr>
          <w:rFonts w:hint="eastAsia"/>
        </w:rPr>
      </w:pPr>
      <w:r>
        <w:rPr>
          <w:noProof/>
        </w:rPr>
        <w:drawing>
          <wp:inline distT="0" distB="0" distL="0" distR="0" wp14:anchorId="3E3B132E" wp14:editId="7B5BA7A5">
            <wp:extent cx="5943600" cy="336158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1_specialization_map.png"/>
                    <pic:cNvPicPr/>
                  </pic:nvPicPr>
                  <pic:blipFill>
                    <a:blip r:embed="rId28"/>
                    <a:stretch>
                      <a:fillRect/>
                    </a:stretch>
                  </pic:blipFill>
                  <pic:spPr>
                    <a:xfrm>
                      <a:off x="0" y="0"/>
                      <a:ext cx="5943600" cy="3361585"/>
                    </a:xfrm>
                    <a:prstGeom prst="rect">
                      <a:avLst/>
                    </a:prstGeom>
                  </pic:spPr>
                </pic:pic>
              </a:graphicData>
            </a:graphic>
          </wp:inline>
        </w:drawing>
      </w:r>
    </w:p>
    <w:p w14:paraId="52F6F5F5" w14:textId="77777777" w:rsidR="00487463" w:rsidRDefault="00B10A8D">
      <w:pPr>
        <w:spacing w:after="160"/>
        <w:jc w:val="center"/>
        <w:rPr>
          <w:rFonts w:hint="eastAsia"/>
        </w:rPr>
      </w:pPr>
      <w:r>
        <w:rPr>
          <w:b/>
          <w:i/>
          <w:color w:val="596675"/>
          <w:sz w:val="18"/>
        </w:rPr>
        <w:t>Figure 21. DICE specialization mapping without a universal winner.</w:t>
      </w:r>
    </w:p>
    <w:p w14:paraId="67469F54" w14:textId="77777777" w:rsidR="00487463" w:rsidRDefault="00B10A8D">
      <w:pPr>
        <w:pStyle w:val="Heading1"/>
      </w:pPr>
      <w:r>
        <w:t>15. Structural Health vs Cognitive Performance</w:t>
      </w:r>
    </w:p>
    <w:p w14:paraId="1B5B45DD" w14:textId="77777777" w:rsidR="00487463" w:rsidRDefault="00B10A8D">
      <w:pPr>
        <w:rPr>
          <w:rFonts w:hint="eastAsia"/>
        </w:rPr>
      </w:pPr>
      <w:r>
        <w:t>A DICE result is meaningful only if the implementation being evaluated is known to be structurally healthy enough for the trial. BASE SERVICE therefore provides an independent integrity channel. Missing Readers, broken Formula bindings, invalid contract links, uncontained dependencies, or version mismatches must not be interpreted as evidence that the underlying cognitive lens is weak.</w:t>
      </w:r>
    </w:p>
    <w:p w14:paraId="1793FBCA" w14:textId="77777777" w:rsidR="00487463" w:rsidRDefault="00B10A8D">
      <w:pPr>
        <w:rPr>
          <w:rFonts w:hint="eastAsia"/>
        </w:rPr>
      </w:pPr>
      <w:r>
        <w:t>Conversely, a structurally perfect PIECE may simply perform poorly. EDIFICE must preserve that distinction. Structural health answers whether the implementation conformed to its contract. DICE answers whether the cognition produced useful predictions under defined conditions.</w:t>
      </w:r>
    </w:p>
    <w:p w14:paraId="232F3952" w14:textId="77777777" w:rsidR="00487463" w:rsidRDefault="00B10A8D">
      <w:pPr>
        <w:spacing w:before="120" w:after="60"/>
        <w:jc w:val="center"/>
        <w:rPr>
          <w:rFonts w:hint="eastAsia"/>
        </w:rPr>
      </w:pPr>
      <w:r>
        <w:rPr>
          <w:noProof/>
        </w:rPr>
        <w:drawing>
          <wp:inline distT="0" distB="0" distL="0" distR="0" wp14:anchorId="063B6047" wp14:editId="2EE93685">
            <wp:extent cx="5943600" cy="336158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2_health_vs_performance.png"/>
                    <pic:cNvPicPr/>
                  </pic:nvPicPr>
                  <pic:blipFill>
                    <a:blip r:embed="rId29"/>
                    <a:stretch>
                      <a:fillRect/>
                    </a:stretch>
                  </pic:blipFill>
                  <pic:spPr>
                    <a:xfrm>
                      <a:off x="0" y="0"/>
                      <a:ext cx="5943600" cy="3361585"/>
                    </a:xfrm>
                    <a:prstGeom prst="rect">
                      <a:avLst/>
                    </a:prstGeom>
                  </pic:spPr>
                </pic:pic>
              </a:graphicData>
            </a:graphic>
          </wp:inline>
        </w:drawing>
      </w:r>
    </w:p>
    <w:p w14:paraId="65B6B675" w14:textId="77777777" w:rsidR="00487463" w:rsidRDefault="00B10A8D">
      <w:pPr>
        <w:spacing w:after="160"/>
        <w:jc w:val="center"/>
        <w:rPr>
          <w:rFonts w:hint="eastAsia"/>
        </w:rPr>
      </w:pPr>
      <w:r>
        <w:rPr>
          <w:b/>
          <w:i/>
          <w:color w:val="596675"/>
          <w:sz w:val="18"/>
        </w:rPr>
        <w:t>Figure 22. Structural implementation integrity and cognitive performance are separate dimensions.</w:t>
      </w:r>
    </w:p>
    <w:p w14:paraId="2D82A522" w14:textId="77777777" w:rsidR="00487463" w:rsidRDefault="00B10A8D">
      <w:pPr>
        <w:pStyle w:val="Heading2"/>
      </w:pPr>
      <w:r>
        <w:t>15.1 Reproducibility</w:t>
      </w:r>
    </w:p>
    <w:p w14:paraId="0805E225" w14:textId="77777777" w:rsidR="00487463" w:rsidRDefault="00B10A8D">
      <w:pPr>
        <w:rPr>
          <w:rFonts w:hint="eastAsia"/>
        </w:rPr>
      </w:pPr>
      <w:r>
        <w:t>A reproducible DICE case should pin the PIECE version, BitWord and Reader versions, relevant Z contracts, operator versions, case packet, permitted evidence, observations, and evaluation rules. Historical failures remain meaningful because the exact implementation state can be reconstructed rather than silently evaluated using current definitions.</w:t>
      </w:r>
    </w:p>
    <w:p w14:paraId="64C16248" w14:textId="77777777" w:rsidR="00487463" w:rsidRDefault="00B10A8D">
      <w:pPr>
        <w:pStyle w:val="Heading1"/>
      </w:pPr>
      <w:r>
        <w:t>16. Foreign and Nonhuman Semantic Habitats</w:t>
      </w:r>
    </w:p>
    <w:p w14:paraId="69E450E0" w14:textId="77777777" w:rsidR="00487463" w:rsidRDefault="00B10A8D">
      <w:pPr>
        <w:rPr>
          <w:rFonts w:hint="eastAsia"/>
        </w:rPr>
      </w:pPr>
      <w:r>
        <w:t>EDIFICE does not require a Base to organize itself around concepts that humans find intuitive. A robotics habitat may privilege affordances, coordinates, energy limits, collision envelopes, and action risk. A machine-native habitat may represent high-dimensional state transitions or graph structures. A simulated species may use perceptual dimensions unlike human senses. A future or deliberately experimental intelligence may introduce primitives that initially have no stable human-language counterpart.</w:t>
      </w:r>
    </w:p>
    <w:p w14:paraId="76FF90B7" w14:textId="77777777" w:rsidR="00487463" w:rsidRDefault="00B10A8D">
      <w:pPr>
        <w:rPr>
          <w:rFonts w:hint="eastAsia"/>
        </w:rPr>
      </w:pPr>
      <w:r>
        <w:t>The requirement is bounded formal behavior: registered state, transformations, outputs, evidence relationships, and sufficient contracts for whatever interaction is attempted. If a structure can be represented mathematically, it can participate as a BitWord even if its semantic interpretation is locally native and initially foreign.</w:t>
      </w:r>
    </w:p>
    <w:p w14:paraId="455FB989" w14:textId="77777777" w:rsidR="00487463" w:rsidRDefault="00B10A8D">
      <w:pPr>
        <w:pStyle w:val="Heading2"/>
      </w:pPr>
      <w:r>
        <w:t>16.1 Worked example: Foreign Topological PIECE</w:t>
      </w:r>
    </w:p>
    <w:p w14:paraId="045D9CC2" w14:textId="77777777" w:rsidR="00487463" w:rsidRDefault="00B10A8D">
      <w:pPr>
        <w:rPr>
          <w:rFonts w:hint="eastAsia"/>
        </w:rPr>
      </w:pPr>
      <w:r>
        <w:t>Consider a PIECE whose Base contains Q-FIELD-96, RELATION-Q-64, and TRANSITION-X-128. Humans can decode the Reader values but do not initially know what the distinctions correspond to experientially. The PIECE repeatedly predicts a class of distributed infrastructure failures earlier than conventional lenses.</w:t>
      </w:r>
    </w:p>
    <w:p w14:paraId="165365BE" w14:textId="77777777" w:rsidR="00487463" w:rsidRDefault="00B10A8D">
      <w:pPr>
        <w:rPr>
          <w:rFonts w:hint="eastAsia"/>
        </w:rPr>
      </w:pPr>
      <w:r>
        <w:t>DICE can establish that empirical specialization without waiting for complete human translation. An AI then enters the Base through the Crawler, loads the Core Fold, learns recurring topological primitives, and later loads a specialized instability Fold. Only after this local competency exists does BOSS attempt recipient-native explanation of selected relations. The empirical and explanatory timelines are therefore allowed to differ.</w:t>
      </w:r>
    </w:p>
    <w:p w14:paraId="1872E465" w14:textId="77777777" w:rsidR="00487463" w:rsidRDefault="00B10A8D">
      <w:pPr>
        <w:spacing w:before="120" w:after="60"/>
        <w:jc w:val="center"/>
        <w:rPr>
          <w:rFonts w:hint="eastAsia"/>
        </w:rPr>
      </w:pPr>
      <w:r>
        <w:rPr>
          <w:noProof/>
        </w:rPr>
        <w:drawing>
          <wp:inline distT="0" distB="0" distL="0" distR="0" wp14:anchorId="43DD6508" wp14:editId="1F79C025">
            <wp:extent cx="5943600" cy="336158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_foreign_topological_piece.png"/>
                    <pic:cNvPicPr/>
                  </pic:nvPicPr>
                  <pic:blipFill>
                    <a:blip r:embed="rId30"/>
                    <a:stretch>
                      <a:fillRect/>
                    </a:stretch>
                  </pic:blipFill>
                  <pic:spPr>
                    <a:xfrm>
                      <a:off x="0" y="0"/>
                      <a:ext cx="5943600" cy="3361585"/>
                    </a:xfrm>
                    <a:prstGeom prst="rect">
                      <a:avLst/>
                    </a:prstGeom>
                  </pic:spPr>
                </pic:pic>
              </a:graphicData>
            </a:graphic>
          </wp:inline>
        </w:drawing>
      </w:r>
    </w:p>
    <w:p w14:paraId="0AB0BD47" w14:textId="77777777" w:rsidR="00487463" w:rsidRDefault="00B10A8D">
      <w:pPr>
        <w:spacing w:after="160"/>
        <w:jc w:val="center"/>
        <w:rPr>
          <w:rFonts w:hint="eastAsia"/>
        </w:rPr>
      </w:pPr>
      <w:r>
        <w:rPr>
          <w:b/>
          <w:i/>
          <w:color w:val="596675"/>
          <w:sz w:val="18"/>
        </w:rPr>
        <w:t>Figure 23. A foreign Topological PIECE can become empirically useful before its ontology is fully human-legible.</w:t>
      </w:r>
    </w:p>
    <w:p w14:paraId="395A0451" w14:textId="77777777" w:rsidR="00487463" w:rsidRDefault="00B10A8D">
      <w:pPr>
        <w:pStyle w:val="Heading1"/>
      </w:pPr>
      <w:r>
        <w:t>17. Cognitive Evolution, Cloning, and Specialization</w:t>
      </w:r>
    </w:p>
    <w:p w14:paraId="4D6461C1" w14:textId="77777777" w:rsidR="00487463" w:rsidRDefault="00B10A8D">
      <w:pPr>
        <w:rPr>
          <w:rFonts w:hint="eastAsia"/>
        </w:rPr>
      </w:pPr>
      <w:r>
        <w:t>The “Evolutionarily Divergent” part of EDIFICE becomes operational when cognitive habitats can be cloned, varied, evaluated, and retained with provenance. A successful PIECE may be cloned into several branches. One branch can alter an operator family; another can add a new BitWord primitive; another can adopt a different temporal model. Each branch remains bounded, versioned, and independently evaluable.</w:t>
      </w:r>
    </w:p>
    <w:p w14:paraId="1F070A26" w14:textId="77777777" w:rsidR="00487463" w:rsidRDefault="00B10A8D">
      <w:pPr>
        <w:rPr>
          <w:rFonts w:hint="eastAsia"/>
        </w:rPr>
      </w:pPr>
      <w:r>
        <w:t>DICE provides the selection pressure, but not necessarily elimination. A branch that performs poorly overall may still discover a narrow specialization. A failed branch can remain archived because its traces prevent repeated mistakes and document which distinctions were insufficient. A surprising branch may justify further forks.</w:t>
      </w:r>
    </w:p>
    <w:p w14:paraId="6C1D0FE5" w14:textId="77777777" w:rsidR="00487463" w:rsidRDefault="00B10A8D">
      <w:pPr>
        <w:spacing w:before="120" w:after="60"/>
        <w:jc w:val="center"/>
        <w:rPr>
          <w:rFonts w:hint="eastAsia"/>
        </w:rPr>
      </w:pPr>
      <w:r>
        <w:rPr>
          <w:noProof/>
        </w:rPr>
        <w:drawing>
          <wp:inline distT="0" distB="0" distL="0" distR="0" wp14:anchorId="1CCD15EC" wp14:editId="02CEC758">
            <wp:extent cx="5943600" cy="336158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4_cognitive_evolution.png"/>
                    <pic:cNvPicPr/>
                  </pic:nvPicPr>
                  <pic:blipFill>
                    <a:blip r:embed="rId31"/>
                    <a:stretch>
                      <a:fillRect/>
                    </a:stretch>
                  </pic:blipFill>
                  <pic:spPr>
                    <a:xfrm>
                      <a:off x="0" y="0"/>
                      <a:ext cx="5943600" cy="3361585"/>
                    </a:xfrm>
                    <a:prstGeom prst="rect">
                      <a:avLst/>
                    </a:prstGeom>
                  </pic:spPr>
                </pic:pic>
              </a:graphicData>
            </a:graphic>
          </wp:inline>
        </w:drawing>
      </w:r>
    </w:p>
    <w:p w14:paraId="31F7B7F5" w14:textId="77777777" w:rsidR="00487463" w:rsidRDefault="00B10A8D">
      <w:pPr>
        <w:spacing w:after="160"/>
        <w:jc w:val="center"/>
        <w:rPr>
          <w:rFonts w:hint="eastAsia"/>
        </w:rPr>
      </w:pPr>
      <w:r>
        <w:rPr>
          <w:b/>
          <w:i/>
          <w:color w:val="596675"/>
          <w:sz w:val="18"/>
        </w:rPr>
        <w:t>Figure 24. Controlled cognitive divergence through cloning and DICE-guided specialization.</w:t>
      </w:r>
    </w:p>
    <w:p w14:paraId="0758FDE9" w14:textId="77777777" w:rsidR="00487463" w:rsidRDefault="00B10A8D">
      <w:pPr>
        <w:pStyle w:val="Heading2"/>
      </w:pPr>
      <w:r>
        <w:t>17.1 Liminal evolutionary ancestry</w:t>
      </w:r>
    </w:p>
    <w:p w14:paraId="7C118731" w14:textId="77777777" w:rsidR="00487463" w:rsidRDefault="00B10A8D">
      <w:pPr>
        <w:rPr>
          <w:rFonts w:hint="eastAsia"/>
        </w:rPr>
      </w:pPr>
      <w:r>
        <w:t>Liminal Bridge Base Cloning provides a natural ancestry structure for experiments. Original and clone may continue sharing selected canonical state while divergence records accumulate in the Bridge. The Bridge can preserve which BitWords stayed identical, which operators changed, which new contracts appeared, and which DICE results followed each change. Cognitive evolution therefore remains inspectable rather than becoming an undocumented sequence of model replacements.</w:t>
      </w:r>
    </w:p>
    <w:p w14:paraId="477C61CE" w14:textId="77777777" w:rsidR="00487463" w:rsidRDefault="00B10A8D">
      <w:pPr>
        <w:pStyle w:val="Heading1"/>
      </w:pPr>
      <w:r>
        <w:t>18. Multi-PIECE Synthesis Without Flattening</w:t>
      </w:r>
    </w:p>
    <w:p w14:paraId="09C0F12F" w14:textId="77777777" w:rsidR="00487463" w:rsidRDefault="00B10A8D">
      <w:pPr>
        <w:rPr>
          <w:rFonts w:hint="eastAsia"/>
        </w:rPr>
      </w:pPr>
      <w:r>
        <w:t>Different PIECEs may explain complementary aspects of one case. EDIFICE allows bounded synthesis, but every contribution must remain attributable. One lens may supply a mechanism, another a timing threshold, another a probability estimate, another a human constraint, and a foreign lens a predictive pattern not yet expressible in ordinary language.</w:t>
      </w:r>
    </w:p>
    <w:p w14:paraId="49F14747" w14:textId="77777777" w:rsidR="00487463" w:rsidRDefault="00B10A8D">
      <w:pPr>
        <w:rPr>
          <w:rFonts w:hint="eastAsia"/>
        </w:rPr>
      </w:pPr>
      <w:r>
        <w:t>The synthesis must not present those contributions as though they emerged from one undifferentiated intelligence. Provenance identifies which PIECE, version, state, and evidence supplied every field or relation. This preserves the scientific value of disagreement and prevents a fluent combined explanation from erasing the actual architecture that produced it.</w:t>
      </w:r>
    </w:p>
    <w:p w14:paraId="48485944" w14:textId="77777777" w:rsidR="00487463" w:rsidRDefault="00B10A8D">
      <w:pPr>
        <w:spacing w:before="120" w:after="60"/>
        <w:jc w:val="center"/>
        <w:rPr>
          <w:rFonts w:hint="eastAsia"/>
        </w:rPr>
      </w:pPr>
      <w:r>
        <w:rPr>
          <w:noProof/>
        </w:rPr>
        <w:drawing>
          <wp:inline distT="0" distB="0" distL="0" distR="0" wp14:anchorId="51C22ED2" wp14:editId="218AFC72">
            <wp:extent cx="5943600" cy="336158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5_multi_piece_synthesis.png"/>
                    <pic:cNvPicPr/>
                  </pic:nvPicPr>
                  <pic:blipFill>
                    <a:blip r:embed="rId32"/>
                    <a:stretch>
                      <a:fillRect/>
                    </a:stretch>
                  </pic:blipFill>
                  <pic:spPr>
                    <a:xfrm>
                      <a:off x="0" y="0"/>
                      <a:ext cx="5943600" cy="3361585"/>
                    </a:xfrm>
                    <a:prstGeom prst="rect">
                      <a:avLst/>
                    </a:prstGeom>
                  </pic:spPr>
                </pic:pic>
              </a:graphicData>
            </a:graphic>
          </wp:inline>
        </w:drawing>
      </w:r>
    </w:p>
    <w:p w14:paraId="1A9563D1" w14:textId="77777777" w:rsidR="00487463" w:rsidRDefault="00B10A8D">
      <w:pPr>
        <w:spacing w:after="160"/>
        <w:jc w:val="center"/>
        <w:rPr>
          <w:rFonts w:hint="eastAsia"/>
        </w:rPr>
      </w:pPr>
      <w:r>
        <w:rPr>
          <w:b/>
          <w:i/>
          <w:color w:val="596675"/>
          <w:sz w:val="18"/>
        </w:rPr>
        <w:t>Figure 25. Multi-PIECE synthesis retains exact contribution provenance instead of flattening lenses together.</w:t>
      </w:r>
    </w:p>
    <w:p w14:paraId="702301CB" w14:textId="77777777" w:rsidR="00487463" w:rsidRDefault="00B10A8D">
      <w:pPr>
        <w:pStyle w:val="Heading1"/>
      </w:pPr>
      <w:r>
        <w:t>19. EDIFICE as an Ecology of Semantic Habitats</w:t>
      </w:r>
    </w:p>
    <w:p w14:paraId="0A08C3C8" w14:textId="77777777" w:rsidR="00487463" w:rsidRDefault="00B10A8D">
      <w:pPr>
        <w:rPr>
          <w:rFonts w:hint="eastAsia"/>
        </w:rPr>
      </w:pPr>
      <w:r>
        <w:t>At scale, the EDIFICE is not one giant ontology. It is an ecology of bounded habitats: personal Bases, scientific lenses, industrial systems, embodied robots, organizational models, simulations, machine-native structures, and potentially foreign cognitive forms. Home preserves membership and discovery. Z contracts preserve bounded participation. Liminal Bridges preserve selected shared state. DICE supplies common empirical discipline. BOSS supplies explicit mapping only where semantic identities diverge.</w:t>
      </w:r>
    </w:p>
    <w:p w14:paraId="0D4B8CE0" w14:textId="77777777" w:rsidR="00487463" w:rsidRDefault="00B10A8D">
      <w:pPr>
        <w:rPr>
          <w:rFonts w:hint="eastAsia"/>
        </w:rPr>
      </w:pPr>
      <w:r>
        <w:t>This architecture permits collective intelligence to grow from managed difference. Standardization is still available where identity genuinely exists, but it is not the price of participation.</w:t>
      </w:r>
    </w:p>
    <w:p w14:paraId="26683037" w14:textId="77777777" w:rsidR="00487463" w:rsidRDefault="00B10A8D">
      <w:pPr>
        <w:spacing w:before="120" w:after="60"/>
        <w:jc w:val="center"/>
        <w:rPr>
          <w:rFonts w:hint="eastAsia"/>
        </w:rPr>
      </w:pPr>
      <w:r>
        <w:rPr>
          <w:noProof/>
        </w:rPr>
        <w:drawing>
          <wp:inline distT="0" distB="0" distL="0" distR="0" wp14:anchorId="6C0356D6" wp14:editId="57273D23">
            <wp:extent cx="5943600" cy="336158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6_ecology_habitats.png"/>
                    <pic:cNvPicPr/>
                  </pic:nvPicPr>
                  <pic:blipFill>
                    <a:blip r:embed="rId33"/>
                    <a:stretch>
                      <a:fillRect/>
                    </a:stretch>
                  </pic:blipFill>
                  <pic:spPr>
                    <a:xfrm>
                      <a:off x="0" y="0"/>
                      <a:ext cx="5943600" cy="3361585"/>
                    </a:xfrm>
                    <a:prstGeom prst="rect">
                      <a:avLst/>
                    </a:prstGeom>
                  </pic:spPr>
                </pic:pic>
              </a:graphicData>
            </a:graphic>
          </wp:inline>
        </w:drawing>
      </w:r>
    </w:p>
    <w:p w14:paraId="060E625C" w14:textId="77777777" w:rsidR="00487463" w:rsidRDefault="00B10A8D">
      <w:pPr>
        <w:spacing w:after="160"/>
        <w:jc w:val="center"/>
        <w:rPr>
          <w:rFonts w:hint="eastAsia"/>
        </w:rPr>
      </w:pPr>
      <w:r>
        <w:rPr>
          <w:b/>
          <w:i/>
          <w:color w:val="596675"/>
          <w:sz w:val="18"/>
        </w:rPr>
        <w:t>Figure 26. EDIFICE as an ecology of independent semantic habitats.</w:t>
      </w:r>
    </w:p>
    <w:p w14:paraId="70E0159F" w14:textId="77777777" w:rsidR="00487463" w:rsidRDefault="00B10A8D">
      <w:pPr>
        <w:pStyle w:val="Heading2"/>
      </w:pPr>
      <w:r>
        <w:t>19.1 Scale properties</w:t>
      </w:r>
    </w:p>
    <w:p w14:paraId="5FAA696C" w14:textId="77777777" w:rsidR="00487463" w:rsidRDefault="00B10A8D">
      <w:pPr>
        <w:rPr>
          <w:rFonts w:hint="eastAsia"/>
        </w:rPr>
      </w:pPr>
      <w:r>
        <w:t>The federation can grow much faster internally than Home grows externally. A Base may expand from hundreds to billions of states without requiring Home to ingest those states. Home-facing complexity is dominated by identities, Z contracts, discovery surfaces, and routes. Likewise, a Reader contract may be installed once and reused across enormous numbers of records.</w:t>
      </w:r>
    </w:p>
    <w:p w14:paraId="279B4D65" w14:textId="77777777" w:rsidR="00487463" w:rsidRDefault="00B10A8D">
      <w:pPr>
        <w:rPr>
          <w:rFonts w:hint="eastAsia"/>
        </w:rPr>
      </w:pPr>
      <w:r>
        <w:t>The same principle appears at multiple layers: store mathematics once, structure once, novel semantics once, and state as compactly as possible. Externalize implementation without duplicating authority. Learn a foreign habitat only when needed. Translate only where identity fails.</w:t>
      </w:r>
    </w:p>
    <w:p w14:paraId="0BF4EA85" w14:textId="77777777" w:rsidR="00487463" w:rsidRDefault="00B10A8D">
      <w:pPr>
        <w:spacing w:before="120" w:after="60"/>
        <w:jc w:val="center"/>
        <w:rPr>
          <w:rFonts w:hint="eastAsia"/>
        </w:rPr>
      </w:pPr>
      <w:r>
        <w:rPr>
          <w:noProof/>
        </w:rPr>
        <w:drawing>
          <wp:inline distT="0" distB="0" distL="0" distR="0" wp14:anchorId="1761490D" wp14:editId="0A3C2954">
            <wp:extent cx="5943600" cy="336158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7_scale_contracts.png"/>
                    <pic:cNvPicPr/>
                  </pic:nvPicPr>
                  <pic:blipFill>
                    <a:blip r:embed="rId34"/>
                    <a:stretch>
                      <a:fillRect/>
                    </a:stretch>
                  </pic:blipFill>
                  <pic:spPr>
                    <a:xfrm>
                      <a:off x="0" y="0"/>
                      <a:ext cx="5943600" cy="3361585"/>
                    </a:xfrm>
                    <a:prstGeom prst="rect">
                      <a:avLst/>
                    </a:prstGeom>
                  </pic:spPr>
                </pic:pic>
              </a:graphicData>
            </a:graphic>
          </wp:inline>
        </w:drawing>
      </w:r>
    </w:p>
    <w:p w14:paraId="4DD5A717" w14:textId="77777777" w:rsidR="00487463" w:rsidRDefault="00B10A8D">
      <w:pPr>
        <w:spacing w:after="160"/>
        <w:jc w:val="center"/>
        <w:rPr>
          <w:rFonts w:hint="eastAsia"/>
        </w:rPr>
      </w:pPr>
      <w:r>
        <w:rPr>
          <w:b/>
          <w:i/>
          <w:color w:val="596675"/>
          <w:sz w:val="18"/>
        </w:rPr>
        <w:t>Figure 27. Federation scale grows through bounded contracts rather than cognitive duplication.</w:t>
      </w:r>
    </w:p>
    <w:p w14:paraId="1877EEBB" w14:textId="77777777" w:rsidR="00487463" w:rsidRDefault="00B10A8D">
      <w:pPr>
        <w:pStyle w:val="Heading1"/>
      </w:pPr>
      <w:r>
        <w:t>20. Governance, Security, and Scientific Integrity</w:t>
      </w:r>
    </w:p>
    <w:p w14:paraId="4C0E3973" w14:textId="77777777" w:rsidR="00487463" w:rsidRDefault="00B10A8D">
      <w:pPr>
        <w:rPr>
          <w:rFonts w:hint="eastAsia"/>
        </w:rPr>
      </w:pPr>
      <w:r>
        <w:t>EDIFICE creates powerful interoperability, but interoperability must remain governed. Semantic packets, Readers, Crosswalks, BOOTSTRAP resources, and BOSS mappings are not executable authority by default. A Base may understand an operation yet lack permission to perform it. A PIECE may recommend an intervention while Action Contracts require human review or independent validation.</w:t>
      </w:r>
    </w:p>
    <w:p w14:paraId="58BECF7C" w14:textId="77777777" w:rsidR="00487463" w:rsidRDefault="00B10A8D">
      <w:pPr>
        <w:rPr>
          <w:rFonts w:hint="eastAsia"/>
        </w:rPr>
      </w:pPr>
      <w:r>
        <w:t>Security must defend against malicious Reader packages, semantic injection, false equivalence, stale contract versions, unauthorized BOOTSTRAP resources, hidden uncontained links, data leakage between DICE participants, and metric gaming. Least-semantic-disclosure applies wherever a task can be completed with a smaller authorized slice. Unknown or insufficiently trusted structures should degrade toward opacity or abstention rather than silent execution.</w:t>
      </w:r>
    </w:p>
    <w:p w14:paraId="2B2AB8AA" w14:textId="77777777" w:rsidR="00487463" w:rsidRDefault="00B10A8D">
      <w:pPr>
        <w:spacing w:before="80" w:after="80"/>
        <w:rPr>
          <w:rFonts w:hint="eastAsia"/>
        </w:rPr>
      </w:pPr>
      <w:r>
        <w:rPr>
          <w:b/>
          <w:i/>
          <w:color w:val="4F5E6E"/>
          <w:sz w:val="19"/>
        </w:rPr>
        <w:t>Table 10. Major governance threats and controls.</w:t>
      </w:r>
    </w:p>
    <w:tbl>
      <w:tblPr>
        <w:tblW w:w="0" w:type="auto"/>
        <w:jc w:val="center"/>
        <w:tblLayout w:type="fixed"/>
        <w:tblLook w:val="04A0" w:firstRow="1" w:lastRow="0" w:firstColumn="1" w:lastColumn="0" w:noHBand="0" w:noVBand="1"/>
      </w:tblPr>
      <w:tblGrid>
        <w:gridCol w:w="3024"/>
        <w:gridCol w:w="6264"/>
      </w:tblGrid>
      <w:tr w:rsidR="00487463" w14:paraId="7933FAAC" w14:textId="77777777">
        <w:trPr>
          <w:jc w:val="center"/>
        </w:trPr>
        <w:tc>
          <w:tcPr>
            <w:tcW w:w="3024" w:type="dxa"/>
            <w:shd w:val="clear" w:color="auto" w:fill="17365D"/>
            <w:tcMar>
              <w:top w:w="100" w:type="dxa"/>
              <w:left w:w="120" w:type="dxa"/>
              <w:bottom w:w="100" w:type="dxa"/>
              <w:right w:w="120" w:type="dxa"/>
            </w:tcMar>
            <w:vAlign w:val="center"/>
          </w:tcPr>
          <w:p w14:paraId="20FB2BD3" w14:textId="77777777" w:rsidR="00487463" w:rsidRDefault="00B10A8D">
            <w:pPr>
              <w:jc w:val="center"/>
              <w:rPr>
                <w:rFonts w:hint="eastAsia"/>
              </w:rPr>
            </w:pPr>
            <w:r>
              <w:rPr>
                <w:b/>
                <w:color w:val="FFFFFF"/>
                <w:sz w:val="19"/>
              </w:rPr>
              <w:t>Threat</w:t>
            </w:r>
          </w:p>
        </w:tc>
        <w:tc>
          <w:tcPr>
            <w:tcW w:w="6264" w:type="dxa"/>
            <w:shd w:val="clear" w:color="auto" w:fill="17365D"/>
            <w:tcMar>
              <w:top w:w="100" w:type="dxa"/>
              <w:left w:w="120" w:type="dxa"/>
              <w:bottom w:w="100" w:type="dxa"/>
              <w:right w:w="120" w:type="dxa"/>
            </w:tcMar>
            <w:vAlign w:val="center"/>
          </w:tcPr>
          <w:p w14:paraId="5ECCFDDD" w14:textId="77777777" w:rsidR="00487463" w:rsidRDefault="00B10A8D">
            <w:pPr>
              <w:jc w:val="center"/>
              <w:rPr>
                <w:rFonts w:hint="eastAsia"/>
              </w:rPr>
            </w:pPr>
            <w:r>
              <w:rPr>
                <w:b/>
                <w:color w:val="FFFFFF"/>
                <w:sz w:val="19"/>
              </w:rPr>
              <w:t>Architectural control</w:t>
            </w:r>
          </w:p>
        </w:tc>
      </w:tr>
      <w:tr w:rsidR="00487463" w14:paraId="2E1B563E" w14:textId="77777777">
        <w:trPr>
          <w:jc w:val="center"/>
        </w:trPr>
        <w:tc>
          <w:tcPr>
            <w:tcW w:w="3024" w:type="dxa"/>
            <w:shd w:val="clear" w:color="auto" w:fill="FFFFFF"/>
            <w:tcMar>
              <w:top w:w="95" w:type="dxa"/>
              <w:left w:w="110" w:type="dxa"/>
              <w:bottom w:w="95" w:type="dxa"/>
              <w:right w:w="110" w:type="dxa"/>
            </w:tcMar>
            <w:vAlign w:val="center"/>
          </w:tcPr>
          <w:p w14:paraId="5A248E32" w14:textId="77777777" w:rsidR="00487463" w:rsidRDefault="00B10A8D">
            <w:pPr>
              <w:spacing w:after="0" w:line="240" w:lineRule="auto"/>
              <w:jc w:val="center"/>
              <w:rPr>
                <w:rFonts w:hint="eastAsia"/>
              </w:rPr>
            </w:pPr>
            <w:r>
              <w:rPr>
                <w:sz w:val="18"/>
              </w:rPr>
              <w:t>Malicious or stale Reader</w:t>
            </w:r>
          </w:p>
        </w:tc>
        <w:tc>
          <w:tcPr>
            <w:tcW w:w="6264" w:type="dxa"/>
            <w:shd w:val="clear" w:color="auto" w:fill="FFFFFF"/>
            <w:tcMar>
              <w:top w:w="95" w:type="dxa"/>
              <w:left w:w="110" w:type="dxa"/>
              <w:bottom w:w="95" w:type="dxa"/>
              <w:right w:w="110" w:type="dxa"/>
            </w:tcMar>
            <w:vAlign w:val="center"/>
          </w:tcPr>
          <w:p w14:paraId="476FFBCA" w14:textId="77777777" w:rsidR="00487463" w:rsidRDefault="00B10A8D">
            <w:pPr>
              <w:spacing w:after="0" w:line="240" w:lineRule="auto"/>
              <w:rPr>
                <w:rFonts w:hint="eastAsia"/>
              </w:rPr>
            </w:pPr>
            <w:r>
              <w:rPr>
                <w:sz w:val="18"/>
              </w:rPr>
              <w:t>Signatures, provenance, version pinning, allowlists, sandboxed installation</w:t>
            </w:r>
          </w:p>
        </w:tc>
      </w:tr>
      <w:tr w:rsidR="00487463" w14:paraId="17B2D06A" w14:textId="77777777">
        <w:trPr>
          <w:jc w:val="center"/>
        </w:trPr>
        <w:tc>
          <w:tcPr>
            <w:tcW w:w="3024" w:type="dxa"/>
            <w:shd w:val="clear" w:color="auto" w:fill="FFFFFF"/>
            <w:tcMar>
              <w:top w:w="95" w:type="dxa"/>
              <w:left w:w="110" w:type="dxa"/>
              <w:bottom w:w="95" w:type="dxa"/>
              <w:right w:w="110" w:type="dxa"/>
            </w:tcMar>
            <w:vAlign w:val="center"/>
          </w:tcPr>
          <w:p w14:paraId="69C8448A" w14:textId="77777777" w:rsidR="00487463" w:rsidRDefault="00B10A8D">
            <w:pPr>
              <w:spacing w:after="0" w:line="240" w:lineRule="auto"/>
              <w:jc w:val="center"/>
              <w:rPr>
                <w:rFonts w:hint="eastAsia"/>
              </w:rPr>
            </w:pPr>
            <w:r>
              <w:rPr>
                <w:sz w:val="18"/>
              </w:rPr>
              <w:t>Semantic injection</w:t>
            </w:r>
          </w:p>
        </w:tc>
        <w:tc>
          <w:tcPr>
            <w:tcW w:w="6264" w:type="dxa"/>
            <w:shd w:val="clear" w:color="auto" w:fill="FFFFFF"/>
            <w:tcMar>
              <w:top w:w="95" w:type="dxa"/>
              <w:left w:w="110" w:type="dxa"/>
              <w:bottom w:w="95" w:type="dxa"/>
              <w:right w:w="110" w:type="dxa"/>
            </w:tcMar>
            <w:vAlign w:val="center"/>
          </w:tcPr>
          <w:p w14:paraId="42FA4EEE" w14:textId="77777777" w:rsidR="00487463" w:rsidRDefault="00B10A8D">
            <w:pPr>
              <w:spacing w:after="0" w:line="240" w:lineRule="auto"/>
              <w:rPr>
                <w:rFonts w:hint="eastAsia"/>
              </w:rPr>
            </w:pPr>
            <w:r>
              <w:rPr>
                <w:sz w:val="18"/>
              </w:rPr>
              <w:t>BOSS source trust, mapping grades, explicit remainder, no automatic execution</w:t>
            </w:r>
          </w:p>
        </w:tc>
      </w:tr>
      <w:tr w:rsidR="00487463" w14:paraId="5D554C56" w14:textId="77777777">
        <w:trPr>
          <w:jc w:val="center"/>
        </w:trPr>
        <w:tc>
          <w:tcPr>
            <w:tcW w:w="3024" w:type="dxa"/>
            <w:shd w:val="clear" w:color="auto" w:fill="FFFFFF"/>
            <w:tcMar>
              <w:top w:w="95" w:type="dxa"/>
              <w:left w:w="110" w:type="dxa"/>
              <w:bottom w:w="95" w:type="dxa"/>
              <w:right w:w="110" w:type="dxa"/>
            </w:tcMar>
            <w:vAlign w:val="center"/>
          </w:tcPr>
          <w:p w14:paraId="41F21EB7" w14:textId="77777777" w:rsidR="00487463" w:rsidRDefault="00B10A8D">
            <w:pPr>
              <w:spacing w:after="0" w:line="240" w:lineRule="auto"/>
              <w:jc w:val="center"/>
              <w:rPr>
                <w:rFonts w:hint="eastAsia"/>
              </w:rPr>
            </w:pPr>
            <w:r>
              <w:rPr>
                <w:sz w:val="18"/>
              </w:rPr>
              <w:t>Uncontained Base links</w:t>
            </w:r>
          </w:p>
        </w:tc>
        <w:tc>
          <w:tcPr>
            <w:tcW w:w="6264" w:type="dxa"/>
            <w:shd w:val="clear" w:color="auto" w:fill="FFFFFF"/>
            <w:tcMar>
              <w:top w:w="95" w:type="dxa"/>
              <w:left w:w="110" w:type="dxa"/>
              <w:bottom w:w="95" w:type="dxa"/>
              <w:right w:w="110" w:type="dxa"/>
            </w:tcMar>
            <w:vAlign w:val="center"/>
          </w:tcPr>
          <w:p w14:paraId="009132C4" w14:textId="77777777" w:rsidR="00487463" w:rsidRDefault="00B10A8D">
            <w:pPr>
              <w:spacing w:after="0" w:line="240" w:lineRule="auto"/>
              <w:rPr>
                <w:rFonts w:hint="eastAsia"/>
              </w:rPr>
            </w:pPr>
            <w:r>
              <w:rPr>
                <w:sz w:val="18"/>
              </w:rPr>
              <w:t>BASE SERVICE containment diagnostics and Z-boundary enforcement</w:t>
            </w:r>
          </w:p>
        </w:tc>
      </w:tr>
      <w:tr w:rsidR="00487463" w14:paraId="1EAEA198" w14:textId="77777777">
        <w:trPr>
          <w:jc w:val="center"/>
        </w:trPr>
        <w:tc>
          <w:tcPr>
            <w:tcW w:w="3024" w:type="dxa"/>
            <w:shd w:val="clear" w:color="auto" w:fill="FFFFFF"/>
            <w:tcMar>
              <w:top w:w="95" w:type="dxa"/>
              <w:left w:w="110" w:type="dxa"/>
              <w:bottom w:w="95" w:type="dxa"/>
              <w:right w:w="110" w:type="dxa"/>
            </w:tcMar>
            <w:vAlign w:val="center"/>
          </w:tcPr>
          <w:p w14:paraId="2C5E75DB" w14:textId="77777777" w:rsidR="00487463" w:rsidRDefault="00B10A8D">
            <w:pPr>
              <w:spacing w:after="0" w:line="240" w:lineRule="auto"/>
              <w:jc w:val="center"/>
              <w:rPr>
                <w:rFonts w:hint="eastAsia"/>
              </w:rPr>
            </w:pPr>
            <w:r>
              <w:rPr>
                <w:sz w:val="18"/>
              </w:rPr>
              <w:t>DICE data leakage</w:t>
            </w:r>
          </w:p>
        </w:tc>
        <w:tc>
          <w:tcPr>
            <w:tcW w:w="6264" w:type="dxa"/>
            <w:shd w:val="clear" w:color="auto" w:fill="FFFFFF"/>
            <w:tcMar>
              <w:top w:w="95" w:type="dxa"/>
              <w:left w:w="110" w:type="dxa"/>
              <w:bottom w:w="95" w:type="dxa"/>
              <w:right w:w="110" w:type="dxa"/>
            </w:tcMar>
            <w:vAlign w:val="center"/>
          </w:tcPr>
          <w:p w14:paraId="3EDC261B" w14:textId="77777777" w:rsidR="00487463" w:rsidRDefault="00B10A8D">
            <w:pPr>
              <w:spacing w:after="0" w:line="240" w:lineRule="auto"/>
              <w:rPr>
                <w:rFonts w:hint="eastAsia"/>
              </w:rPr>
            </w:pPr>
            <w:r>
              <w:rPr>
                <w:sz w:val="18"/>
              </w:rPr>
              <w:t>Case isolation, delayed outcomes, evidence permissions, audit</w:t>
            </w:r>
          </w:p>
        </w:tc>
      </w:tr>
      <w:tr w:rsidR="00487463" w14:paraId="2AEAECFA" w14:textId="77777777">
        <w:trPr>
          <w:jc w:val="center"/>
        </w:trPr>
        <w:tc>
          <w:tcPr>
            <w:tcW w:w="3024" w:type="dxa"/>
            <w:shd w:val="clear" w:color="auto" w:fill="FFFFFF"/>
            <w:tcMar>
              <w:top w:w="95" w:type="dxa"/>
              <w:left w:w="110" w:type="dxa"/>
              <w:bottom w:w="95" w:type="dxa"/>
              <w:right w:w="110" w:type="dxa"/>
            </w:tcMar>
            <w:vAlign w:val="center"/>
          </w:tcPr>
          <w:p w14:paraId="2C79F825" w14:textId="77777777" w:rsidR="00487463" w:rsidRDefault="00B10A8D">
            <w:pPr>
              <w:spacing w:after="0" w:line="240" w:lineRule="auto"/>
              <w:jc w:val="center"/>
              <w:rPr>
                <w:rFonts w:hint="eastAsia"/>
              </w:rPr>
            </w:pPr>
            <w:r>
              <w:rPr>
                <w:sz w:val="18"/>
              </w:rPr>
              <w:t>Metric gaming</w:t>
            </w:r>
          </w:p>
        </w:tc>
        <w:tc>
          <w:tcPr>
            <w:tcW w:w="6264" w:type="dxa"/>
            <w:shd w:val="clear" w:color="auto" w:fill="FFFFFF"/>
            <w:tcMar>
              <w:top w:w="95" w:type="dxa"/>
              <w:left w:w="110" w:type="dxa"/>
              <w:bottom w:w="95" w:type="dxa"/>
              <w:right w:w="110" w:type="dxa"/>
            </w:tcMar>
            <w:vAlign w:val="center"/>
          </w:tcPr>
          <w:p w14:paraId="5E31788F" w14:textId="77777777" w:rsidR="00487463" w:rsidRDefault="00B10A8D">
            <w:pPr>
              <w:spacing w:after="0" w:line="240" w:lineRule="auto"/>
              <w:rPr>
                <w:rFonts w:hint="eastAsia"/>
              </w:rPr>
            </w:pPr>
            <w:r>
              <w:rPr>
                <w:sz w:val="18"/>
              </w:rPr>
              <w:t>Multiple metrics, hidden tests, prospective evaluation, human review</w:t>
            </w:r>
          </w:p>
        </w:tc>
      </w:tr>
      <w:tr w:rsidR="00487463" w14:paraId="5B8E8E3B" w14:textId="77777777">
        <w:trPr>
          <w:jc w:val="center"/>
        </w:trPr>
        <w:tc>
          <w:tcPr>
            <w:tcW w:w="3024" w:type="dxa"/>
            <w:shd w:val="clear" w:color="auto" w:fill="FFFFFF"/>
            <w:tcMar>
              <w:top w:w="95" w:type="dxa"/>
              <w:left w:w="110" w:type="dxa"/>
              <w:bottom w:w="95" w:type="dxa"/>
              <w:right w:w="110" w:type="dxa"/>
            </w:tcMar>
            <w:vAlign w:val="center"/>
          </w:tcPr>
          <w:p w14:paraId="1192034C" w14:textId="77777777" w:rsidR="00487463" w:rsidRDefault="00B10A8D">
            <w:pPr>
              <w:spacing w:after="0" w:line="240" w:lineRule="auto"/>
              <w:jc w:val="center"/>
              <w:rPr>
                <w:rFonts w:hint="eastAsia"/>
              </w:rPr>
            </w:pPr>
            <w:r>
              <w:rPr>
                <w:sz w:val="18"/>
              </w:rPr>
              <w:t>Cognitive monoculture</w:t>
            </w:r>
          </w:p>
        </w:tc>
        <w:tc>
          <w:tcPr>
            <w:tcW w:w="6264" w:type="dxa"/>
            <w:shd w:val="clear" w:color="auto" w:fill="FFFFFF"/>
            <w:tcMar>
              <w:top w:w="95" w:type="dxa"/>
              <w:left w:w="110" w:type="dxa"/>
              <w:bottom w:w="95" w:type="dxa"/>
              <w:right w:w="110" w:type="dxa"/>
            </w:tcMar>
            <w:vAlign w:val="center"/>
          </w:tcPr>
          <w:p w14:paraId="2995313C" w14:textId="77777777" w:rsidR="00487463" w:rsidRDefault="00B10A8D">
            <w:pPr>
              <w:spacing w:after="0" w:line="240" w:lineRule="auto"/>
              <w:rPr>
                <w:rFonts w:hint="eastAsia"/>
              </w:rPr>
            </w:pPr>
            <w:r>
              <w:rPr>
                <w:sz w:val="18"/>
              </w:rPr>
              <w:t>Fork rights, diversity of PIECEs, scoped specialization rather than universal winner</w:t>
            </w:r>
          </w:p>
        </w:tc>
      </w:tr>
      <w:tr w:rsidR="00487463" w14:paraId="0CCD1E29" w14:textId="77777777">
        <w:trPr>
          <w:jc w:val="center"/>
        </w:trPr>
        <w:tc>
          <w:tcPr>
            <w:tcW w:w="3024" w:type="dxa"/>
            <w:shd w:val="clear" w:color="auto" w:fill="FFFFFF"/>
            <w:tcMar>
              <w:top w:w="95" w:type="dxa"/>
              <w:left w:w="110" w:type="dxa"/>
              <w:bottom w:w="95" w:type="dxa"/>
              <w:right w:w="110" w:type="dxa"/>
            </w:tcMar>
            <w:vAlign w:val="center"/>
          </w:tcPr>
          <w:p w14:paraId="06F3598F" w14:textId="77777777" w:rsidR="00487463" w:rsidRDefault="00B10A8D">
            <w:pPr>
              <w:spacing w:after="0" w:line="240" w:lineRule="auto"/>
              <w:jc w:val="center"/>
              <w:rPr>
                <w:rFonts w:hint="eastAsia"/>
              </w:rPr>
            </w:pPr>
            <w:r>
              <w:rPr>
                <w:sz w:val="18"/>
              </w:rPr>
              <w:t>Unauthorized action</w:t>
            </w:r>
          </w:p>
        </w:tc>
        <w:tc>
          <w:tcPr>
            <w:tcW w:w="6264" w:type="dxa"/>
            <w:shd w:val="clear" w:color="auto" w:fill="FFFFFF"/>
            <w:tcMar>
              <w:top w:w="95" w:type="dxa"/>
              <w:left w:w="110" w:type="dxa"/>
              <w:bottom w:w="95" w:type="dxa"/>
              <w:right w:w="110" w:type="dxa"/>
            </w:tcMar>
            <w:vAlign w:val="center"/>
          </w:tcPr>
          <w:p w14:paraId="40BF7A8C" w14:textId="77777777" w:rsidR="00487463" w:rsidRDefault="00B10A8D">
            <w:pPr>
              <w:spacing w:after="0" w:line="240" w:lineRule="auto"/>
              <w:rPr>
                <w:rFonts w:hint="eastAsia"/>
              </w:rPr>
            </w:pPr>
            <w:r>
              <w:rPr>
                <w:sz w:val="18"/>
              </w:rPr>
              <w:t>Action Contracts, permission checks, review boundaries</w:t>
            </w:r>
          </w:p>
        </w:tc>
      </w:tr>
      <w:tr w:rsidR="00487463" w14:paraId="2DF81DFB" w14:textId="77777777">
        <w:trPr>
          <w:jc w:val="center"/>
        </w:trPr>
        <w:tc>
          <w:tcPr>
            <w:tcW w:w="3024" w:type="dxa"/>
            <w:shd w:val="clear" w:color="auto" w:fill="FFFFFF"/>
            <w:tcMar>
              <w:top w:w="95" w:type="dxa"/>
              <w:left w:w="110" w:type="dxa"/>
              <w:bottom w:w="95" w:type="dxa"/>
              <w:right w:w="110" w:type="dxa"/>
            </w:tcMar>
            <w:vAlign w:val="center"/>
          </w:tcPr>
          <w:p w14:paraId="340AC172" w14:textId="77777777" w:rsidR="00487463" w:rsidRDefault="00B10A8D">
            <w:pPr>
              <w:spacing w:after="0" w:line="240" w:lineRule="auto"/>
              <w:jc w:val="center"/>
              <w:rPr>
                <w:rFonts w:hint="eastAsia"/>
              </w:rPr>
            </w:pPr>
            <w:r>
              <w:rPr>
                <w:sz w:val="18"/>
              </w:rPr>
              <w:t>Opaque sensitive data</w:t>
            </w:r>
          </w:p>
        </w:tc>
        <w:tc>
          <w:tcPr>
            <w:tcW w:w="6264" w:type="dxa"/>
            <w:shd w:val="clear" w:color="auto" w:fill="FFFFFF"/>
            <w:tcMar>
              <w:top w:w="95" w:type="dxa"/>
              <w:left w:w="110" w:type="dxa"/>
              <w:bottom w:w="95" w:type="dxa"/>
              <w:right w:w="110" w:type="dxa"/>
            </w:tcMar>
            <w:vAlign w:val="center"/>
          </w:tcPr>
          <w:p w14:paraId="1BABEEE2" w14:textId="77777777" w:rsidR="00487463" w:rsidRDefault="00B10A8D">
            <w:pPr>
              <w:spacing w:after="0" w:line="240" w:lineRule="auto"/>
              <w:rPr>
                <w:rFonts w:hint="eastAsia"/>
              </w:rPr>
            </w:pPr>
            <w:r>
              <w:rPr>
                <w:sz w:val="18"/>
              </w:rPr>
              <w:t>Cryptography + contract gating + least-semantic-disclosure</w:t>
            </w:r>
          </w:p>
        </w:tc>
      </w:tr>
    </w:tbl>
    <w:p w14:paraId="22A303C5" w14:textId="77777777" w:rsidR="00487463" w:rsidRDefault="00487463">
      <w:pPr>
        <w:spacing w:after="0"/>
        <w:rPr>
          <w:rFonts w:hint="eastAsia"/>
        </w:rPr>
      </w:pPr>
    </w:p>
    <w:p w14:paraId="62D47162" w14:textId="77777777" w:rsidR="00487463" w:rsidRDefault="00B10A8D">
      <w:pPr>
        <w:pStyle w:val="Heading1"/>
      </w:pPr>
      <w:r>
        <w:t>21. Implementation Roadmap</w:t>
      </w:r>
    </w:p>
    <w:p w14:paraId="0B0EAE1F" w14:textId="77777777" w:rsidR="00487463" w:rsidRDefault="00B10A8D">
      <w:pPr>
        <w:rPr>
          <w:rFonts w:hint="eastAsia"/>
        </w:rPr>
      </w:pPr>
      <w:r>
        <w:t>A practical EDIFICE can be implemented incrementally. The architecture does not require the full federation on day one. Each phase should prove one layer while preserving contracts for later expansion.</w:t>
      </w:r>
    </w:p>
    <w:p w14:paraId="4D3A95DB" w14:textId="77777777" w:rsidR="00487463" w:rsidRDefault="00B10A8D">
      <w:pPr>
        <w:spacing w:before="80" w:after="80"/>
        <w:rPr>
          <w:rFonts w:hint="eastAsia"/>
        </w:rPr>
      </w:pPr>
      <w:r>
        <w:rPr>
          <w:b/>
          <w:i/>
          <w:color w:val="4F5E6E"/>
          <w:sz w:val="19"/>
        </w:rPr>
        <w:t>Table 11. Recommended EDIFICE implementation sequence.</w:t>
      </w:r>
    </w:p>
    <w:tbl>
      <w:tblPr>
        <w:tblW w:w="0" w:type="auto"/>
        <w:jc w:val="center"/>
        <w:tblLayout w:type="fixed"/>
        <w:tblLook w:val="04A0" w:firstRow="1" w:lastRow="0" w:firstColumn="1" w:lastColumn="0" w:noHBand="0" w:noVBand="1"/>
      </w:tblPr>
      <w:tblGrid>
        <w:gridCol w:w="1872"/>
        <w:gridCol w:w="3384"/>
        <w:gridCol w:w="4032"/>
      </w:tblGrid>
      <w:tr w:rsidR="00487463" w14:paraId="2060CE0E" w14:textId="77777777">
        <w:trPr>
          <w:jc w:val="center"/>
        </w:trPr>
        <w:tc>
          <w:tcPr>
            <w:tcW w:w="1872" w:type="dxa"/>
            <w:shd w:val="clear" w:color="auto" w:fill="17365D"/>
            <w:tcMar>
              <w:top w:w="100" w:type="dxa"/>
              <w:left w:w="120" w:type="dxa"/>
              <w:bottom w:w="100" w:type="dxa"/>
              <w:right w:w="120" w:type="dxa"/>
            </w:tcMar>
            <w:vAlign w:val="center"/>
          </w:tcPr>
          <w:p w14:paraId="5B93CE0B" w14:textId="77777777" w:rsidR="00487463" w:rsidRDefault="00B10A8D">
            <w:pPr>
              <w:jc w:val="center"/>
              <w:rPr>
                <w:rFonts w:hint="eastAsia"/>
              </w:rPr>
            </w:pPr>
            <w:r>
              <w:rPr>
                <w:b/>
                <w:color w:val="FFFFFF"/>
                <w:sz w:val="19"/>
              </w:rPr>
              <w:t>Phase</w:t>
            </w:r>
          </w:p>
        </w:tc>
        <w:tc>
          <w:tcPr>
            <w:tcW w:w="3384" w:type="dxa"/>
            <w:shd w:val="clear" w:color="auto" w:fill="17365D"/>
            <w:tcMar>
              <w:top w:w="100" w:type="dxa"/>
              <w:left w:w="120" w:type="dxa"/>
              <w:bottom w:w="100" w:type="dxa"/>
              <w:right w:w="120" w:type="dxa"/>
            </w:tcMar>
            <w:vAlign w:val="center"/>
          </w:tcPr>
          <w:p w14:paraId="505473E1" w14:textId="77777777" w:rsidR="00487463" w:rsidRDefault="00B10A8D">
            <w:pPr>
              <w:jc w:val="center"/>
              <w:rPr>
                <w:rFonts w:hint="eastAsia"/>
              </w:rPr>
            </w:pPr>
            <w:r>
              <w:rPr>
                <w:b/>
                <w:color w:val="FFFFFF"/>
                <w:sz w:val="19"/>
              </w:rPr>
              <w:t>Primary deliverable</w:t>
            </w:r>
          </w:p>
        </w:tc>
        <w:tc>
          <w:tcPr>
            <w:tcW w:w="4032" w:type="dxa"/>
            <w:shd w:val="clear" w:color="auto" w:fill="17365D"/>
            <w:tcMar>
              <w:top w:w="100" w:type="dxa"/>
              <w:left w:w="120" w:type="dxa"/>
              <w:bottom w:w="100" w:type="dxa"/>
              <w:right w:w="120" w:type="dxa"/>
            </w:tcMar>
            <w:vAlign w:val="center"/>
          </w:tcPr>
          <w:p w14:paraId="52EE708E" w14:textId="77777777" w:rsidR="00487463" w:rsidRDefault="00B10A8D">
            <w:pPr>
              <w:jc w:val="center"/>
              <w:rPr>
                <w:rFonts w:hint="eastAsia"/>
              </w:rPr>
            </w:pPr>
            <w:r>
              <w:rPr>
                <w:b/>
                <w:color w:val="FFFFFF"/>
                <w:sz w:val="19"/>
              </w:rPr>
              <w:t>Success condition</w:t>
            </w:r>
          </w:p>
        </w:tc>
      </w:tr>
      <w:tr w:rsidR="00487463" w14:paraId="757C4814" w14:textId="77777777">
        <w:trPr>
          <w:jc w:val="center"/>
        </w:trPr>
        <w:tc>
          <w:tcPr>
            <w:tcW w:w="1872" w:type="dxa"/>
            <w:shd w:val="clear" w:color="auto" w:fill="FFFFFF"/>
            <w:tcMar>
              <w:top w:w="95" w:type="dxa"/>
              <w:left w:w="110" w:type="dxa"/>
              <w:bottom w:w="95" w:type="dxa"/>
              <w:right w:w="110" w:type="dxa"/>
            </w:tcMar>
            <w:vAlign w:val="center"/>
          </w:tcPr>
          <w:p w14:paraId="3CCDBA17" w14:textId="77777777" w:rsidR="00487463" w:rsidRDefault="00B10A8D">
            <w:pPr>
              <w:spacing w:after="0" w:line="240" w:lineRule="auto"/>
              <w:jc w:val="center"/>
              <w:rPr>
                <w:rFonts w:hint="eastAsia"/>
              </w:rPr>
            </w:pPr>
            <w:r>
              <w:rPr>
                <w:sz w:val="17"/>
              </w:rPr>
              <w:t>1. Canonical substrate</w:t>
            </w:r>
          </w:p>
        </w:tc>
        <w:tc>
          <w:tcPr>
            <w:tcW w:w="3384" w:type="dxa"/>
            <w:shd w:val="clear" w:color="auto" w:fill="FFFFFF"/>
            <w:tcMar>
              <w:top w:w="95" w:type="dxa"/>
              <w:left w:w="110" w:type="dxa"/>
              <w:bottom w:w="95" w:type="dxa"/>
              <w:right w:w="110" w:type="dxa"/>
            </w:tcMar>
            <w:vAlign w:val="center"/>
          </w:tcPr>
          <w:p w14:paraId="3B68D760" w14:textId="77777777" w:rsidR="00487463" w:rsidRDefault="00B10A8D">
            <w:pPr>
              <w:spacing w:after="0" w:line="240" w:lineRule="auto"/>
              <w:rPr>
                <w:rFonts w:hint="eastAsia"/>
              </w:rPr>
            </w:pPr>
            <w:r>
              <w:rPr>
                <w:sz w:val="17"/>
              </w:rPr>
              <w:t>Working Bits, BitGroups, Formula, BitWords, Readers</w:t>
            </w:r>
          </w:p>
        </w:tc>
        <w:tc>
          <w:tcPr>
            <w:tcW w:w="4032" w:type="dxa"/>
            <w:shd w:val="clear" w:color="auto" w:fill="FFFFFF"/>
            <w:tcMar>
              <w:top w:w="95" w:type="dxa"/>
              <w:left w:w="110" w:type="dxa"/>
              <w:bottom w:w="95" w:type="dxa"/>
              <w:right w:w="110" w:type="dxa"/>
            </w:tcMar>
            <w:vAlign w:val="center"/>
          </w:tcPr>
          <w:p w14:paraId="401B619B" w14:textId="77777777" w:rsidR="00487463" w:rsidRDefault="00B10A8D">
            <w:pPr>
              <w:spacing w:after="0" w:line="240" w:lineRule="auto"/>
              <w:rPr>
                <w:rFonts w:hint="eastAsia"/>
              </w:rPr>
            </w:pPr>
            <w:r>
              <w:rPr>
                <w:sz w:val="17"/>
              </w:rPr>
              <w:t>Multiple records decode deterministically without AI inference</w:t>
            </w:r>
          </w:p>
        </w:tc>
      </w:tr>
      <w:tr w:rsidR="00487463" w14:paraId="237976F7" w14:textId="77777777">
        <w:trPr>
          <w:jc w:val="center"/>
        </w:trPr>
        <w:tc>
          <w:tcPr>
            <w:tcW w:w="1872" w:type="dxa"/>
            <w:shd w:val="clear" w:color="auto" w:fill="FFFFFF"/>
            <w:tcMar>
              <w:top w:w="95" w:type="dxa"/>
              <w:left w:w="110" w:type="dxa"/>
              <w:bottom w:w="95" w:type="dxa"/>
              <w:right w:w="110" w:type="dxa"/>
            </w:tcMar>
            <w:vAlign w:val="center"/>
          </w:tcPr>
          <w:p w14:paraId="3BE62020" w14:textId="77777777" w:rsidR="00487463" w:rsidRDefault="00B10A8D">
            <w:pPr>
              <w:spacing w:after="0" w:line="240" w:lineRule="auto"/>
              <w:jc w:val="center"/>
              <w:rPr>
                <w:rFonts w:hint="eastAsia"/>
              </w:rPr>
            </w:pPr>
            <w:r>
              <w:rPr>
                <w:sz w:val="17"/>
              </w:rPr>
              <w:t>2. Native habitat</w:t>
            </w:r>
          </w:p>
        </w:tc>
        <w:tc>
          <w:tcPr>
            <w:tcW w:w="3384" w:type="dxa"/>
            <w:shd w:val="clear" w:color="auto" w:fill="FFFFFF"/>
            <w:tcMar>
              <w:top w:w="95" w:type="dxa"/>
              <w:left w:w="110" w:type="dxa"/>
              <w:bottom w:w="95" w:type="dxa"/>
              <w:right w:w="110" w:type="dxa"/>
            </w:tcMar>
            <w:vAlign w:val="center"/>
          </w:tcPr>
          <w:p w14:paraId="066B4505" w14:textId="77777777" w:rsidR="00487463" w:rsidRDefault="00B10A8D">
            <w:pPr>
              <w:spacing w:after="0" w:line="240" w:lineRule="auto"/>
              <w:rPr>
                <w:rFonts w:hint="eastAsia"/>
              </w:rPr>
            </w:pPr>
            <w:r>
              <w:rPr>
                <w:sz w:val="17"/>
              </w:rPr>
              <w:t>One Base with local SOLAR, BOOTSTRAP, PIECE structures</w:t>
            </w:r>
          </w:p>
        </w:tc>
        <w:tc>
          <w:tcPr>
            <w:tcW w:w="4032" w:type="dxa"/>
            <w:shd w:val="clear" w:color="auto" w:fill="FFFFFF"/>
            <w:tcMar>
              <w:top w:w="95" w:type="dxa"/>
              <w:left w:w="110" w:type="dxa"/>
              <w:bottom w:w="95" w:type="dxa"/>
              <w:right w:w="110" w:type="dxa"/>
            </w:tcMar>
            <w:vAlign w:val="center"/>
          </w:tcPr>
          <w:p w14:paraId="5C4378AD" w14:textId="77777777" w:rsidR="00487463" w:rsidRDefault="00B10A8D">
            <w:pPr>
              <w:spacing w:after="0" w:line="240" w:lineRule="auto"/>
              <w:rPr>
                <w:rFonts w:hint="eastAsia"/>
              </w:rPr>
            </w:pPr>
            <w:r>
              <w:rPr>
                <w:sz w:val="17"/>
              </w:rPr>
              <w:t>An unfamiliar AI can load Core and perform bounded local work</w:t>
            </w:r>
          </w:p>
        </w:tc>
      </w:tr>
      <w:tr w:rsidR="00487463" w14:paraId="7D13FFF0" w14:textId="77777777">
        <w:trPr>
          <w:jc w:val="center"/>
        </w:trPr>
        <w:tc>
          <w:tcPr>
            <w:tcW w:w="1872" w:type="dxa"/>
            <w:shd w:val="clear" w:color="auto" w:fill="FFFFFF"/>
            <w:tcMar>
              <w:top w:w="95" w:type="dxa"/>
              <w:left w:w="110" w:type="dxa"/>
              <w:bottom w:w="95" w:type="dxa"/>
              <w:right w:w="110" w:type="dxa"/>
            </w:tcMar>
            <w:vAlign w:val="center"/>
          </w:tcPr>
          <w:p w14:paraId="05D5ADB6" w14:textId="77777777" w:rsidR="00487463" w:rsidRDefault="00B10A8D">
            <w:pPr>
              <w:spacing w:after="0" w:line="240" w:lineRule="auto"/>
              <w:jc w:val="center"/>
              <w:rPr>
                <w:rFonts w:hint="eastAsia"/>
              </w:rPr>
            </w:pPr>
            <w:r>
              <w:rPr>
                <w:sz w:val="17"/>
              </w:rPr>
              <w:t>3. Bounded federation</w:t>
            </w:r>
          </w:p>
        </w:tc>
        <w:tc>
          <w:tcPr>
            <w:tcW w:w="3384" w:type="dxa"/>
            <w:shd w:val="clear" w:color="auto" w:fill="FFFFFF"/>
            <w:tcMar>
              <w:top w:w="95" w:type="dxa"/>
              <w:left w:w="110" w:type="dxa"/>
              <w:bottom w:w="95" w:type="dxa"/>
              <w:right w:w="110" w:type="dxa"/>
            </w:tcMar>
            <w:vAlign w:val="center"/>
          </w:tcPr>
          <w:p w14:paraId="7175D9A2" w14:textId="77777777" w:rsidR="00487463" w:rsidRDefault="00B10A8D">
            <w:pPr>
              <w:spacing w:after="0" w:line="240" w:lineRule="auto"/>
              <w:rPr>
                <w:rFonts w:hint="eastAsia"/>
              </w:rPr>
            </w:pPr>
            <w:r>
              <w:rPr>
                <w:sz w:val="17"/>
              </w:rPr>
              <w:t>Z contract, containment closure, externalized Base</w:t>
            </w:r>
          </w:p>
        </w:tc>
        <w:tc>
          <w:tcPr>
            <w:tcW w:w="4032" w:type="dxa"/>
            <w:shd w:val="clear" w:color="auto" w:fill="FFFFFF"/>
            <w:tcMar>
              <w:top w:w="95" w:type="dxa"/>
              <w:left w:w="110" w:type="dxa"/>
              <w:bottom w:w="95" w:type="dxa"/>
              <w:right w:w="110" w:type="dxa"/>
            </w:tcMar>
            <w:vAlign w:val="center"/>
          </w:tcPr>
          <w:p w14:paraId="512B16BC" w14:textId="77777777" w:rsidR="00487463" w:rsidRDefault="00B10A8D">
            <w:pPr>
              <w:spacing w:after="0" w:line="240" w:lineRule="auto"/>
              <w:rPr>
                <w:rFonts w:hint="eastAsia"/>
              </w:rPr>
            </w:pPr>
            <w:r>
              <w:rPr>
                <w:sz w:val="17"/>
              </w:rPr>
              <w:t>Stack becomes Base without uncontained links or contract drift</w:t>
            </w:r>
          </w:p>
        </w:tc>
      </w:tr>
      <w:tr w:rsidR="00487463" w14:paraId="3606BE8A" w14:textId="77777777">
        <w:trPr>
          <w:jc w:val="center"/>
        </w:trPr>
        <w:tc>
          <w:tcPr>
            <w:tcW w:w="1872" w:type="dxa"/>
            <w:shd w:val="clear" w:color="auto" w:fill="FFFFFF"/>
            <w:tcMar>
              <w:top w:w="95" w:type="dxa"/>
              <w:left w:w="110" w:type="dxa"/>
              <w:bottom w:w="95" w:type="dxa"/>
              <w:right w:w="110" w:type="dxa"/>
            </w:tcMar>
            <w:vAlign w:val="center"/>
          </w:tcPr>
          <w:p w14:paraId="034E8BA2" w14:textId="77777777" w:rsidR="00487463" w:rsidRDefault="00B10A8D">
            <w:pPr>
              <w:spacing w:after="0" w:line="240" w:lineRule="auto"/>
              <w:jc w:val="center"/>
              <w:rPr>
                <w:rFonts w:hint="eastAsia"/>
              </w:rPr>
            </w:pPr>
            <w:r>
              <w:rPr>
                <w:sz w:val="17"/>
              </w:rPr>
              <w:t>4. Reconstruction</w:t>
            </w:r>
          </w:p>
        </w:tc>
        <w:tc>
          <w:tcPr>
            <w:tcW w:w="3384" w:type="dxa"/>
            <w:shd w:val="clear" w:color="auto" w:fill="FFFFFF"/>
            <w:tcMar>
              <w:top w:w="95" w:type="dxa"/>
              <w:left w:w="110" w:type="dxa"/>
              <w:bottom w:w="95" w:type="dxa"/>
              <w:right w:w="110" w:type="dxa"/>
            </w:tcMar>
            <w:vAlign w:val="center"/>
          </w:tcPr>
          <w:p w14:paraId="774F7979" w14:textId="77777777" w:rsidR="00487463" w:rsidRDefault="00B10A8D">
            <w:pPr>
              <w:spacing w:after="0" w:line="240" w:lineRule="auto"/>
              <w:rPr>
                <w:rFonts w:hint="eastAsia"/>
              </w:rPr>
            </w:pPr>
            <w:r>
              <w:rPr>
                <w:sz w:val="17"/>
              </w:rPr>
              <w:t>Cross-Base BitWord exchange</w:t>
            </w:r>
          </w:p>
        </w:tc>
        <w:tc>
          <w:tcPr>
            <w:tcW w:w="4032" w:type="dxa"/>
            <w:shd w:val="clear" w:color="auto" w:fill="FFFFFF"/>
            <w:tcMar>
              <w:top w:w="95" w:type="dxa"/>
              <w:left w:w="110" w:type="dxa"/>
              <w:bottom w:w="95" w:type="dxa"/>
              <w:right w:w="110" w:type="dxa"/>
            </w:tcMar>
            <w:vAlign w:val="center"/>
          </w:tcPr>
          <w:p w14:paraId="3EF41CEE" w14:textId="77777777" w:rsidR="00487463" w:rsidRDefault="00B10A8D">
            <w:pPr>
              <w:spacing w:after="0" w:line="240" w:lineRule="auto"/>
              <w:rPr>
                <w:rFonts w:hint="eastAsia"/>
              </w:rPr>
            </w:pPr>
            <w:r>
              <w:rPr>
                <w:sz w:val="17"/>
              </w:rPr>
              <w:t>Receiver independently reconstructs canonical state</w:t>
            </w:r>
          </w:p>
        </w:tc>
      </w:tr>
      <w:tr w:rsidR="00487463" w14:paraId="403910AC" w14:textId="77777777">
        <w:trPr>
          <w:jc w:val="center"/>
        </w:trPr>
        <w:tc>
          <w:tcPr>
            <w:tcW w:w="1872" w:type="dxa"/>
            <w:shd w:val="clear" w:color="auto" w:fill="FFFFFF"/>
            <w:tcMar>
              <w:top w:w="95" w:type="dxa"/>
              <w:left w:w="110" w:type="dxa"/>
              <w:bottom w:w="95" w:type="dxa"/>
              <w:right w:w="110" w:type="dxa"/>
            </w:tcMar>
            <w:vAlign w:val="center"/>
          </w:tcPr>
          <w:p w14:paraId="3BC87313" w14:textId="77777777" w:rsidR="00487463" w:rsidRDefault="00B10A8D">
            <w:pPr>
              <w:spacing w:after="0" w:line="240" w:lineRule="auto"/>
              <w:jc w:val="center"/>
              <w:rPr>
                <w:rFonts w:hint="eastAsia"/>
              </w:rPr>
            </w:pPr>
            <w:r>
              <w:rPr>
                <w:sz w:val="17"/>
              </w:rPr>
              <w:t>5. Liminal Bridge</w:t>
            </w:r>
          </w:p>
        </w:tc>
        <w:tc>
          <w:tcPr>
            <w:tcW w:w="3384" w:type="dxa"/>
            <w:shd w:val="clear" w:color="auto" w:fill="FFFFFF"/>
            <w:tcMar>
              <w:top w:w="95" w:type="dxa"/>
              <w:left w:w="110" w:type="dxa"/>
              <w:bottom w:w="95" w:type="dxa"/>
              <w:right w:w="110" w:type="dxa"/>
            </w:tcMar>
            <w:vAlign w:val="center"/>
          </w:tcPr>
          <w:p w14:paraId="13F3698F" w14:textId="77777777" w:rsidR="00487463" w:rsidRDefault="00B10A8D">
            <w:pPr>
              <w:spacing w:after="0" w:line="240" w:lineRule="auto"/>
              <w:rPr>
                <w:rFonts w:hint="eastAsia"/>
              </w:rPr>
            </w:pPr>
            <w:r>
              <w:rPr>
                <w:sz w:val="17"/>
              </w:rPr>
              <w:t>Two Bases share canonical state through contracted Bridge</w:t>
            </w:r>
          </w:p>
        </w:tc>
        <w:tc>
          <w:tcPr>
            <w:tcW w:w="4032" w:type="dxa"/>
            <w:shd w:val="clear" w:color="auto" w:fill="FFFFFF"/>
            <w:tcMar>
              <w:top w:w="95" w:type="dxa"/>
              <w:left w:w="110" w:type="dxa"/>
              <w:bottom w:w="95" w:type="dxa"/>
              <w:right w:w="110" w:type="dxa"/>
            </w:tcMar>
            <w:vAlign w:val="center"/>
          </w:tcPr>
          <w:p w14:paraId="7C255BA0" w14:textId="77777777" w:rsidR="00487463" w:rsidRDefault="00B10A8D">
            <w:pPr>
              <w:spacing w:after="0" w:line="240" w:lineRule="auto"/>
              <w:rPr>
                <w:rFonts w:hint="eastAsia"/>
              </w:rPr>
            </w:pPr>
            <w:r>
              <w:rPr>
                <w:sz w:val="17"/>
              </w:rPr>
              <w:t>No uncontrolled direct crosslinks; both endpoints reconstruct locally</w:t>
            </w:r>
          </w:p>
        </w:tc>
      </w:tr>
      <w:tr w:rsidR="00487463" w14:paraId="43047AA4" w14:textId="77777777">
        <w:trPr>
          <w:jc w:val="center"/>
        </w:trPr>
        <w:tc>
          <w:tcPr>
            <w:tcW w:w="1872" w:type="dxa"/>
            <w:shd w:val="clear" w:color="auto" w:fill="FFFFFF"/>
            <w:tcMar>
              <w:top w:w="95" w:type="dxa"/>
              <w:left w:w="110" w:type="dxa"/>
              <w:bottom w:w="95" w:type="dxa"/>
              <w:right w:w="110" w:type="dxa"/>
            </w:tcMar>
            <w:vAlign w:val="center"/>
          </w:tcPr>
          <w:p w14:paraId="68416096" w14:textId="77777777" w:rsidR="00487463" w:rsidRDefault="00B10A8D">
            <w:pPr>
              <w:spacing w:after="0" w:line="240" w:lineRule="auto"/>
              <w:jc w:val="center"/>
              <w:rPr>
                <w:rFonts w:hint="eastAsia"/>
              </w:rPr>
            </w:pPr>
            <w:r>
              <w:rPr>
                <w:sz w:val="17"/>
              </w:rPr>
              <w:t>6. BOSS mapping</w:t>
            </w:r>
          </w:p>
        </w:tc>
        <w:tc>
          <w:tcPr>
            <w:tcW w:w="3384" w:type="dxa"/>
            <w:shd w:val="clear" w:color="auto" w:fill="FFFFFF"/>
            <w:tcMar>
              <w:top w:w="95" w:type="dxa"/>
              <w:left w:w="110" w:type="dxa"/>
              <w:bottom w:w="95" w:type="dxa"/>
              <w:right w:w="110" w:type="dxa"/>
            </w:tcMar>
            <w:vAlign w:val="center"/>
          </w:tcPr>
          <w:p w14:paraId="2F234CFC" w14:textId="77777777" w:rsidR="00487463" w:rsidRDefault="00B10A8D">
            <w:pPr>
              <w:spacing w:after="0" w:line="240" w:lineRule="auto"/>
              <w:rPr>
                <w:rFonts w:hint="eastAsia"/>
              </w:rPr>
            </w:pPr>
            <w:r>
              <w:rPr>
                <w:sz w:val="17"/>
              </w:rPr>
              <w:t>Crosswalks for genuinely different identities</w:t>
            </w:r>
          </w:p>
        </w:tc>
        <w:tc>
          <w:tcPr>
            <w:tcW w:w="4032" w:type="dxa"/>
            <w:shd w:val="clear" w:color="auto" w:fill="FFFFFF"/>
            <w:tcMar>
              <w:top w:w="95" w:type="dxa"/>
              <w:left w:w="110" w:type="dxa"/>
              <w:bottom w:w="95" w:type="dxa"/>
              <w:right w:w="110" w:type="dxa"/>
            </w:tcMar>
            <w:vAlign w:val="center"/>
          </w:tcPr>
          <w:p w14:paraId="784D2800" w14:textId="77777777" w:rsidR="00487463" w:rsidRDefault="00B10A8D">
            <w:pPr>
              <w:spacing w:after="0" w:line="240" w:lineRule="auto"/>
              <w:rPr>
                <w:rFonts w:hint="eastAsia"/>
              </w:rPr>
            </w:pPr>
            <w:r>
              <w:rPr>
                <w:sz w:val="17"/>
              </w:rPr>
              <w:t>Approximation and semantic remainder remain explicit</w:t>
            </w:r>
          </w:p>
        </w:tc>
      </w:tr>
      <w:tr w:rsidR="00487463" w14:paraId="7A9C276F" w14:textId="77777777">
        <w:trPr>
          <w:jc w:val="center"/>
        </w:trPr>
        <w:tc>
          <w:tcPr>
            <w:tcW w:w="1872" w:type="dxa"/>
            <w:shd w:val="clear" w:color="auto" w:fill="FFFFFF"/>
            <w:tcMar>
              <w:top w:w="95" w:type="dxa"/>
              <w:left w:w="110" w:type="dxa"/>
              <w:bottom w:w="95" w:type="dxa"/>
              <w:right w:w="110" w:type="dxa"/>
            </w:tcMar>
            <w:vAlign w:val="center"/>
          </w:tcPr>
          <w:p w14:paraId="1DE1BBF9" w14:textId="77777777" w:rsidR="00487463" w:rsidRDefault="00B10A8D">
            <w:pPr>
              <w:spacing w:after="0" w:line="240" w:lineRule="auto"/>
              <w:jc w:val="center"/>
              <w:rPr>
                <w:rFonts w:hint="eastAsia"/>
              </w:rPr>
            </w:pPr>
            <w:r>
              <w:rPr>
                <w:sz w:val="17"/>
              </w:rPr>
              <w:t>7. DICE</w:t>
            </w:r>
          </w:p>
        </w:tc>
        <w:tc>
          <w:tcPr>
            <w:tcW w:w="3384" w:type="dxa"/>
            <w:shd w:val="clear" w:color="auto" w:fill="FFFFFF"/>
            <w:tcMar>
              <w:top w:w="95" w:type="dxa"/>
              <w:left w:w="110" w:type="dxa"/>
              <w:bottom w:w="95" w:type="dxa"/>
              <w:right w:w="110" w:type="dxa"/>
            </w:tcMar>
            <w:vAlign w:val="center"/>
          </w:tcPr>
          <w:p w14:paraId="77F5037D" w14:textId="77777777" w:rsidR="00487463" w:rsidRDefault="00B10A8D">
            <w:pPr>
              <w:spacing w:after="0" w:line="240" w:lineRule="auto"/>
              <w:rPr>
                <w:rFonts w:hint="eastAsia"/>
              </w:rPr>
            </w:pPr>
            <w:r>
              <w:rPr>
                <w:sz w:val="17"/>
              </w:rPr>
              <w:t>Competing PIECE predictions and observations</w:t>
            </w:r>
          </w:p>
        </w:tc>
        <w:tc>
          <w:tcPr>
            <w:tcW w:w="4032" w:type="dxa"/>
            <w:shd w:val="clear" w:color="auto" w:fill="FFFFFF"/>
            <w:tcMar>
              <w:top w:w="95" w:type="dxa"/>
              <w:left w:w="110" w:type="dxa"/>
              <w:bottom w:w="95" w:type="dxa"/>
              <w:right w:w="110" w:type="dxa"/>
            </w:tcMar>
            <w:vAlign w:val="center"/>
          </w:tcPr>
          <w:p w14:paraId="0D93CFEB" w14:textId="77777777" w:rsidR="00487463" w:rsidRDefault="00B10A8D">
            <w:pPr>
              <w:spacing w:after="0" w:line="240" w:lineRule="auto"/>
              <w:rPr>
                <w:rFonts w:hint="eastAsia"/>
              </w:rPr>
            </w:pPr>
            <w:r>
              <w:rPr>
                <w:sz w:val="17"/>
              </w:rPr>
              <w:t>Specialization map updates from version-pinned evidence</w:t>
            </w:r>
          </w:p>
        </w:tc>
      </w:tr>
      <w:tr w:rsidR="00487463" w14:paraId="59D6AB17" w14:textId="77777777">
        <w:trPr>
          <w:jc w:val="center"/>
        </w:trPr>
        <w:tc>
          <w:tcPr>
            <w:tcW w:w="1872" w:type="dxa"/>
            <w:shd w:val="clear" w:color="auto" w:fill="FFFFFF"/>
            <w:tcMar>
              <w:top w:w="95" w:type="dxa"/>
              <w:left w:w="110" w:type="dxa"/>
              <w:bottom w:w="95" w:type="dxa"/>
              <w:right w:w="110" w:type="dxa"/>
            </w:tcMar>
            <w:vAlign w:val="center"/>
          </w:tcPr>
          <w:p w14:paraId="53A1CEF3" w14:textId="77777777" w:rsidR="00487463" w:rsidRDefault="00B10A8D">
            <w:pPr>
              <w:spacing w:after="0" w:line="240" w:lineRule="auto"/>
              <w:jc w:val="center"/>
              <w:rPr>
                <w:rFonts w:hint="eastAsia"/>
              </w:rPr>
            </w:pPr>
            <w:r>
              <w:rPr>
                <w:sz w:val="17"/>
              </w:rPr>
              <w:t>8. Evolution</w:t>
            </w:r>
          </w:p>
        </w:tc>
        <w:tc>
          <w:tcPr>
            <w:tcW w:w="3384" w:type="dxa"/>
            <w:shd w:val="clear" w:color="auto" w:fill="FFFFFF"/>
            <w:tcMar>
              <w:top w:w="95" w:type="dxa"/>
              <w:left w:w="110" w:type="dxa"/>
              <w:bottom w:w="95" w:type="dxa"/>
              <w:right w:w="110" w:type="dxa"/>
            </w:tcMar>
            <w:vAlign w:val="center"/>
          </w:tcPr>
          <w:p w14:paraId="018D2343" w14:textId="77777777" w:rsidR="00487463" w:rsidRDefault="00B10A8D">
            <w:pPr>
              <w:spacing w:after="0" w:line="240" w:lineRule="auto"/>
              <w:rPr>
                <w:rFonts w:hint="eastAsia"/>
              </w:rPr>
            </w:pPr>
            <w:r>
              <w:rPr>
                <w:sz w:val="17"/>
              </w:rPr>
              <w:t>Cloning, variation, retention, retirement</w:t>
            </w:r>
          </w:p>
        </w:tc>
        <w:tc>
          <w:tcPr>
            <w:tcW w:w="4032" w:type="dxa"/>
            <w:shd w:val="clear" w:color="auto" w:fill="FFFFFF"/>
            <w:tcMar>
              <w:top w:w="95" w:type="dxa"/>
              <w:left w:w="110" w:type="dxa"/>
              <w:bottom w:w="95" w:type="dxa"/>
              <w:right w:w="110" w:type="dxa"/>
            </w:tcMar>
            <w:vAlign w:val="center"/>
          </w:tcPr>
          <w:p w14:paraId="1E8E72CB" w14:textId="77777777" w:rsidR="00487463" w:rsidRDefault="00B10A8D">
            <w:pPr>
              <w:spacing w:after="0" w:line="240" w:lineRule="auto"/>
              <w:rPr>
                <w:rFonts w:hint="eastAsia"/>
              </w:rPr>
            </w:pPr>
            <w:r>
              <w:rPr>
                <w:sz w:val="17"/>
              </w:rPr>
              <w:t>Cognitive branches remain attributable and empirically comparable</w:t>
            </w:r>
          </w:p>
        </w:tc>
      </w:tr>
    </w:tbl>
    <w:p w14:paraId="1B6E726D" w14:textId="77777777" w:rsidR="00487463" w:rsidRDefault="00487463">
      <w:pPr>
        <w:spacing w:after="0"/>
        <w:rPr>
          <w:rFonts w:hint="eastAsia"/>
        </w:rPr>
      </w:pPr>
    </w:p>
    <w:p w14:paraId="77289264" w14:textId="77777777" w:rsidR="00487463" w:rsidRDefault="00B10A8D">
      <w:pPr>
        <w:pStyle w:val="Heading1"/>
      </w:pPr>
      <w:r>
        <w:t>22. Conformance Requirements</w:t>
      </w:r>
    </w:p>
    <w:p w14:paraId="6A84FB84" w14:textId="77777777" w:rsidR="00487463" w:rsidRDefault="00B10A8D">
      <w:pPr>
        <w:rPr>
          <w:rFonts w:hint="eastAsia"/>
        </w:rPr>
      </w:pPr>
      <w:r>
        <w:t>Conformance should be evaluated at the level relevant to the participant. A tiny PIECE does not need a whole Base. A Base-scale PIECE does not need to expose its whole ontology. The following requirements apply when the corresponding capability is claimed.</w:t>
      </w:r>
    </w:p>
    <w:p w14:paraId="0AB1D418" w14:textId="77777777" w:rsidR="00487463" w:rsidRDefault="00B10A8D">
      <w:pPr>
        <w:pStyle w:val="ListBullet"/>
        <w:spacing w:after="60"/>
        <w:rPr>
          <w:rFonts w:hint="eastAsia"/>
        </w:rPr>
      </w:pPr>
      <w:r>
        <w:t>Every PIECE has stable identity, version, purpose, declared scope, evidence boundary, and exclusions.</w:t>
      </w:r>
    </w:p>
    <w:p w14:paraId="632247BA" w14:textId="77777777" w:rsidR="00487463" w:rsidRDefault="00B10A8D">
      <w:pPr>
        <w:pStyle w:val="ListBullet"/>
        <w:spacing w:after="60"/>
        <w:rPr>
          <w:rFonts w:hint="eastAsia"/>
        </w:rPr>
      </w:pPr>
      <w:r>
        <w:t>Every executable BitWord resolves to exact BitGroups, Formula dependencies, and a conformant SK Reader.</w:t>
      </w:r>
    </w:p>
    <w:p w14:paraId="35268E73" w14:textId="77777777" w:rsidR="00487463" w:rsidRDefault="00B10A8D">
      <w:pPr>
        <w:pStyle w:val="ListBullet"/>
        <w:spacing w:after="60"/>
        <w:rPr>
          <w:rFonts w:hint="eastAsia"/>
        </w:rPr>
      </w:pPr>
      <w:r>
        <w:t>Unknown canonical state is preserved or rejected explicitly; it is not silently inferred.</w:t>
      </w:r>
    </w:p>
    <w:p w14:paraId="2333B07D" w14:textId="77777777" w:rsidR="00487463" w:rsidRDefault="00B10A8D">
      <w:pPr>
        <w:pStyle w:val="ListBullet"/>
        <w:spacing w:after="60"/>
        <w:rPr>
          <w:rFonts w:hint="eastAsia"/>
        </w:rPr>
      </w:pPr>
      <w:r>
        <w:t>A normal externalized Stack has one registered outward Z contract and passes Containment Closure before migration.</w:t>
      </w:r>
    </w:p>
    <w:p w14:paraId="110675AB" w14:textId="77777777" w:rsidR="00487463" w:rsidRDefault="00B10A8D">
      <w:pPr>
        <w:pStyle w:val="ListBullet"/>
        <w:spacing w:after="60"/>
        <w:rPr>
          <w:rFonts w:hint="eastAsia"/>
        </w:rPr>
      </w:pPr>
      <w:r>
        <w:t>Every participating Base retains a direct Home anchor independent of structural ancestry.</w:t>
      </w:r>
    </w:p>
    <w:p w14:paraId="3FDCD4D2" w14:textId="77777777" w:rsidR="00487463" w:rsidRDefault="00B10A8D">
      <w:pPr>
        <w:pStyle w:val="ListBullet"/>
        <w:spacing w:after="60"/>
        <w:rPr>
          <w:rFonts w:hint="eastAsia"/>
        </w:rPr>
      </w:pPr>
      <w:r>
        <w:t>Crawler discovery, SOLAR resolution, BOOTSTRAP competency, read authority, mutation authority, and execution authority remain separable.</w:t>
      </w:r>
    </w:p>
    <w:p w14:paraId="15DD62DE" w14:textId="77777777" w:rsidR="00487463" w:rsidRDefault="00B10A8D">
      <w:pPr>
        <w:pStyle w:val="ListBullet"/>
        <w:spacing w:after="60"/>
        <w:rPr>
          <w:rFonts w:hint="eastAsia"/>
        </w:rPr>
      </w:pPr>
      <w:r>
        <w:t>Shared canonical identity is reconstructed directly before BOSS translation is considered.</w:t>
      </w:r>
    </w:p>
    <w:p w14:paraId="6926ABAC" w14:textId="77777777" w:rsidR="00487463" w:rsidRDefault="00B10A8D">
      <w:pPr>
        <w:pStyle w:val="ListBullet"/>
        <w:spacing w:after="60"/>
        <w:rPr>
          <w:rFonts w:hint="eastAsia"/>
        </w:rPr>
      </w:pPr>
      <w:r>
        <w:t>BOSS mappings declare grade, scope, provenance, and semantic remainder where applicable.</w:t>
      </w:r>
    </w:p>
    <w:p w14:paraId="0B94DB33" w14:textId="77777777" w:rsidR="00487463" w:rsidRDefault="00B10A8D">
      <w:pPr>
        <w:pStyle w:val="ListBullet"/>
        <w:spacing w:after="60"/>
        <w:rPr>
          <w:rFonts w:hint="eastAsia"/>
        </w:rPr>
      </w:pPr>
      <w:r>
        <w:t>Liminal Bridges preserve endpoint ownership and do not become shadow copies of endpoint truth.</w:t>
      </w:r>
    </w:p>
    <w:p w14:paraId="68A9F4B6" w14:textId="77777777" w:rsidR="00487463" w:rsidRDefault="00B10A8D">
      <w:pPr>
        <w:pStyle w:val="ListBullet"/>
        <w:spacing w:after="60"/>
        <w:rPr>
          <w:rFonts w:hint="eastAsia"/>
        </w:rPr>
      </w:pPr>
      <w:r>
        <w:t>DICE predictions are recorded before outcome reveal and remain pinned to the exact PIECE and contract versions used.</w:t>
      </w:r>
    </w:p>
    <w:p w14:paraId="5B1DEB5E" w14:textId="77777777" w:rsidR="00487463" w:rsidRDefault="00B10A8D">
      <w:pPr>
        <w:pStyle w:val="ListBullet"/>
        <w:spacing w:after="60"/>
        <w:rPr>
          <w:rFonts w:hint="eastAsia"/>
        </w:rPr>
      </w:pPr>
      <w:r>
        <w:t>BASE SERVICE integrity state is available to qualify DICE trials where structural defects could affect performance.</w:t>
      </w:r>
    </w:p>
    <w:p w14:paraId="25DB5BA7" w14:textId="77777777" w:rsidR="00487463" w:rsidRDefault="00B10A8D">
      <w:pPr>
        <w:pStyle w:val="ListBullet"/>
        <w:spacing w:after="60"/>
        <w:rPr>
          <w:rFonts w:hint="eastAsia"/>
        </w:rPr>
      </w:pPr>
      <w:r>
        <w:t>Historical branches, failed lenses, and retired contracts remain resolvable through version and lineage records.</w:t>
      </w:r>
    </w:p>
    <w:p w14:paraId="6B57DBB9" w14:textId="77777777" w:rsidR="00487463" w:rsidRDefault="00B10A8D">
      <w:pPr>
        <w:pStyle w:val="Heading1"/>
      </w:pPr>
      <w:r>
        <w:t>23. Formal Design Laws</w:t>
      </w:r>
    </w:p>
    <w:p w14:paraId="2495420B" w14:textId="77777777" w:rsidR="00487463" w:rsidRDefault="00B10A8D">
      <w:pPr>
        <w:spacing w:before="80" w:after="80"/>
        <w:rPr>
          <w:rFonts w:hint="eastAsia"/>
        </w:rPr>
      </w:pPr>
      <w:r>
        <w:rPr>
          <w:b/>
          <w:i/>
          <w:color w:val="4F5E6E"/>
          <w:sz w:val="19"/>
        </w:rPr>
        <w:t>Table 12. Formal EDIFICE v2 design laws.</w:t>
      </w:r>
    </w:p>
    <w:tbl>
      <w:tblPr>
        <w:tblW w:w="0" w:type="auto"/>
        <w:jc w:val="center"/>
        <w:tblLayout w:type="fixed"/>
        <w:tblLook w:val="04A0" w:firstRow="1" w:lastRow="0" w:firstColumn="1" w:lastColumn="0" w:noHBand="0" w:noVBand="1"/>
      </w:tblPr>
      <w:tblGrid>
        <w:gridCol w:w="3168"/>
        <w:gridCol w:w="6120"/>
      </w:tblGrid>
      <w:tr w:rsidR="00487463" w14:paraId="2FDE0C6B" w14:textId="77777777">
        <w:trPr>
          <w:jc w:val="center"/>
        </w:trPr>
        <w:tc>
          <w:tcPr>
            <w:tcW w:w="3168" w:type="dxa"/>
            <w:shd w:val="clear" w:color="auto" w:fill="17365D"/>
            <w:tcMar>
              <w:top w:w="100" w:type="dxa"/>
              <w:left w:w="120" w:type="dxa"/>
              <w:bottom w:w="100" w:type="dxa"/>
              <w:right w:w="120" w:type="dxa"/>
            </w:tcMar>
            <w:vAlign w:val="center"/>
          </w:tcPr>
          <w:p w14:paraId="0D1360D0" w14:textId="77777777" w:rsidR="00487463" w:rsidRDefault="00B10A8D">
            <w:pPr>
              <w:jc w:val="center"/>
              <w:rPr>
                <w:rFonts w:hint="eastAsia"/>
              </w:rPr>
            </w:pPr>
            <w:r>
              <w:rPr>
                <w:b/>
                <w:color w:val="FFFFFF"/>
                <w:sz w:val="19"/>
              </w:rPr>
              <w:t>Law</w:t>
            </w:r>
          </w:p>
        </w:tc>
        <w:tc>
          <w:tcPr>
            <w:tcW w:w="6120" w:type="dxa"/>
            <w:shd w:val="clear" w:color="auto" w:fill="17365D"/>
            <w:tcMar>
              <w:top w:w="100" w:type="dxa"/>
              <w:left w:w="120" w:type="dxa"/>
              <w:bottom w:w="100" w:type="dxa"/>
              <w:right w:w="120" w:type="dxa"/>
            </w:tcMar>
            <w:vAlign w:val="center"/>
          </w:tcPr>
          <w:p w14:paraId="3B75C39C" w14:textId="77777777" w:rsidR="00487463" w:rsidRDefault="00B10A8D">
            <w:pPr>
              <w:jc w:val="center"/>
              <w:rPr>
                <w:rFonts w:hint="eastAsia"/>
              </w:rPr>
            </w:pPr>
            <w:r>
              <w:rPr>
                <w:b/>
                <w:color w:val="FFFFFF"/>
                <w:sz w:val="19"/>
              </w:rPr>
              <w:t>Requirement</w:t>
            </w:r>
          </w:p>
        </w:tc>
      </w:tr>
      <w:tr w:rsidR="00487463" w14:paraId="75E59D71" w14:textId="77777777">
        <w:trPr>
          <w:jc w:val="center"/>
        </w:trPr>
        <w:tc>
          <w:tcPr>
            <w:tcW w:w="3168" w:type="dxa"/>
            <w:shd w:val="clear" w:color="auto" w:fill="FFFFFF"/>
            <w:tcMar>
              <w:top w:w="95" w:type="dxa"/>
              <w:left w:w="110" w:type="dxa"/>
              <w:bottom w:w="95" w:type="dxa"/>
              <w:right w:w="110" w:type="dxa"/>
            </w:tcMar>
            <w:vAlign w:val="center"/>
          </w:tcPr>
          <w:p w14:paraId="748F290E" w14:textId="77777777" w:rsidR="00487463" w:rsidRDefault="00B10A8D">
            <w:pPr>
              <w:spacing w:after="0" w:line="240" w:lineRule="auto"/>
              <w:jc w:val="center"/>
              <w:rPr>
                <w:rFonts w:hint="eastAsia"/>
              </w:rPr>
            </w:pPr>
            <w:r>
              <w:rPr>
                <w:sz w:val="17"/>
              </w:rPr>
              <w:t>Mathematical Legibility Law</w:t>
            </w:r>
          </w:p>
        </w:tc>
        <w:tc>
          <w:tcPr>
            <w:tcW w:w="6120" w:type="dxa"/>
            <w:shd w:val="clear" w:color="auto" w:fill="FFFFFF"/>
            <w:tcMar>
              <w:top w:w="95" w:type="dxa"/>
              <w:left w:w="110" w:type="dxa"/>
              <w:bottom w:w="95" w:type="dxa"/>
              <w:right w:w="110" w:type="dxa"/>
            </w:tcMar>
            <w:vAlign w:val="center"/>
          </w:tcPr>
          <w:p w14:paraId="3326E32A" w14:textId="77777777" w:rsidR="00487463" w:rsidRDefault="00B10A8D">
            <w:pPr>
              <w:spacing w:after="0" w:line="240" w:lineRule="auto"/>
              <w:rPr>
                <w:rFonts w:hint="eastAsia"/>
              </w:rPr>
            </w:pPr>
            <w:r>
              <w:rPr>
                <w:sz w:val="17"/>
              </w:rPr>
              <w:t>Formal representation does not require intuitive human interpretation.</w:t>
            </w:r>
          </w:p>
        </w:tc>
      </w:tr>
      <w:tr w:rsidR="00487463" w14:paraId="159573BE" w14:textId="77777777">
        <w:trPr>
          <w:jc w:val="center"/>
        </w:trPr>
        <w:tc>
          <w:tcPr>
            <w:tcW w:w="3168" w:type="dxa"/>
            <w:shd w:val="clear" w:color="auto" w:fill="FFFFFF"/>
            <w:tcMar>
              <w:top w:w="95" w:type="dxa"/>
              <w:left w:w="110" w:type="dxa"/>
              <w:bottom w:w="95" w:type="dxa"/>
              <w:right w:w="110" w:type="dxa"/>
            </w:tcMar>
            <w:vAlign w:val="center"/>
          </w:tcPr>
          <w:p w14:paraId="04D5FA6E" w14:textId="77777777" w:rsidR="00487463" w:rsidRDefault="00B10A8D">
            <w:pPr>
              <w:spacing w:after="0" w:line="240" w:lineRule="auto"/>
              <w:jc w:val="center"/>
              <w:rPr>
                <w:rFonts w:hint="eastAsia"/>
              </w:rPr>
            </w:pPr>
            <w:r>
              <w:rPr>
                <w:sz w:val="17"/>
              </w:rPr>
              <w:t>Native Habitat Law</w:t>
            </w:r>
          </w:p>
        </w:tc>
        <w:tc>
          <w:tcPr>
            <w:tcW w:w="6120" w:type="dxa"/>
            <w:shd w:val="clear" w:color="auto" w:fill="FFFFFF"/>
            <w:tcMar>
              <w:top w:w="95" w:type="dxa"/>
              <w:left w:w="110" w:type="dxa"/>
              <w:bottom w:w="95" w:type="dxa"/>
              <w:right w:w="110" w:type="dxa"/>
            </w:tcMar>
            <w:vAlign w:val="center"/>
          </w:tcPr>
          <w:p w14:paraId="1FF50389" w14:textId="77777777" w:rsidR="00487463" w:rsidRDefault="00B10A8D">
            <w:pPr>
              <w:spacing w:after="0" w:line="240" w:lineRule="auto"/>
              <w:rPr>
                <w:rFonts w:hint="eastAsia"/>
              </w:rPr>
            </w:pPr>
            <w:r>
              <w:rPr>
                <w:sz w:val="17"/>
              </w:rPr>
              <w:t>A PIECE may preserve a locally governed semantic environment rather than adopting a universal ontology.</w:t>
            </w:r>
          </w:p>
        </w:tc>
      </w:tr>
      <w:tr w:rsidR="00487463" w14:paraId="6A861977" w14:textId="77777777">
        <w:trPr>
          <w:jc w:val="center"/>
        </w:trPr>
        <w:tc>
          <w:tcPr>
            <w:tcW w:w="3168" w:type="dxa"/>
            <w:shd w:val="clear" w:color="auto" w:fill="FFFFFF"/>
            <w:tcMar>
              <w:top w:w="95" w:type="dxa"/>
              <w:left w:w="110" w:type="dxa"/>
              <w:bottom w:w="95" w:type="dxa"/>
              <w:right w:w="110" w:type="dxa"/>
            </w:tcMar>
            <w:vAlign w:val="center"/>
          </w:tcPr>
          <w:p w14:paraId="2185F2C1" w14:textId="77777777" w:rsidR="00487463" w:rsidRDefault="00B10A8D">
            <w:pPr>
              <w:spacing w:after="0" w:line="240" w:lineRule="auto"/>
              <w:jc w:val="center"/>
              <w:rPr>
                <w:rFonts w:hint="eastAsia"/>
              </w:rPr>
            </w:pPr>
            <w:r>
              <w:rPr>
                <w:sz w:val="17"/>
              </w:rPr>
              <w:t>Exact Reconstruction Law</w:t>
            </w:r>
          </w:p>
        </w:tc>
        <w:tc>
          <w:tcPr>
            <w:tcW w:w="6120" w:type="dxa"/>
            <w:shd w:val="clear" w:color="auto" w:fill="FFFFFF"/>
            <w:tcMar>
              <w:top w:w="95" w:type="dxa"/>
              <w:left w:w="110" w:type="dxa"/>
              <w:bottom w:w="95" w:type="dxa"/>
              <w:right w:w="110" w:type="dxa"/>
            </w:tcMar>
            <w:vAlign w:val="center"/>
          </w:tcPr>
          <w:p w14:paraId="2ABE8877" w14:textId="77777777" w:rsidR="00487463" w:rsidRDefault="00B10A8D">
            <w:pPr>
              <w:spacing w:after="0" w:line="240" w:lineRule="auto"/>
              <w:rPr>
                <w:rFonts w:hint="eastAsia"/>
              </w:rPr>
            </w:pPr>
            <w:r>
              <w:rPr>
                <w:sz w:val="17"/>
              </w:rPr>
              <w:t>Shared canonical BitWord identity should be reconstructed directly rather than semantically translated.</w:t>
            </w:r>
          </w:p>
        </w:tc>
      </w:tr>
      <w:tr w:rsidR="00487463" w14:paraId="7231C570" w14:textId="77777777">
        <w:trPr>
          <w:jc w:val="center"/>
        </w:trPr>
        <w:tc>
          <w:tcPr>
            <w:tcW w:w="3168" w:type="dxa"/>
            <w:shd w:val="clear" w:color="auto" w:fill="FFFFFF"/>
            <w:tcMar>
              <w:top w:w="95" w:type="dxa"/>
              <w:left w:w="110" w:type="dxa"/>
              <w:bottom w:w="95" w:type="dxa"/>
              <w:right w:w="110" w:type="dxa"/>
            </w:tcMar>
            <w:vAlign w:val="center"/>
          </w:tcPr>
          <w:p w14:paraId="358BDB13" w14:textId="77777777" w:rsidR="00487463" w:rsidRDefault="00B10A8D">
            <w:pPr>
              <w:spacing w:after="0" w:line="240" w:lineRule="auto"/>
              <w:rPr>
                <w:rFonts w:hint="eastAsia"/>
              </w:rPr>
            </w:pPr>
            <w:r>
              <w:rPr>
                <w:sz w:val="17"/>
              </w:rPr>
              <w:t>Contract-Gated Interpretation Law</w:t>
            </w:r>
          </w:p>
        </w:tc>
        <w:tc>
          <w:tcPr>
            <w:tcW w:w="6120" w:type="dxa"/>
            <w:shd w:val="clear" w:color="auto" w:fill="FFFFFF"/>
            <w:tcMar>
              <w:top w:w="95" w:type="dxa"/>
              <w:left w:w="110" w:type="dxa"/>
              <w:bottom w:w="95" w:type="dxa"/>
              <w:right w:w="110" w:type="dxa"/>
            </w:tcMar>
            <w:vAlign w:val="center"/>
          </w:tcPr>
          <w:p w14:paraId="51603082" w14:textId="77777777" w:rsidR="00487463" w:rsidRDefault="00B10A8D">
            <w:pPr>
              <w:spacing w:after="0" w:line="240" w:lineRule="auto"/>
              <w:rPr>
                <w:rFonts w:hint="eastAsia"/>
              </w:rPr>
            </w:pPr>
            <w:r>
              <w:rPr>
                <w:sz w:val="17"/>
              </w:rPr>
              <w:t>A Base interprets canonical state only through compatible authorized Reader contracts and dependencies.</w:t>
            </w:r>
          </w:p>
        </w:tc>
      </w:tr>
      <w:tr w:rsidR="00487463" w14:paraId="3C9ECDE4" w14:textId="77777777">
        <w:trPr>
          <w:jc w:val="center"/>
        </w:trPr>
        <w:tc>
          <w:tcPr>
            <w:tcW w:w="3168" w:type="dxa"/>
            <w:shd w:val="clear" w:color="auto" w:fill="FFFFFF"/>
            <w:tcMar>
              <w:top w:w="95" w:type="dxa"/>
              <w:left w:w="110" w:type="dxa"/>
              <w:bottom w:w="95" w:type="dxa"/>
              <w:right w:w="110" w:type="dxa"/>
            </w:tcMar>
            <w:vAlign w:val="center"/>
          </w:tcPr>
          <w:p w14:paraId="7A704E33" w14:textId="77777777" w:rsidR="00487463" w:rsidRDefault="00B10A8D">
            <w:pPr>
              <w:spacing w:after="0" w:line="240" w:lineRule="auto"/>
              <w:jc w:val="center"/>
              <w:rPr>
                <w:rFonts w:hint="eastAsia"/>
              </w:rPr>
            </w:pPr>
            <w:r>
              <w:rPr>
                <w:sz w:val="17"/>
              </w:rPr>
              <w:t>Opaque Preservation Law</w:t>
            </w:r>
          </w:p>
        </w:tc>
        <w:tc>
          <w:tcPr>
            <w:tcW w:w="6120" w:type="dxa"/>
            <w:shd w:val="clear" w:color="auto" w:fill="FFFFFF"/>
            <w:tcMar>
              <w:top w:w="95" w:type="dxa"/>
              <w:left w:w="110" w:type="dxa"/>
              <w:bottom w:w="95" w:type="dxa"/>
              <w:right w:w="110" w:type="dxa"/>
            </w:tcMar>
            <w:vAlign w:val="center"/>
          </w:tcPr>
          <w:p w14:paraId="4174E5C0" w14:textId="77777777" w:rsidR="00487463" w:rsidRDefault="00B10A8D">
            <w:pPr>
              <w:spacing w:after="0" w:line="240" w:lineRule="auto"/>
              <w:rPr>
                <w:rFonts w:hint="eastAsia"/>
              </w:rPr>
            </w:pPr>
            <w:r>
              <w:rPr>
                <w:sz w:val="17"/>
              </w:rPr>
              <w:t>Unknown BitWord state may be retained losslessly without guessed interpretation.</w:t>
            </w:r>
          </w:p>
        </w:tc>
      </w:tr>
      <w:tr w:rsidR="00487463" w14:paraId="21F6FF40" w14:textId="77777777">
        <w:trPr>
          <w:jc w:val="center"/>
        </w:trPr>
        <w:tc>
          <w:tcPr>
            <w:tcW w:w="3168" w:type="dxa"/>
            <w:shd w:val="clear" w:color="auto" w:fill="FFFFFF"/>
            <w:tcMar>
              <w:top w:w="95" w:type="dxa"/>
              <w:left w:w="110" w:type="dxa"/>
              <w:bottom w:w="95" w:type="dxa"/>
              <w:right w:w="110" w:type="dxa"/>
            </w:tcMar>
            <w:vAlign w:val="center"/>
          </w:tcPr>
          <w:p w14:paraId="334D872F" w14:textId="77777777" w:rsidR="00487463" w:rsidRDefault="00B10A8D">
            <w:pPr>
              <w:spacing w:after="0" w:line="240" w:lineRule="auto"/>
              <w:jc w:val="center"/>
              <w:rPr>
                <w:rFonts w:hint="eastAsia"/>
              </w:rPr>
            </w:pPr>
            <w:r>
              <w:rPr>
                <w:sz w:val="17"/>
              </w:rPr>
              <w:t>Projection Independence Law</w:t>
            </w:r>
          </w:p>
        </w:tc>
        <w:tc>
          <w:tcPr>
            <w:tcW w:w="6120" w:type="dxa"/>
            <w:shd w:val="clear" w:color="auto" w:fill="FFFFFF"/>
            <w:tcMar>
              <w:top w:w="95" w:type="dxa"/>
              <w:left w:w="110" w:type="dxa"/>
              <w:bottom w:w="95" w:type="dxa"/>
              <w:right w:w="110" w:type="dxa"/>
            </w:tcMar>
            <w:vAlign w:val="center"/>
          </w:tcPr>
          <w:p w14:paraId="4047EA5E" w14:textId="77777777" w:rsidR="00487463" w:rsidRDefault="00B10A8D">
            <w:pPr>
              <w:spacing w:after="0" w:line="240" w:lineRule="auto"/>
              <w:rPr>
                <w:rFonts w:hint="eastAsia"/>
              </w:rPr>
            </w:pPr>
            <w:r>
              <w:rPr>
                <w:sz w:val="17"/>
              </w:rPr>
              <w:t>Local D/E/F/G display variation does not alter canonical state.</w:t>
            </w:r>
          </w:p>
        </w:tc>
      </w:tr>
      <w:tr w:rsidR="00487463" w14:paraId="0458116F" w14:textId="77777777">
        <w:trPr>
          <w:jc w:val="center"/>
        </w:trPr>
        <w:tc>
          <w:tcPr>
            <w:tcW w:w="3168" w:type="dxa"/>
            <w:shd w:val="clear" w:color="auto" w:fill="FFFFFF"/>
            <w:tcMar>
              <w:top w:w="95" w:type="dxa"/>
              <w:left w:w="110" w:type="dxa"/>
              <w:bottom w:w="95" w:type="dxa"/>
              <w:right w:w="110" w:type="dxa"/>
            </w:tcMar>
            <w:vAlign w:val="center"/>
          </w:tcPr>
          <w:p w14:paraId="1BAB11B2" w14:textId="77777777" w:rsidR="00487463" w:rsidRDefault="00B10A8D">
            <w:pPr>
              <w:spacing w:after="0" w:line="240" w:lineRule="auto"/>
              <w:jc w:val="center"/>
              <w:rPr>
                <w:rFonts w:hint="eastAsia"/>
              </w:rPr>
            </w:pPr>
            <w:r>
              <w:rPr>
                <w:sz w:val="17"/>
              </w:rPr>
              <w:t>Non-Homogenization Law</w:t>
            </w:r>
          </w:p>
        </w:tc>
        <w:tc>
          <w:tcPr>
            <w:tcW w:w="6120" w:type="dxa"/>
            <w:shd w:val="clear" w:color="auto" w:fill="FFFFFF"/>
            <w:tcMar>
              <w:top w:w="95" w:type="dxa"/>
              <w:left w:w="110" w:type="dxa"/>
              <w:bottom w:w="95" w:type="dxa"/>
              <w:right w:w="110" w:type="dxa"/>
            </w:tcMar>
            <w:vAlign w:val="center"/>
          </w:tcPr>
          <w:p w14:paraId="0CD28C2B" w14:textId="77777777" w:rsidR="00487463" w:rsidRDefault="00B10A8D">
            <w:pPr>
              <w:spacing w:after="0" w:line="240" w:lineRule="auto"/>
              <w:rPr>
                <w:rFonts w:hint="eastAsia"/>
              </w:rPr>
            </w:pPr>
            <w:r>
              <w:rPr>
                <w:sz w:val="17"/>
              </w:rPr>
              <w:t>Federation does not require participating cognitive forms to collapse into one ontology.</w:t>
            </w:r>
          </w:p>
        </w:tc>
      </w:tr>
      <w:tr w:rsidR="00487463" w14:paraId="0F58154B" w14:textId="77777777">
        <w:trPr>
          <w:jc w:val="center"/>
        </w:trPr>
        <w:tc>
          <w:tcPr>
            <w:tcW w:w="3168" w:type="dxa"/>
            <w:shd w:val="clear" w:color="auto" w:fill="FFFFFF"/>
            <w:tcMar>
              <w:top w:w="95" w:type="dxa"/>
              <w:left w:w="110" w:type="dxa"/>
              <w:bottom w:w="95" w:type="dxa"/>
              <w:right w:w="110" w:type="dxa"/>
            </w:tcMar>
            <w:vAlign w:val="center"/>
          </w:tcPr>
          <w:p w14:paraId="41A19190" w14:textId="77777777" w:rsidR="00487463" w:rsidRDefault="00B10A8D">
            <w:pPr>
              <w:spacing w:after="0" w:line="240" w:lineRule="auto"/>
              <w:jc w:val="center"/>
              <w:rPr>
                <w:rFonts w:hint="eastAsia"/>
              </w:rPr>
            </w:pPr>
            <w:r>
              <w:rPr>
                <w:sz w:val="17"/>
              </w:rPr>
              <w:t>Boundary Contract Law</w:t>
            </w:r>
          </w:p>
        </w:tc>
        <w:tc>
          <w:tcPr>
            <w:tcW w:w="6120" w:type="dxa"/>
            <w:shd w:val="clear" w:color="auto" w:fill="FFFFFF"/>
            <w:tcMar>
              <w:top w:w="95" w:type="dxa"/>
              <w:left w:w="110" w:type="dxa"/>
              <w:bottom w:w="95" w:type="dxa"/>
              <w:right w:w="110" w:type="dxa"/>
            </w:tcMar>
            <w:vAlign w:val="center"/>
          </w:tcPr>
          <w:p w14:paraId="6E5A0AAA" w14:textId="77777777" w:rsidR="00487463" w:rsidRDefault="00B10A8D">
            <w:pPr>
              <w:spacing w:after="0" w:line="240" w:lineRule="auto"/>
              <w:rPr>
                <w:rFonts w:hint="eastAsia"/>
              </w:rPr>
            </w:pPr>
            <w:r>
              <w:rPr>
                <w:sz w:val="17"/>
              </w:rPr>
              <w:t>Cross-Base participation occurs through explicit bounded contracts.</w:t>
            </w:r>
          </w:p>
        </w:tc>
      </w:tr>
      <w:tr w:rsidR="00487463" w14:paraId="66F8155B" w14:textId="77777777">
        <w:trPr>
          <w:jc w:val="center"/>
        </w:trPr>
        <w:tc>
          <w:tcPr>
            <w:tcW w:w="3168" w:type="dxa"/>
            <w:shd w:val="clear" w:color="auto" w:fill="FFFFFF"/>
            <w:tcMar>
              <w:top w:w="95" w:type="dxa"/>
              <w:left w:w="110" w:type="dxa"/>
              <w:bottom w:w="95" w:type="dxa"/>
              <w:right w:w="110" w:type="dxa"/>
            </w:tcMar>
            <w:vAlign w:val="center"/>
          </w:tcPr>
          <w:p w14:paraId="4135A98D" w14:textId="77777777" w:rsidR="00487463" w:rsidRDefault="00B10A8D">
            <w:pPr>
              <w:spacing w:after="0" w:line="240" w:lineRule="auto"/>
              <w:jc w:val="center"/>
              <w:rPr>
                <w:rFonts w:hint="eastAsia"/>
              </w:rPr>
            </w:pPr>
            <w:r>
              <w:rPr>
                <w:sz w:val="17"/>
              </w:rPr>
              <w:t>Containment Closure Law</w:t>
            </w:r>
          </w:p>
        </w:tc>
        <w:tc>
          <w:tcPr>
            <w:tcW w:w="6120" w:type="dxa"/>
            <w:shd w:val="clear" w:color="auto" w:fill="FFFFFF"/>
            <w:tcMar>
              <w:top w:w="95" w:type="dxa"/>
              <w:left w:w="110" w:type="dxa"/>
              <w:bottom w:w="95" w:type="dxa"/>
              <w:right w:w="110" w:type="dxa"/>
            </w:tcMar>
            <w:vAlign w:val="center"/>
          </w:tcPr>
          <w:p w14:paraId="42B64EC1" w14:textId="77777777" w:rsidR="00487463" w:rsidRDefault="00B10A8D">
            <w:pPr>
              <w:spacing w:after="0" w:line="240" w:lineRule="auto"/>
              <w:rPr>
                <w:rFonts w:hint="eastAsia"/>
              </w:rPr>
            </w:pPr>
            <w:r>
              <w:rPr>
                <w:sz w:val="17"/>
              </w:rPr>
              <w:t>A proposed Base boundary must contain all internal relationships except authorized contract crossings.</w:t>
            </w:r>
          </w:p>
        </w:tc>
      </w:tr>
      <w:tr w:rsidR="00487463" w14:paraId="06BCD587" w14:textId="77777777">
        <w:trPr>
          <w:jc w:val="center"/>
        </w:trPr>
        <w:tc>
          <w:tcPr>
            <w:tcW w:w="3168" w:type="dxa"/>
            <w:shd w:val="clear" w:color="auto" w:fill="FFFFFF"/>
            <w:tcMar>
              <w:top w:w="95" w:type="dxa"/>
              <w:left w:w="110" w:type="dxa"/>
              <w:bottom w:w="95" w:type="dxa"/>
              <w:right w:w="110" w:type="dxa"/>
            </w:tcMar>
            <w:vAlign w:val="center"/>
          </w:tcPr>
          <w:p w14:paraId="56583CB1" w14:textId="77777777" w:rsidR="00487463" w:rsidRDefault="00B10A8D">
            <w:pPr>
              <w:spacing w:after="0" w:line="240" w:lineRule="auto"/>
              <w:jc w:val="center"/>
              <w:rPr>
                <w:rFonts w:hint="eastAsia"/>
              </w:rPr>
            </w:pPr>
            <w:r>
              <w:rPr>
                <w:sz w:val="17"/>
              </w:rPr>
              <w:t>Home Anchor Law</w:t>
            </w:r>
          </w:p>
        </w:tc>
        <w:tc>
          <w:tcPr>
            <w:tcW w:w="6120" w:type="dxa"/>
            <w:shd w:val="clear" w:color="auto" w:fill="FFFFFF"/>
            <w:tcMar>
              <w:top w:w="95" w:type="dxa"/>
              <w:left w:w="110" w:type="dxa"/>
              <w:bottom w:w="95" w:type="dxa"/>
              <w:right w:w="110" w:type="dxa"/>
            </w:tcMar>
            <w:vAlign w:val="center"/>
          </w:tcPr>
          <w:p w14:paraId="121D3D14" w14:textId="77777777" w:rsidR="00487463" w:rsidRDefault="00B10A8D">
            <w:pPr>
              <w:spacing w:after="0" w:line="240" w:lineRule="auto"/>
              <w:rPr>
                <w:rFonts w:hint="eastAsia"/>
              </w:rPr>
            </w:pPr>
            <w:r>
              <w:rPr>
                <w:sz w:val="17"/>
              </w:rPr>
              <w:t>Every participating Base maintains a direct relationship to canonical Home.</w:t>
            </w:r>
          </w:p>
        </w:tc>
      </w:tr>
      <w:tr w:rsidR="00487463" w14:paraId="7765F57A" w14:textId="77777777">
        <w:trPr>
          <w:jc w:val="center"/>
        </w:trPr>
        <w:tc>
          <w:tcPr>
            <w:tcW w:w="3168" w:type="dxa"/>
            <w:shd w:val="clear" w:color="auto" w:fill="FFFFFF"/>
            <w:tcMar>
              <w:top w:w="95" w:type="dxa"/>
              <w:left w:w="110" w:type="dxa"/>
              <w:bottom w:w="95" w:type="dxa"/>
              <w:right w:w="110" w:type="dxa"/>
            </w:tcMar>
            <w:vAlign w:val="center"/>
          </w:tcPr>
          <w:p w14:paraId="1558446F" w14:textId="77777777" w:rsidR="00487463" w:rsidRDefault="00B10A8D">
            <w:pPr>
              <w:spacing w:after="0" w:line="240" w:lineRule="auto"/>
              <w:rPr>
                <w:rFonts w:hint="eastAsia"/>
              </w:rPr>
            </w:pPr>
            <w:r>
              <w:rPr>
                <w:sz w:val="17"/>
              </w:rPr>
              <w:t>Jurisdiction–Location Separation Law</w:t>
            </w:r>
          </w:p>
        </w:tc>
        <w:tc>
          <w:tcPr>
            <w:tcW w:w="6120" w:type="dxa"/>
            <w:shd w:val="clear" w:color="auto" w:fill="FFFFFF"/>
            <w:tcMar>
              <w:top w:w="95" w:type="dxa"/>
              <w:left w:w="110" w:type="dxa"/>
              <w:bottom w:w="95" w:type="dxa"/>
              <w:right w:w="110" w:type="dxa"/>
            </w:tcMar>
            <w:vAlign w:val="center"/>
          </w:tcPr>
          <w:p w14:paraId="76460620" w14:textId="77777777" w:rsidR="00487463" w:rsidRDefault="00B10A8D">
            <w:pPr>
              <w:spacing w:after="0" w:line="240" w:lineRule="auto"/>
              <w:rPr>
                <w:rFonts w:hint="eastAsia"/>
              </w:rPr>
            </w:pPr>
            <w:r>
              <w:rPr>
                <w:sz w:val="17"/>
              </w:rPr>
              <w:t>Crawler selects the semantic habitat; local SOLAR resolves within it.</w:t>
            </w:r>
          </w:p>
        </w:tc>
      </w:tr>
      <w:tr w:rsidR="00487463" w14:paraId="5F13DABD" w14:textId="77777777">
        <w:trPr>
          <w:jc w:val="center"/>
        </w:trPr>
        <w:tc>
          <w:tcPr>
            <w:tcW w:w="3168" w:type="dxa"/>
            <w:shd w:val="clear" w:color="auto" w:fill="FFFFFF"/>
            <w:tcMar>
              <w:top w:w="95" w:type="dxa"/>
              <w:left w:w="110" w:type="dxa"/>
              <w:bottom w:w="95" w:type="dxa"/>
              <w:right w:w="110" w:type="dxa"/>
            </w:tcMar>
            <w:vAlign w:val="center"/>
          </w:tcPr>
          <w:p w14:paraId="1D875344" w14:textId="77777777" w:rsidR="00487463" w:rsidRDefault="00B10A8D">
            <w:pPr>
              <w:spacing w:after="0" w:line="240" w:lineRule="auto"/>
              <w:jc w:val="center"/>
              <w:rPr>
                <w:rFonts w:hint="eastAsia"/>
              </w:rPr>
            </w:pPr>
            <w:r>
              <w:rPr>
                <w:sz w:val="17"/>
              </w:rPr>
              <w:t>Local Competency Law</w:t>
            </w:r>
          </w:p>
        </w:tc>
        <w:tc>
          <w:tcPr>
            <w:tcW w:w="6120" w:type="dxa"/>
            <w:shd w:val="clear" w:color="auto" w:fill="FFFFFF"/>
            <w:tcMar>
              <w:top w:w="95" w:type="dxa"/>
              <w:left w:w="110" w:type="dxa"/>
              <w:bottom w:w="95" w:type="dxa"/>
              <w:right w:w="110" w:type="dxa"/>
            </w:tcMar>
            <w:vAlign w:val="center"/>
          </w:tcPr>
          <w:p w14:paraId="6B921A9D" w14:textId="77777777" w:rsidR="00487463" w:rsidRDefault="00B10A8D">
            <w:pPr>
              <w:spacing w:after="0" w:line="240" w:lineRule="auto"/>
              <w:rPr>
                <w:rFonts w:hint="eastAsia"/>
              </w:rPr>
            </w:pPr>
            <w:r>
              <w:rPr>
                <w:sz w:val="17"/>
              </w:rPr>
              <w:t>An entering intelligence may acquire Base-specific competence through BOOTSTRAP rather than requiring global prior knowledge.</w:t>
            </w:r>
          </w:p>
        </w:tc>
      </w:tr>
      <w:tr w:rsidR="00487463" w14:paraId="573C3F44" w14:textId="77777777">
        <w:trPr>
          <w:jc w:val="center"/>
        </w:trPr>
        <w:tc>
          <w:tcPr>
            <w:tcW w:w="3168" w:type="dxa"/>
            <w:shd w:val="clear" w:color="auto" w:fill="FFFFFF"/>
            <w:tcMar>
              <w:top w:w="95" w:type="dxa"/>
              <w:left w:w="110" w:type="dxa"/>
              <w:bottom w:w="95" w:type="dxa"/>
              <w:right w:w="110" w:type="dxa"/>
            </w:tcMar>
            <w:vAlign w:val="center"/>
          </w:tcPr>
          <w:p w14:paraId="17BB7F78" w14:textId="77777777" w:rsidR="00487463" w:rsidRDefault="00B10A8D">
            <w:pPr>
              <w:spacing w:after="0" w:line="240" w:lineRule="auto"/>
              <w:jc w:val="center"/>
              <w:rPr>
                <w:rFonts w:hint="eastAsia"/>
              </w:rPr>
            </w:pPr>
            <w:r>
              <w:rPr>
                <w:sz w:val="17"/>
              </w:rPr>
              <w:t>Bridge Sovereignty Law</w:t>
            </w:r>
          </w:p>
        </w:tc>
        <w:tc>
          <w:tcPr>
            <w:tcW w:w="6120" w:type="dxa"/>
            <w:shd w:val="clear" w:color="auto" w:fill="FFFFFF"/>
            <w:tcMar>
              <w:top w:w="95" w:type="dxa"/>
              <w:left w:w="110" w:type="dxa"/>
              <w:bottom w:w="95" w:type="dxa"/>
              <w:right w:w="110" w:type="dxa"/>
            </w:tcMar>
            <w:vAlign w:val="center"/>
          </w:tcPr>
          <w:p w14:paraId="0F15ED46" w14:textId="77777777" w:rsidR="00487463" w:rsidRDefault="00B10A8D">
            <w:pPr>
              <w:spacing w:after="0" w:line="240" w:lineRule="auto"/>
              <w:rPr>
                <w:rFonts w:hint="eastAsia"/>
              </w:rPr>
            </w:pPr>
            <w:r>
              <w:rPr>
                <w:sz w:val="17"/>
              </w:rPr>
              <w:t>Liminal Bridges hold shared state and relationships without replacing endpoint ownership.</w:t>
            </w:r>
          </w:p>
        </w:tc>
      </w:tr>
      <w:tr w:rsidR="00487463" w14:paraId="19FB7057" w14:textId="77777777">
        <w:trPr>
          <w:jc w:val="center"/>
        </w:trPr>
        <w:tc>
          <w:tcPr>
            <w:tcW w:w="3168" w:type="dxa"/>
            <w:shd w:val="clear" w:color="auto" w:fill="FFFFFF"/>
            <w:tcMar>
              <w:top w:w="95" w:type="dxa"/>
              <w:left w:w="110" w:type="dxa"/>
              <w:bottom w:w="95" w:type="dxa"/>
              <w:right w:w="110" w:type="dxa"/>
            </w:tcMar>
            <w:vAlign w:val="center"/>
          </w:tcPr>
          <w:p w14:paraId="3D53ED51" w14:textId="77777777" w:rsidR="00487463" w:rsidRDefault="00B10A8D">
            <w:pPr>
              <w:spacing w:after="0" w:line="240" w:lineRule="auto"/>
              <w:rPr>
                <w:rFonts w:hint="eastAsia"/>
              </w:rPr>
            </w:pPr>
            <w:r>
              <w:rPr>
                <w:sz w:val="17"/>
              </w:rPr>
              <w:t>Translation-Only-When-Necessary Law</w:t>
            </w:r>
          </w:p>
        </w:tc>
        <w:tc>
          <w:tcPr>
            <w:tcW w:w="6120" w:type="dxa"/>
            <w:shd w:val="clear" w:color="auto" w:fill="FFFFFF"/>
            <w:tcMar>
              <w:top w:w="95" w:type="dxa"/>
              <w:left w:w="110" w:type="dxa"/>
              <w:bottom w:w="95" w:type="dxa"/>
              <w:right w:w="110" w:type="dxa"/>
            </w:tcMar>
            <w:vAlign w:val="center"/>
          </w:tcPr>
          <w:p w14:paraId="57C41F8E" w14:textId="77777777" w:rsidR="00487463" w:rsidRDefault="00B10A8D">
            <w:pPr>
              <w:spacing w:after="0" w:line="240" w:lineRule="auto"/>
              <w:rPr>
                <w:rFonts w:hint="eastAsia"/>
              </w:rPr>
            </w:pPr>
            <w:r>
              <w:rPr>
                <w:sz w:val="17"/>
              </w:rPr>
              <w:t>Semantic Crosswalks are used for genuine semantic difference, not when canonical identity already exists.</w:t>
            </w:r>
          </w:p>
        </w:tc>
      </w:tr>
      <w:tr w:rsidR="00487463" w14:paraId="2CC829F8" w14:textId="77777777">
        <w:trPr>
          <w:jc w:val="center"/>
        </w:trPr>
        <w:tc>
          <w:tcPr>
            <w:tcW w:w="3168" w:type="dxa"/>
            <w:shd w:val="clear" w:color="auto" w:fill="FFFFFF"/>
            <w:tcMar>
              <w:top w:w="95" w:type="dxa"/>
              <w:left w:w="110" w:type="dxa"/>
              <w:bottom w:w="95" w:type="dxa"/>
              <w:right w:w="110" w:type="dxa"/>
            </w:tcMar>
            <w:vAlign w:val="center"/>
          </w:tcPr>
          <w:p w14:paraId="5E1186B5" w14:textId="77777777" w:rsidR="00487463" w:rsidRDefault="00B10A8D">
            <w:pPr>
              <w:spacing w:after="0" w:line="240" w:lineRule="auto"/>
              <w:jc w:val="center"/>
              <w:rPr>
                <w:rFonts w:hint="eastAsia"/>
              </w:rPr>
            </w:pPr>
            <w:r>
              <w:rPr>
                <w:sz w:val="17"/>
              </w:rPr>
              <w:t>Empirical Referee Law</w:t>
            </w:r>
          </w:p>
        </w:tc>
        <w:tc>
          <w:tcPr>
            <w:tcW w:w="6120" w:type="dxa"/>
            <w:shd w:val="clear" w:color="auto" w:fill="FFFFFF"/>
            <w:tcMar>
              <w:top w:w="95" w:type="dxa"/>
              <w:left w:w="110" w:type="dxa"/>
              <w:bottom w:w="95" w:type="dxa"/>
              <w:right w:w="110" w:type="dxa"/>
            </w:tcMar>
            <w:vAlign w:val="center"/>
          </w:tcPr>
          <w:p w14:paraId="6169A412" w14:textId="77777777" w:rsidR="00487463" w:rsidRDefault="00B10A8D">
            <w:pPr>
              <w:spacing w:after="0" w:line="240" w:lineRule="auto"/>
              <w:rPr>
                <w:rFonts w:hint="eastAsia"/>
              </w:rPr>
            </w:pPr>
            <w:r>
              <w:rPr>
                <w:sz w:val="17"/>
              </w:rPr>
              <w:t>Divergent cognitive lenses are evaluated by defined observations rather than ontological conformity.</w:t>
            </w:r>
          </w:p>
        </w:tc>
      </w:tr>
      <w:tr w:rsidR="00487463" w14:paraId="717CBF72" w14:textId="77777777">
        <w:trPr>
          <w:jc w:val="center"/>
        </w:trPr>
        <w:tc>
          <w:tcPr>
            <w:tcW w:w="3168" w:type="dxa"/>
            <w:shd w:val="clear" w:color="auto" w:fill="FFFFFF"/>
            <w:tcMar>
              <w:top w:w="95" w:type="dxa"/>
              <w:left w:w="110" w:type="dxa"/>
              <w:bottom w:w="95" w:type="dxa"/>
              <w:right w:w="110" w:type="dxa"/>
            </w:tcMar>
            <w:vAlign w:val="center"/>
          </w:tcPr>
          <w:p w14:paraId="15FEEA5C" w14:textId="77777777" w:rsidR="00487463" w:rsidRDefault="00B10A8D">
            <w:pPr>
              <w:spacing w:after="0" w:line="240" w:lineRule="auto"/>
              <w:jc w:val="center"/>
              <w:rPr>
                <w:rFonts w:hint="eastAsia"/>
              </w:rPr>
            </w:pPr>
            <w:r>
              <w:rPr>
                <w:sz w:val="17"/>
              </w:rPr>
              <w:t>Scoped Specialization Law</w:t>
            </w:r>
          </w:p>
        </w:tc>
        <w:tc>
          <w:tcPr>
            <w:tcW w:w="6120" w:type="dxa"/>
            <w:shd w:val="clear" w:color="auto" w:fill="FFFFFF"/>
            <w:tcMar>
              <w:top w:w="95" w:type="dxa"/>
              <w:left w:w="110" w:type="dxa"/>
              <w:bottom w:w="95" w:type="dxa"/>
              <w:right w:w="110" w:type="dxa"/>
            </w:tcMar>
            <w:vAlign w:val="center"/>
          </w:tcPr>
          <w:p w14:paraId="6F718809" w14:textId="77777777" w:rsidR="00487463" w:rsidRDefault="00B10A8D">
            <w:pPr>
              <w:spacing w:after="0" w:line="240" w:lineRule="auto"/>
              <w:rPr>
                <w:rFonts w:hint="eastAsia"/>
              </w:rPr>
            </w:pPr>
            <w:r>
              <w:rPr>
                <w:sz w:val="17"/>
              </w:rPr>
              <w:t>DICE maps where a PIECE works rather than selecting one universal intelligence.</w:t>
            </w:r>
          </w:p>
        </w:tc>
      </w:tr>
      <w:tr w:rsidR="00487463" w14:paraId="4E74F55C" w14:textId="77777777">
        <w:trPr>
          <w:jc w:val="center"/>
        </w:trPr>
        <w:tc>
          <w:tcPr>
            <w:tcW w:w="3168" w:type="dxa"/>
            <w:shd w:val="clear" w:color="auto" w:fill="FFFFFF"/>
            <w:tcMar>
              <w:top w:w="95" w:type="dxa"/>
              <w:left w:w="110" w:type="dxa"/>
              <w:bottom w:w="95" w:type="dxa"/>
              <w:right w:w="110" w:type="dxa"/>
            </w:tcMar>
            <w:vAlign w:val="center"/>
          </w:tcPr>
          <w:p w14:paraId="59C9741F" w14:textId="77777777" w:rsidR="00487463" w:rsidRDefault="00B10A8D">
            <w:pPr>
              <w:spacing w:after="0" w:line="240" w:lineRule="auto"/>
              <w:jc w:val="center"/>
              <w:rPr>
                <w:rFonts w:hint="eastAsia"/>
              </w:rPr>
            </w:pPr>
            <w:r>
              <w:rPr>
                <w:sz w:val="17"/>
              </w:rPr>
              <w:t>Structural Health Law</w:t>
            </w:r>
          </w:p>
        </w:tc>
        <w:tc>
          <w:tcPr>
            <w:tcW w:w="6120" w:type="dxa"/>
            <w:shd w:val="clear" w:color="auto" w:fill="FFFFFF"/>
            <w:tcMar>
              <w:top w:w="95" w:type="dxa"/>
              <w:left w:w="110" w:type="dxa"/>
              <w:bottom w:w="95" w:type="dxa"/>
              <w:right w:w="110" w:type="dxa"/>
            </w:tcMar>
            <w:vAlign w:val="center"/>
          </w:tcPr>
          <w:p w14:paraId="20789EE8" w14:textId="77777777" w:rsidR="00487463" w:rsidRDefault="00B10A8D">
            <w:pPr>
              <w:spacing w:after="0" w:line="240" w:lineRule="auto"/>
              <w:rPr>
                <w:rFonts w:hint="eastAsia"/>
              </w:rPr>
            </w:pPr>
            <w:r>
              <w:rPr>
                <w:sz w:val="17"/>
              </w:rPr>
              <w:t>Implementation integrity and cognitive performance remain distinct evaluative dimensions.</w:t>
            </w:r>
          </w:p>
        </w:tc>
      </w:tr>
      <w:tr w:rsidR="00487463" w14:paraId="1981D043" w14:textId="77777777">
        <w:trPr>
          <w:jc w:val="center"/>
        </w:trPr>
        <w:tc>
          <w:tcPr>
            <w:tcW w:w="3168" w:type="dxa"/>
            <w:shd w:val="clear" w:color="auto" w:fill="FFFFFF"/>
            <w:tcMar>
              <w:top w:w="95" w:type="dxa"/>
              <w:left w:w="110" w:type="dxa"/>
              <w:bottom w:w="95" w:type="dxa"/>
              <w:right w:w="110" w:type="dxa"/>
            </w:tcMar>
            <w:vAlign w:val="center"/>
          </w:tcPr>
          <w:p w14:paraId="77F5A468" w14:textId="77777777" w:rsidR="00487463" w:rsidRDefault="00B10A8D">
            <w:pPr>
              <w:spacing w:after="0" w:line="240" w:lineRule="auto"/>
              <w:jc w:val="center"/>
              <w:rPr>
                <w:rFonts w:hint="eastAsia"/>
              </w:rPr>
            </w:pPr>
            <w:r>
              <w:rPr>
                <w:sz w:val="17"/>
              </w:rPr>
              <w:t>Evolutionary Provenance Law</w:t>
            </w:r>
          </w:p>
        </w:tc>
        <w:tc>
          <w:tcPr>
            <w:tcW w:w="6120" w:type="dxa"/>
            <w:shd w:val="clear" w:color="auto" w:fill="FFFFFF"/>
            <w:tcMar>
              <w:top w:w="95" w:type="dxa"/>
              <w:left w:w="110" w:type="dxa"/>
              <w:bottom w:w="95" w:type="dxa"/>
              <w:right w:w="110" w:type="dxa"/>
            </w:tcMar>
            <w:vAlign w:val="center"/>
          </w:tcPr>
          <w:p w14:paraId="25B12FC1" w14:textId="77777777" w:rsidR="00487463" w:rsidRDefault="00B10A8D">
            <w:pPr>
              <w:spacing w:after="0" w:line="240" w:lineRule="auto"/>
              <w:rPr>
                <w:rFonts w:hint="eastAsia"/>
              </w:rPr>
            </w:pPr>
            <w:r>
              <w:rPr>
                <w:sz w:val="17"/>
              </w:rPr>
              <w:t>Forking, cloning, specialization, retention, and retirement preserve ancestry and evaluation history.</w:t>
            </w:r>
          </w:p>
        </w:tc>
      </w:tr>
      <w:tr w:rsidR="00487463" w14:paraId="09BCC0D9" w14:textId="77777777">
        <w:trPr>
          <w:jc w:val="center"/>
        </w:trPr>
        <w:tc>
          <w:tcPr>
            <w:tcW w:w="3168" w:type="dxa"/>
            <w:shd w:val="clear" w:color="auto" w:fill="FFFFFF"/>
            <w:tcMar>
              <w:top w:w="95" w:type="dxa"/>
              <w:left w:w="110" w:type="dxa"/>
              <w:bottom w:w="95" w:type="dxa"/>
              <w:right w:w="110" w:type="dxa"/>
            </w:tcMar>
            <w:vAlign w:val="center"/>
          </w:tcPr>
          <w:p w14:paraId="241F6951" w14:textId="77777777" w:rsidR="00487463" w:rsidRDefault="00B10A8D">
            <w:pPr>
              <w:spacing w:after="0" w:line="240" w:lineRule="auto"/>
              <w:rPr>
                <w:rFonts w:hint="eastAsia"/>
              </w:rPr>
            </w:pPr>
            <w:r>
              <w:rPr>
                <w:sz w:val="17"/>
              </w:rPr>
              <w:t>Routing–Authority Separation Law</w:t>
            </w:r>
          </w:p>
        </w:tc>
        <w:tc>
          <w:tcPr>
            <w:tcW w:w="6120" w:type="dxa"/>
            <w:shd w:val="clear" w:color="auto" w:fill="FFFFFF"/>
            <w:tcMar>
              <w:top w:w="95" w:type="dxa"/>
              <w:left w:w="110" w:type="dxa"/>
              <w:bottom w:w="95" w:type="dxa"/>
              <w:right w:w="110" w:type="dxa"/>
            </w:tcMar>
            <w:vAlign w:val="center"/>
          </w:tcPr>
          <w:p w14:paraId="64180D22" w14:textId="77777777" w:rsidR="00487463" w:rsidRDefault="00B10A8D">
            <w:pPr>
              <w:spacing w:after="0" w:line="240" w:lineRule="auto"/>
              <w:rPr>
                <w:rFonts w:hint="eastAsia"/>
              </w:rPr>
            </w:pPr>
            <w:r>
              <w:rPr>
                <w:sz w:val="17"/>
              </w:rPr>
              <w:t>Discovery or semantic resolution does not itself grant read, mutation, or execution authority.</w:t>
            </w:r>
          </w:p>
        </w:tc>
      </w:tr>
      <w:tr w:rsidR="00487463" w14:paraId="0B246629" w14:textId="77777777">
        <w:trPr>
          <w:jc w:val="center"/>
        </w:trPr>
        <w:tc>
          <w:tcPr>
            <w:tcW w:w="3168" w:type="dxa"/>
            <w:shd w:val="clear" w:color="auto" w:fill="FFFFFF"/>
            <w:tcMar>
              <w:top w:w="95" w:type="dxa"/>
              <w:left w:w="110" w:type="dxa"/>
              <w:bottom w:w="95" w:type="dxa"/>
              <w:right w:w="110" w:type="dxa"/>
            </w:tcMar>
            <w:vAlign w:val="center"/>
          </w:tcPr>
          <w:p w14:paraId="293F0319" w14:textId="77777777" w:rsidR="00487463" w:rsidRDefault="00B10A8D">
            <w:pPr>
              <w:spacing w:after="0" w:line="240" w:lineRule="auto"/>
              <w:jc w:val="center"/>
              <w:rPr>
                <w:rFonts w:hint="eastAsia"/>
              </w:rPr>
            </w:pPr>
            <w:r>
              <w:rPr>
                <w:sz w:val="17"/>
              </w:rPr>
              <w:t>Fail-Explicitly Law</w:t>
            </w:r>
          </w:p>
        </w:tc>
        <w:tc>
          <w:tcPr>
            <w:tcW w:w="6120" w:type="dxa"/>
            <w:shd w:val="clear" w:color="auto" w:fill="FFFFFF"/>
            <w:tcMar>
              <w:top w:w="95" w:type="dxa"/>
              <w:left w:w="110" w:type="dxa"/>
              <w:bottom w:w="95" w:type="dxa"/>
              <w:right w:w="110" w:type="dxa"/>
            </w:tcMar>
            <w:vAlign w:val="center"/>
          </w:tcPr>
          <w:p w14:paraId="7166ADBF" w14:textId="77777777" w:rsidR="00487463" w:rsidRDefault="00B10A8D">
            <w:pPr>
              <w:spacing w:after="0" w:line="240" w:lineRule="auto"/>
              <w:rPr>
                <w:rFonts w:hint="eastAsia"/>
              </w:rPr>
            </w:pPr>
            <w:r>
              <w:rPr>
                <w:sz w:val="17"/>
              </w:rPr>
              <w:t>Unresolved identity, contract, competency, mapping, or permission states are surfaced rather than silently guessed around.</w:t>
            </w:r>
          </w:p>
        </w:tc>
      </w:tr>
    </w:tbl>
    <w:p w14:paraId="0E6FEA6B" w14:textId="77777777" w:rsidR="00487463" w:rsidRDefault="00487463">
      <w:pPr>
        <w:spacing w:after="0"/>
        <w:rPr>
          <w:rFonts w:hint="eastAsia"/>
        </w:rPr>
      </w:pPr>
    </w:p>
    <w:p w14:paraId="7680D532" w14:textId="77777777" w:rsidR="00487463" w:rsidRDefault="00B10A8D">
      <w:pPr>
        <w:pStyle w:val="Heading1"/>
      </w:pPr>
      <w:r>
        <w:t>24. The EDIFICE Evolutionary Cycle</w:t>
      </w:r>
    </w:p>
    <w:p w14:paraId="477FE68F" w14:textId="77777777" w:rsidR="00487463" w:rsidRDefault="00B10A8D">
      <w:pPr>
        <w:rPr>
          <w:rFonts w:hint="eastAsia"/>
        </w:rPr>
      </w:pPr>
      <w:r>
        <w:t>The complete architecture is best understood as a cycle rather than a stack. New distinctions are represented as formal state. Those structures are bounded inside a habitat. Large habitats externalize through Z. The federation discovers them through the Crawler. Local SOLAR and BOOTSTRAP make them usable to unfamiliar intelligence. Shared identity reconstructs directly. Liminal Bridges and BOSS connect bounded worlds where necessary. DICE evaluates predictions against reality. Evidence drives specialization</w:t>
      </w:r>
      <w:r>
        <w:t>, cloning, retention, retirement, and new representations.</w:t>
      </w:r>
    </w:p>
    <w:p w14:paraId="10BCDE7C" w14:textId="77777777" w:rsidR="00487463" w:rsidRDefault="00B10A8D">
      <w:pPr>
        <w:rPr>
          <w:rFonts w:hint="eastAsia"/>
        </w:rPr>
      </w:pPr>
      <w:r>
        <w:t>Each turn through the cycle can increase the diversity of the federation without requiring its members to become more alike. The system grows by adding better-bounded ways of thinking, not by erasing differences that are inconvenient to a central ontology.</w:t>
      </w:r>
    </w:p>
    <w:p w14:paraId="38AFE90E" w14:textId="77777777" w:rsidR="00487463" w:rsidRDefault="00B10A8D">
      <w:pPr>
        <w:spacing w:before="120" w:after="60"/>
        <w:jc w:val="center"/>
        <w:rPr>
          <w:rFonts w:hint="eastAsia"/>
        </w:rPr>
      </w:pPr>
      <w:r>
        <w:rPr>
          <w:noProof/>
        </w:rPr>
        <w:drawing>
          <wp:inline distT="0" distB="0" distL="0" distR="0" wp14:anchorId="410A386F" wp14:editId="4023C7A7">
            <wp:extent cx="5943600" cy="336158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8_edifice_cycle.png"/>
                    <pic:cNvPicPr/>
                  </pic:nvPicPr>
                  <pic:blipFill>
                    <a:blip r:embed="rId35"/>
                    <a:stretch>
                      <a:fillRect/>
                    </a:stretch>
                  </pic:blipFill>
                  <pic:spPr>
                    <a:xfrm>
                      <a:off x="0" y="0"/>
                      <a:ext cx="5943600" cy="3361585"/>
                    </a:xfrm>
                    <a:prstGeom prst="rect">
                      <a:avLst/>
                    </a:prstGeom>
                  </pic:spPr>
                </pic:pic>
              </a:graphicData>
            </a:graphic>
          </wp:inline>
        </w:drawing>
      </w:r>
    </w:p>
    <w:p w14:paraId="4F8C85CB" w14:textId="77777777" w:rsidR="00487463" w:rsidRDefault="00B10A8D">
      <w:pPr>
        <w:spacing w:after="160"/>
        <w:jc w:val="center"/>
        <w:rPr>
          <w:rFonts w:hint="eastAsia"/>
        </w:rPr>
      </w:pPr>
      <w:r>
        <w:rPr>
          <w:b/>
          <w:i/>
          <w:color w:val="596675"/>
          <w:sz w:val="18"/>
        </w:rPr>
        <w:t>Figure 28. The EDIFICE evolutionary cycle from representation through evaluation and divergence.</w:t>
      </w:r>
    </w:p>
    <w:tbl>
      <w:tblPr>
        <w:tblW w:w="0" w:type="auto"/>
        <w:jc w:val="center"/>
        <w:tblLayout w:type="fixed"/>
        <w:tblLook w:val="04A0" w:firstRow="1" w:lastRow="0" w:firstColumn="1" w:lastColumn="0" w:noHBand="0" w:noVBand="1"/>
      </w:tblPr>
      <w:tblGrid>
        <w:gridCol w:w="9994"/>
      </w:tblGrid>
      <w:tr w:rsidR="00487463" w14:paraId="70D08A28" w14:textId="77777777">
        <w:trPr>
          <w:jc w:val="center"/>
        </w:trPr>
        <w:tc>
          <w:tcPr>
            <w:tcW w:w="9994" w:type="dxa"/>
            <w:tcBorders>
              <w:left w:val="single" w:sz="22" w:space="0" w:color="17365D"/>
            </w:tcBorders>
            <w:shd w:val="clear" w:color="auto" w:fill="EDF3F8"/>
            <w:tcMar>
              <w:top w:w="140" w:type="dxa"/>
              <w:left w:w="180" w:type="dxa"/>
              <w:bottom w:w="140" w:type="dxa"/>
              <w:right w:w="180" w:type="dxa"/>
            </w:tcMar>
          </w:tcPr>
          <w:p w14:paraId="5CF59011" w14:textId="77777777" w:rsidR="00487463" w:rsidRDefault="00B10A8D">
            <w:pPr>
              <w:spacing w:after="80"/>
              <w:rPr>
                <w:rFonts w:hint="eastAsia"/>
              </w:rPr>
            </w:pPr>
            <w:r>
              <w:rPr>
                <w:b/>
                <w:color w:val="17365D"/>
              </w:rPr>
              <w:t>FINAL ARCHITECTURE STATEMENT</w:t>
            </w:r>
          </w:p>
          <w:p w14:paraId="53A4B56A" w14:textId="77777777" w:rsidR="00487463" w:rsidRDefault="00B10A8D">
            <w:pPr>
              <w:spacing w:after="0"/>
              <w:rPr>
                <w:rFonts w:hint="eastAsia"/>
              </w:rPr>
            </w:pPr>
            <w:r>
              <w:t>Every PIECE may remain different. Semantic Kernels make formal state executable. Bounded Bases preserve native habitats. Z makes participation explicit. The Crawler finds the right world. SOLAR finds meaning inside it. BOOTSTRAP teaches enough of that world to operate there. Canonical BitWords reconstruct without translation. Liminal Bridges share bounded state. BOSS maps only where meanings genuinely diverge. BASE SERVICE keeps implementations structurally honest. DICE determines where each difference is u</w:t>
            </w:r>
            <w:r>
              <w:t>seful. Together, these mechanisms form an executable EDIFICE for evolutionarily divergent intelligence.</w:t>
            </w:r>
          </w:p>
        </w:tc>
      </w:tr>
    </w:tbl>
    <w:p w14:paraId="0B511AE5" w14:textId="77777777" w:rsidR="00487463" w:rsidRDefault="00487463">
      <w:pPr>
        <w:spacing w:after="0"/>
        <w:rPr>
          <w:rFonts w:hint="eastAsia"/>
        </w:rPr>
      </w:pPr>
    </w:p>
    <w:p w14:paraId="41816822" w14:textId="77777777" w:rsidR="00487463" w:rsidRDefault="00B10A8D">
      <w:pPr>
        <w:rPr>
          <w:rFonts w:hint="eastAsia"/>
        </w:rPr>
      </w:pPr>
      <w:r>
        <w:br w:type="page"/>
      </w:r>
    </w:p>
    <w:p w14:paraId="1C84A8E2" w14:textId="77777777" w:rsidR="00487463" w:rsidRDefault="00B10A8D">
      <w:pPr>
        <w:pStyle w:val="Heading1"/>
      </w:pPr>
      <w:r>
        <w:t>Appendix A. Illustrative PIECE Profile</w:t>
      </w:r>
    </w:p>
    <w:p w14:paraId="284FB959" w14:textId="77777777" w:rsidR="00487463" w:rsidRDefault="00B10A8D">
      <w:pPr>
        <w:spacing w:before="80" w:after="80"/>
        <w:rPr>
          <w:rFonts w:hint="eastAsia"/>
        </w:rPr>
      </w:pPr>
      <w:r>
        <w:rPr>
          <w:b/>
          <w:i/>
          <w:color w:val="4F5E6E"/>
          <w:sz w:val="19"/>
        </w:rPr>
        <w:t>Table A-1. Example Base-scale PIECE profile.</w:t>
      </w:r>
    </w:p>
    <w:tbl>
      <w:tblPr>
        <w:tblW w:w="0" w:type="auto"/>
        <w:jc w:val="center"/>
        <w:tblLayout w:type="fixed"/>
        <w:tblLook w:val="04A0" w:firstRow="1" w:lastRow="0" w:firstColumn="1" w:lastColumn="0" w:noHBand="0" w:noVBand="1"/>
      </w:tblPr>
      <w:tblGrid>
        <w:gridCol w:w="2880"/>
        <w:gridCol w:w="6408"/>
      </w:tblGrid>
      <w:tr w:rsidR="00487463" w14:paraId="4B17B177" w14:textId="77777777">
        <w:trPr>
          <w:jc w:val="center"/>
        </w:trPr>
        <w:tc>
          <w:tcPr>
            <w:tcW w:w="2880" w:type="dxa"/>
            <w:shd w:val="clear" w:color="auto" w:fill="17365D"/>
            <w:tcMar>
              <w:top w:w="100" w:type="dxa"/>
              <w:left w:w="120" w:type="dxa"/>
              <w:bottom w:w="100" w:type="dxa"/>
              <w:right w:w="120" w:type="dxa"/>
            </w:tcMar>
            <w:vAlign w:val="center"/>
          </w:tcPr>
          <w:p w14:paraId="15865D9B" w14:textId="77777777" w:rsidR="00487463" w:rsidRDefault="00B10A8D">
            <w:pPr>
              <w:jc w:val="center"/>
              <w:rPr>
                <w:rFonts w:hint="eastAsia"/>
              </w:rPr>
            </w:pPr>
            <w:r>
              <w:rPr>
                <w:b/>
                <w:color w:val="FFFFFF"/>
                <w:sz w:val="19"/>
              </w:rPr>
              <w:t>Field</w:t>
            </w:r>
          </w:p>
        </w:tc>
        <w:tc>
          <w:tcPr>
            <w:tcW w:w="6408" w:type="dxa"/>
            <w:shd w:val="clear" w:color="auto" w:fill="17365D"/>
            <w:tcMar>
              <w:top w:w="100" w:type="dxa"/>
              <w:left w:w="120" w:type="dxa"/>
              <w:bottom w:w="100" w:type="dxa"/>
              <w:right w:w="120" w:type="dxa"/>
            </w:tcMar>
            <w:vAlign w:val="center"/>
          </w:tcPr>
          <w:p w14:paraId="5EC1C7B7" w14:textId="77777777" w:rsidR="00487463" w:rsidRDefault="00B10A8D">
            <w:pPr>
              <w:jc w:val="center"/>
              <w:rPr>
                <w:rFonts w:hint="eastAsia"/>
              </w:rPr>
            </w:pPr>
            <w:r>
              <w:rPr>
                <w:b/>
                <w:color w:val="FFFFFF"/>
                <w:sz w:val="19"/>
              </w:rPr>
              <w:t>Illustrative value</w:t>
            </w:r>
          </w:p>
        </w:tc>
      </w:tr>
      <w:tr w:rsidR="00487463" w14:paraId="5CA38930" w14:textId="77777777">
        <w:trPr>
          <w:jc w:val="center"/>
        </w:trPr>
        <w:tc>
          <w:tcPr>
            <w:tcW w:w="2880" w:type="dxa"/>
            <w:shd w:val="clear" w:color="auto" w:fill="FFFFFF"/>
            <w:tcMar>
              <w:top w:w="95" w:type="dxa"/>
              <w:left w:w="110" w:type="dxa"/>
              <w:bottom w:w="95" w:type="dxa"/>
              <w:right w:w="110" w:type="dxa"/>
            </w:tcMar>
            <w:vAlign w:val="center"/>
          </w:tcPr>
          <w:p w14:paraId="66FFF0FA" w14:textId="77777777" w:rsidR="00487463" w:rsidRDefault="00B10A8D">
            <w:pPr>
              <w:spacing w:after="0" w:line="240" w:lineRule="auto"/>
              <w:jc w:val="center"/>
              <w:rPr>
                <w:rFonts w:hint="eastAsia"/>
              </w:rPr>
            </w:pPr>
            <w:r>
              <w:rPr>
                <w:sz w:val="18"/>
              </w:rPr>
              <w:t>PIECE ID</w:t>
            </w:r>
          </w:p>
        </w:tc>
        <w:tc>
          <w:tcPr>
            <w:tcW w:w="6408" w:type="dxa"/>
            <w:shd w:val="clear" w:color="auto" w:fill="FFFFFF"/>
            <w:tcMar>
              <w:top w:w="95" w:type="dxa"/>
              <w:left w:w="110" w:type="dxa"/>
              <w:bottom w:w="95" w:type="dxa"/>
              <w:right w:w="110" w:type="dxa"/>
            </w:tcMar>
            <w:vAlign w:val="center"/>
          </w:tcPr>
          <w:p w14:paraId="03CCA35B" w14:textId="77777777" w:rsidR="00487463" w:rsidRDefault="00B10A8D">
            <w:pPr>
              <w:spacing w:after="0" w:line="240" w:lineRule="auto"/>
              <w:rPr>
                <w:rFonts w:hint="eastAsia"/>
              </w:rPr>
            </w:pPr>
            <w:r>
              <w:rPr>
                <w:sz w:val="18"/>
              </w:rPr>
              <w:t>PIECE-TOPO-017</w:t>
            </w:r>
          </w:p>
        </w:tc>
      </w:tr>
      <w:tr w:rsidR="00487463" w14:paraId="4092DB84" w14:textId="77777777">
        <w:trPr>
          <w:jc w:val="center"/>
        </w:trPr>
        <w:tc>
          <w:tcPr>
            <w:tcW w:w="2880" w:type="dxa"/>
            <w:shd w:val="clear" w:color="auto" w:fill="FFFFFF"/>
            <w:tcMar>
              <w:top w:w="95" w:type="dxa"/>
              <w:left w:w="110" w:type="dxa"/>
              <w:bottom w:w="95" w:type="dxa"/>
              <w:right w:w="110" w:type="dxa"/>
            </w:tcMar>
            <w:vAlign w:val="center"/>
          </w:tcPr>
          <w:p w14:paraId="08D2D9F2" w14:textId="77777777" w:rsidR="00487463" w:rsidRDefault="00B10A8D">
            <w:pPr>
              <w:spacing w:after="0" w:line="240" w:lineRule="auto"/>
              <w:jc w:val="center"/>
              <w:rPr>
                <w:rFonts w:hint="eastAsia"/>
              </w:rPr>
            </w:pPr>
            <w:r>
              <w:rPr>
                <w:sz w:val="18"/>
              </w:rPr>
              <w:t>Name</w:t>
            </w:r>
          </w:p>
        </w:tc>
        <w:tc>
          <w:tcPr>
            <w:tcW w:w="6408" w:type="dxa"/>
            <w:shd w:val="clear" w:color="auto" w:fill="FFFFFF"/>
            <w:tcMar>
              <w:top w:w="95" w:type="dxa"/>
              <w:left w:w="110" w:type="dxa"/>
              <w:bottom w:w="95" w:type="dxa"/>
              <w:right w:w="110" w:type="dxa"/>
            </w:tcMar>
            <w:vAlign w:val="center"/>
          </w:tcPr>
          <w:p w14:paraId="1BFFD4C9" w14:textId="77777777" w:rsidR="00487463" w:rsidRDefault="00B10A8D">
            <w:pPr>
              <w:spacing w:after="0" w:line="240" w:lineRule="auto"/>
              <w:rPr>
                <w:rFonts w:hint="eastAsia"/>
              </w:rPr>
            </w:pPr>
            <w:r>
              <w:rPr>
                <w:sz w:val="18"/>
              </w:rPr>
              <w:t>Distributed Topology Instability Lens</w:t>
            </w:r>
          </w:p>
        </w:tc>
      </w:tr>
      <w:tr w:rsidR="00487463" w14:paraId="6C44A1AA" w14:textId="77777777">
        <w:trPr>
          <w:jc w:val="center"/>
        </w:trPr>
        <w:tc>
          <w:tcPr>
            <w:tcW w:w="2880" w:type="dxa"/>
            <w:shd w:val="clear" w:color="auto" w:fill="FFFFFF"/>
            <w:tcMar>
              <w:top w:w="95" w:type="dxa"/>
              <w:left w:w="110" w:type="dxa"/>
              <w:bottom w:w="95" w:type="dxa"/>
              <w:right w:w="110" w:type="dxa"/>
            </w:tcMar>
            <w:vAlign w:val="center"/>
          </w:tcPr>
          <w:p w14:paraId="5CFC2F24" w14:textId="77777777" w:rsidR="00487463" w:rsidRDefault="00B10A8D">
            <w:pPr>
              <w:spacing w:after="0" w:line="240" w:lineRule="auto"/>
              <w:jc w:val="center"/>
              <w:rPr>
                <w:rFonts w:hint="eastAsia"/>
              </w:rPr>
            </w:pPr>
            <w:r>
              <w:rPr>
                <w:sz w:val="18"/>
              </w:rPr>
              <w:t>Deployment</w:t>
            </w:r>
          </w:p>
        </w:tc>
        <w:tc>
          <w:tcPr>
            <w:tcW w:w="6408" w:type="dxa"/>
            <w:shd w:val="clear" w:color="auto" w:fill="FFFFFF"/>
            <w:tcMar>
              <w:top w:w="95" w:type="dxa"/>
              <w:left w:w="110" w:type="dxa"/>
              <w:bottom w:w="95" w:type="dxa"/>
              <w:right w:w="110" w:type="dxa"/>
            </w:tcMar>
            <w:vAlign w:val="center"/>
          </w:tcPr>
          <w:p w14:paraId="51A97043" w14:textId="77777777" w:rsidR="00487463" w:rsidRDefault="00B10A8D">
            <w:pPr>
              <w:spacing w:after="0" w:line="240" w:lineRule="auto"/>
              <w:rPr>
                <w:rFonts w:hint="eastAsia"/>
              </w:rPr>
            </w:pPr>
            <w:r>
              <w:rPr>
                <w:sz w:val="18"/>
              </w:rPr>
              <w:t>Base-scale native habitat</w:t>
            </w:r>
          </w:p>
        </w:tc>
      </w:tr>
      <w:tr w:rsidR="00487463" w14:paraId="22DA7500" w14:textId="77777777">
        <w:trPr>
          <w:jc w:val="center"/>
        </w:trPr>
        <w:tc>
          <w:tcPr>
            <w:tcW w:w="2880" w:type="dxa"/>
            <w:shd w:val="clear" w:color="auto" w:fill="FFFFFF"/>
            <w:tcMar>
              <w:top w:w="95" w:type="dxa"/>
              <w:left w:w="110" w:type="dxa"/>
              <w:bottom w:w="95" w:type="dxa"/>
              <w:right w:w="110" w:type="dxa"/>
            </w:tcMar>
            <w:vAlign w:val="center"/>
          </w:tcPr>
          <w:p w14:paraId="1FFAE31B" w14:textId="77777777" w:rsidR="00487463" w:rsidRDefault="00B10A8D">
            <w:pPr>
              <w:spacing w:after="0" w:line="240" w:lineRule="auto"/>
              <w:jc w:val="center"/>
              <w:rPr>
                <w:rFonts w:hint="eastAsia"/>
              </w:rPr>
            </w:pPr>
            <w:r>
              <w:rPr>
                <w:sz w:val="18"/>
              </w:rPr>
              <w:t>Scope</w:t>
            </w:r>
          </w:p>
        </w:tc>
        <w:tc>
          <w:tcPr>
            <w:tcW w:w="6408" w:type="dxa"/>
            <w:shd w:val="clear" w:color="auto" w:fill="FFFFFF"/>
            <w:tcMar>
              <w:top w:w="95" w:type="dxa"/>
              <w:left w:w="110" w:type="dxa"/>
              <w:bottom w:w="95" w:type="dxa"/>
              <w:right w:w="110" w:type="dxa"/>
            </w:tcMar>
            <w:vAlign w:val="center"/>
          </w:tcPr>
          <w:p w14:paraId="76E74F4F" w14:textId="77777777" w:rsidR="00487463" w:rsidRDefault="00B10A8D">
            <w:pPr>
              <w:spacing w:after="0" w:line="240" w:lineRule="auto"/>
              <w:rPr>
                <w:rFonts w:hint="eastAsia"/>
              </w:rPr>
            </w:pPr>
            <w:r>
              <w:rPr>
                <w:sz w:val="18"/>
              </w:rPr>
              <w:t>Distributed infrastructure state propagation and failure onset</w:t>
            </w:r>
          </w:p>
        </w:tc>
      </w:tr>
      <w:tr w:rsidR="00487463" w14:paraId="2567FC8B" w14:textId="77777777">
        <w:trPr>
          <w:jc w:val="center"/>
        </w:trPr>
        <w:tc>
          <w:tcPr>
            <w:tcW w:w="2880" w:type="dxa"/>
            <w:shd w:val="clear" w:color="auto" w:fill="FFFFFF"/>
            <w:tcMar>
              <w:top w:w="95" w:type="dxa"/>
              <w:left w:w="110" w:type="dxa"/>
              <w:bottom w:w="95" w:type="dxa"/>
              <w:right w:w="110" w:type="dxa"/>
            </w:tcMar>
            <w:vAlign w:val="center"/>
          </w:tcPr>
          <w:p w14:paraId="31C738AC" w14:textId="77777777" w:rsidR="00487463" w:rsidRDefault="00B10A8D">
            <w:pPr>
              <w:spacing w:after="0" w:line="240" w:lineRule="auto"/>
              <w:jc w:val="center"/>
              <w:rPr>
                <w:rFonts w:hint="eastAsia"/>
              </w:rPr>
            </w:pPr>
            <w:r>
              <w:rPr>
                <w:sz w:val="18"/>
              </w:rPr>
              <w:t>Exclusions</w:t>
            </w:r>
          </w:p>
        </w:tc>
        <w:tc>
          <w:tcPr>
            <w:tcW w:w="6408" w:type="dxa"/>
            <w:shd w:val="clear" w:color="auto" w:fill="FFFFFF"/>
            <w:tcMar>
              <w:top w:w="95" w:type="dxa"/>
              <w:left w:w="110" w:type="dxa"/>
              <w:bottom w:w="95" w:type="dxa"/>
              <w:right w:w="110" w:type="dxa"/>
            </w:tcMar>
            <w:vAlign w:val="center"/>
          </w:tcPr>
          <w:p w14:paraId="42D5F6C0" w14:textId="77777777" w:rsidR="00487463" w:rsidRDefault="00B10A8D">
            <w:pPr>
              <w:spacing w:after="0" w:line="240" w:lineRule="auto"/>
              <w:rPr>
                <w:rFonts w:hint="eastAsia"/>
              </w:rPr>
            </w:pPr>
            <w:r>
              <w:rPr>
                <w:sz w:val="18"/>
              </w:rPr>
              <w:t>No human safety recommendation without governed review</w:t>
            </w:r>
          </w:p>
        </w:tc>
      </w:tr>
      <w:tr w:rsidR="00487463" w14:paraId="389BC4B6" w14:textId="77777777">
        <w:trPr>
          <w:jc w:val="center"/>
        </w:trPr>
        <w:tc>
          <w:tcPr>
            <w:tcW w:w="2880" w:type="dxa"/>
            <w:shd w:val="clear" w:color="auto" w:fill="FFFFFF"/>
            <w:tcMar>
              <w:top w:w="95" w:type="dxa"/>
              <w:left w:w="110" w:type="dxa"/>
              <w:bottom w:w="95" w:type="dxa"/>
              <w:right w:w="110" w:type="dxa"/>
            </w:tcMar>
            <w:vAlign w:val="center"/>
          </w:tcPr>
          <w:p w14:paraId="21501D57" w14:textId="77777777" w:rsidR="00487463" w:rsidRDefault="00B10A8D">
            <w:pPr>
              <w:spacing w:after="0" w:line="240" w:lineRule="auto"/>
              <w:jc w:val="center"/>
              <w:rPr>
                <w:rFonts w:hint="eastAsia"/>
              </w:rPr>
            </w:pPr>
            <w:r>
              <w:rPr>
                <w:sz w:val="18"/>
              </w:rPr>
              <w:t>Primary BitWords</w:t>
            </w:r>
          </w:p>
        </w:tc>
        <w:tc>
          <w:tcPr>
            <w:tcW w:w="6408" w:type="dxa"/>
            <w:shd w:val="clear" w:color="auto" w:fill="FFFFFF"/>
            <w:tcMar>
              <w:top w:w="95" w:type="dxa"/>
              <w:left w:w="110" w:type="dxa"/>
              <w:bottom w:w="95" w:type="dxa"/>
              <w:right w:w="110" w:type="dxa"/>
            </w:tcMar>
            <w:vAlign w:val="center"/>
          </w:tcPr>
          <w:p w14:paraId="198258F7" w14:textId="77777777" w:rsidR="00487463" w:rsidRDefault="00B10A8D">
            <w:pPr>
              <w:spacing w:after="0" w:line="240" w:lineRule="auto"/>
              <w:rPr>
                <w:rFonts w:hint="eastAsia"/>
              </w:rPr>
            </w:pPr>
            <w:r>
              <w:rPr>
                <w:sz w:val="18"/>
              </w:rPr>
              <w:t>Q-FIELD-96; RELATION-Q-64; TRANSITION-X-128</w:t>
            </w:r>
          </w:p>
        </w:tc>
      </w:tr>
      <w:tr w:rsidR="00487463" w14:paraId="2955F9D5" w14:textId="77777777">
        <w:trPr>
          <w:jc w:val="center"/>
        </w:trPr>
        <w:tc>
          <w:tcPr>
            <w:tcW w:w="2880" w:type="dxa"/>
            <w:shd w:val="clear" w:color="auto" w:fill="FFFFFF"/>
            <w:tcMar>
              <w:top w:w="95" w:type="dxa"/>
              <w:left w:w="110" w:type="dxa"/>
              <w:bottom w:w="95" w:type="dxa"/>
              <w:right w:w="110" w:type="dxa"/>
            </w:tcMar>
            <w:vAlign w:val="center"/>
          </w:tcPr>
          <w:p w14:paraId="4AD650CF" w14:textId="77777777" w:rsidR="00487463" w:rsidRDefault="00B10A8D">
            <w:pPr>
              <w:spacing w:after="0" w:line="240" w:lineRule="auto"/>
              <w:jc w:val="center"/>
              <w:rPr>
                <w:rFonts w:hint="eastAsia"/>
              </w:rPr>
            </w:pPr>
            <w:r>
              <w:rPr>
                <w:sz w:val="18"/>
              </w:rPr>
              <w:t>Evidence</w:t>
            </w:r>
          </w:p>
        </w:tc>
        <w:tc>
          <w:tcPr>
            <w:tcW w:w="6408" w:type="dxa"/>
            <w:shd w:val="clear" w:color="auto" w:fill="FFFFFF"/>
            <w:tcMar>
              <w:top w:w="95" w:type="dxa"/>
              <w:left w:w="110" w:type="dxa"/>
              <w:bottom w:w="95" w:type="dxa"/>
              <w:right w:w="110" w:type="dxa"/>
            </w:tcMar>
            <w:vAlign w:val="center"/>
          </w:tcPr>
          <w:p w14:paraId="1AE6F51C" w14:textId="77777777" w:rsidR="00487463" w:rsidRDefault="00B10A8D">
            <w:pPr>
              <w:spacing w:after="0" w:line="240" w:lineRule="auto"/>
              <w:rPr>
                <w:rFonts w:hint="eastAsia"/>
              </w:rPr>
            </w:pPr>
            <w:r>
              <w:rPr>
                <w:sz w:val="18"/>
              </w:rPr>
              <w:t>Authorized sensor and event streams</w:t>
            </w:r>
          </w:p>
        </w:tc>
      </w:tr>
      <w:tr w:rsidR="00487463" w14:paraId="702EA0BF" w14:textId="77777777">
        <w:trPr>
          <w:jc w:val="center"/>
        </w:trPr>
        <w:tc>
          <w:tcPr>
            <w:tcW w:w="2880" w:type="dxa"/>
            <w:shd w:val="clear" w:color="auto" w:fill="FFFFFF"/>
            <w:tcMar>
              <w:top w:w="95" w:type="dxa"/>
              <w:left w:w="110" w:type="dxa"/>
              <w:bottom w:w="95" w:type="dxa"/>
              <w:right w:w="110" w:type="dxa"/>
            </w:tcMar>
            <w:vAlign w:val="center"/>
          </w:tcPr>
          <w:p w14:paraId="625E1EDE" w14:textId="77777777" w:rsidR="00487463" w:rsidRDefault="00B10A8D">
            <w:pPr>
              <w:spacing w:after="0" w:line="240" w:lineRule="auto"/>
              <w:jc w:val="center"/>
              <w:rPr>
                <w:rFonts w:hint="eastAsia"/>
              </w:rPr>
            </w:pPr>
            <w:r>
              <w:rPr>
                <w:sz w:val="18"/>
              </w:rPr>
              <w:t>Prediction outputs</w:t>
            </w:r>
          </w:p>
        </w:tc>
        <w:tc>
          <w:tcPr>
            <w:tcW w:w="6408" w:type="dxa"/>
            <w:shd w:val="clear" w:color="auto" w:fill="FFFFFF"/>
            <w:tcMar>
              <w:top w:w="95" w:type="dxa"/>
              <w:left w:w="110" w:type="dxa"/>
              <w:bottom w:w="95" w:type="dxa"/>
              <w:right w:w="110" w:type="dxa"/>
            </w:tcMar>
            <w:vAlign w:val="center"/>
          </w:tcPr>
          <w:p w14:paraId="4FD31738" w14:textId="77777777" w:rsidR="00487463" w:rsidRDefault="00B10A8D">
            <w:pPr>
              <w:spacing w:after="0" w:line="240" w:lineRule="auto"/>
              <w:rPr>
                <w:rFonts w:hint="eastAsia"/>
              </w:rPr>
            </w:pPr>
            <w:r>
              <w:rPr>
                <w:sz w:val="18"/>
              </w:rPr>
              <w:t>Failure class; onset window; confidence; expected signatures</w:t>
            </w:r>
          </w:p>
        </w:tc>
      </w:tr>
      <w:tr w:rsidR="00487463" w14:paraId="319E75DF" w14:textId="77777777">
        <w:trPr>
          <w:jc w:val="center"/>
        </w:trPr>
        <w:tc>
          <w:tcPr>
            <w:tcW w:w="2880" w:type="dxa"/>
            <w:shd w:val="clear" w:color="auto" w:fill="FFFFFF"/>
            <w:tcMar>
              <w:top w:w="95" w:type="dxa"/>
              <w:left w:w="110" w:type="dxa"/>
              <w:bottom w:w="95" w:type="dxa"/>
              <w:right w:w="110" w:type="dxa"/>
            </w:tcMar>
            <w:vAlign w:val="center"/>
          </w:tcPr>
          <w:p w14:paraId="47D9C4AF" w14:textId="77777777" w:rsidR="00487463" w:rsidRDefault="00B10A8D">
            <w:pPr>
              <w:spacing w:after="0" w:line="240" w:lineRule="auto"/>
              <w:jc w:val="center"/>
              <w:rPr>
                <w:rFonts w:hint="eastAsia"/>
              </w:rPr>
            </w:pPr>
            <w:r>
              <w:rPr>
                <w:sz w:val="18"/>
              </w:rPr>
              <w:t>SOLAR</w:t>
            </w:r>
          </w:p>
        </w:tc>
        <w:tc>
          <w:tcPr>
            <w:tcW w:w="6408" w:type="dxa"/>
            <w:shd w:val="clear" w:color="auto" w:fill="FFFFFF"/>
            <w:tcMar>
              <w:top w:w="95" w:type="dxa"/>
              <w:left w:w="110" w:type="dxa"/>
              <w:bottom w:w="95" w:type="dxa"/>
              <w:right w:w="110" w:type="dxa"/>
            </w:tcMar>
            <w:vAlign w:val="center"/>
          </w:tcPr>
          <w:p w14:paraId="085B4CD0" w14:textId="77777777" w:rsidR="00487463" w:rsidRDefault="00B10A8D">
            <w:pPr>
              <w:spacing w:after="0" w:line="240" w:lineRule="auto"/>
              <w:rPr>
                <w:rFonts w:hint="eastAsia"/>
              </w:rPr>
            </w:pPr>
            <w:r>
              <w:rPr>
                <w:sz w:val="18"/>
              </w:rPr>
              <w:t>TOPOLOGY.SOLAR</w:t>
            </w:r>
          </w:p>
        </w:tc>
      </w:tr>
      <w:tr w:rsidR="00487463" w14:paraId="1C11D4CF" w14:textId="77777777">
        <w:trPr>
          <w:jc w:val="center"/>
        </w:trPr>
        <w:tc>
          <w:tcPr>
            <w:tcW w:w="2880" w:type="dxa"/>
            <w:shd w:val="clear" w:color="auto" w:fill="FFFFFF"/>
            <w:tcMar>
              <w:top w:w="95" w:type="dxa"/>
              <w:left w:w="110" w:type="dxa"/>
              <w:bottom w:w="95" w:type="dxa"/>
              <w:right w:w="110" w:type="dxa"/>
            </w:tcMar>
            <w:vAlign w:val="center"/>
          </w:tcPr>
          <w:p w14:paraId="271CA93B" w14:textId="77777777" w:rsidR="00487463" w:rsidRDefault="00B10A8D">
            <w:pPr>
              <w:spacing w:after="0" w:line="240" w:lineRule="auto"/>
              <w:jc w:val="center"/>
              <w:rPr>
                <w:rFonts w:hint="eastAsia"/>
              </w:rPr>
            </w:pPr>
            <w:r>
              <w:rPr>
                <w:sz w:val="18"/>
              </w:rPr>
              <w:t>BOOTSTRAP</w:t>
            </w:r>
          </w:p>
        </w:tc>
        <w:tc>
          <w:tcPr>
            <w:tcW w:w="6408" w:type="dxa"/>
            <w:shd w:val="clear" w:color="auto" w:fill="FFFFFF"/>
            <w:tcMar>
              <w:top w:w="95" w:type="dxa"/>
              <w:left w:w="110" w:type="dxa"/>
              <w:bottom w:w="95" w:type="dxa"/>
              <w:right w:w="110" w:type="dxa"/>
            </w:tcMar>
            <w:vAlign w:val="center"/>
          </w:tcPr>
          <w:p w14:paraId="1194FF46" w14:textId="77777777" w:rsidR="00487463" w:rsidRDefault="00B10A8D">
            <w:pPr>
              <w:spacing w:after="0" w:line="240" w:lineRule="auto"/>
              <w:rPr>
                <w:rFonts w:hint="eastAsia"/>
              </w:rPr>
            </w:pPr>
            <w:r>
              <w:rPr>
                <w:sz w:val="18"/>
              </w:rPr>
              <w:t>TOPOLOGY Core + Instability Fold</w:t>
            </w:r>
          </w:p>
        </w:tc>
      </w:tr>
      <w:tr w:rsidR="00487463" w14:paraId="7FDF61A3" w14:textId="77777777">
        <w:trPr>
          <w:jc w:val="center"/>
        </w:trPr>
        <w:tc>
          <w:tcPr>
            <w:tcW w:w="2880" w:type="dxa"/>
            <w:shd w:val="clear" w:color="auto" w:fill="FFFFFF"/>
            <w:tcMar>
              <w:top w:w="95" w:type="dxa"/>
              <w:left w:w="110" w:type="dxa"/>
              <w:bottom w:w="95" w:type="dxa"/>
              <w:right w:w="110" w:type="dxa"/>
            </w:tcMar>
            <w:vAlign w:val="center"/>
          </w:tcPr>
          <w:p w14:paraId="731DBB66" w14:textId="77777777" w:rsidR="00487463" w:rsidRDefault="00B10A8D">
            <w:pPr>
              <w:spacing w:after="0" w:line="240" w:lineRule="auto"/>
              <w:jc w:val="center"/>
              <w:rPr>
                <w:rFonts w:hint="eastAsia"/>
              </w:rPr>
            </w:pPr>
            <w:r>
              <w:rPr>
                <w:sz w:val="18"/>
              </w:rPr>
              <w:t>DICE status</w:t>
            </w:r>
          </w:p>
        </w:tc>
        <w:tc>
          <w:tcPr>
            <w:tcW w:w="6408" w:type="dxa"/>
            <w:shd w:val="clear" w:color="auto" w:fill="FFFFFF"/>
            <w:tcMar>
              <w:top w:w="95" w:type="dxa"/>
              <w:left w:w="110" w:type="dxa"/>
              <w:bottom w:w="95" w:type="dxa"/>
              <w:right w:w="110" w:type="dxa"/>
            </w:tcMar>
            <w:vAlign w:val="center"/>
          </w:tcPr>
          <w:p w14:paraId="56AB2CB8" w14:textId="77777777" w:rsidR="00487463" w:rsidRDefault="00B10A8D">
            <w:pPr>
              <w:spacing w:after="0" w:line="240" w:lineRule="auto"/>
              <w:rPr>
                <w:rFonts w:hint="eastAsia"/>
              </w:rPr>
            </w:pPr>
            <w:r>
              <w:rPr>
                <w:sz w:val="18"/>
              </w:rPr>
              <w:t>Specialized / high fit in distributed-failure cases</w:t>
            </w:r>
          </w:p>
        </w:tc>
      </w:tr>
      <w:tr w:rsidR="00487463" w14:paraId="258A8BF6" w14:textId="77777777">
        <w:trPr>
          <w:jc w:val="center"/>
        </w:trPr>
        <w:tc>
          <w:tcPr>
            <w:tcW w:w="2880" w:type="dxa"/>
            <w:shd w:val="clear" w:color="auto" w:fill="FFFFFF"/>
            <w:tcMar>
              <w:top w:w="95" w:type="dxa"/>
              <w:left w:w="110" w:type="dxa"/>
              <w:bottom w:w="95" w:type="dxa"/>
              <w:right w:w="110" w:type="dxa"/>
            </w:tcMar>
            <w:vAlign w:val="center"/>
          </w:tcPr>
          <w:p w14:paraId="37B19F67" w14:textId="77777777" w:rsidR="00487463" w:rsidRDefault="00B10A8D">
            <w:pPr>
              <w:spacing w:after="0" w:line="240" w:lineRule="auto"/>
              <w:jc w:val="center"/>
              <w:rPr>
                <w:rFonts w:hint="eastAsia"/>
              </w:rPr>
            </w:pPr>
            <w:r>
              <w:rPr>
                <w:sz w:val="18"/>
              </w:rPr>
              <w:t>Version</w:t>
            </w:r>
          </w:p>
        </w:tc>
        <w:tc>
          <w:tcPr>
            <w:tcW w:w="6408" w:type="dxa"/>
            <w:shd w:val="clear" w:color="auto" w:fill="FFFFFF"/>
            <w:tcMar>
              <w:top w:w="95" w:type="dxa"/>
              <w:left w:w="110" w:type="dxa"/>
              <w:bottom w:w="95" w:type="dxa"/>
              <w:right w:w="110" w:type="dxa"/>
            </w:tcMar>
            <w:vAlign w:val="center"/>
          </w:tcPr>
          <w:p w14:paraId="343D0F8E" w14:textId="77777777" w:rsidR="00487463" w:rsidRDefault="00B10A8D">
            <w:pPr>
              <w:spacing w:after="0" w:line="240" w:lineRule="auto"/>
              <w:rPr>
                <w:rFonts w:hint="eastAsia"/>
              </w:rPr>
            </w:pPr>
            <w:r>
              <w:rPr>
                <w:sz w:val="18"/>
              </w:rPr>
              <w:t>2.3</w:t>
            </w:r>
          </w:p>
        </w:tc>
      </w:tr>
    </w:tbl>
    <w:p w14:paraId="4F2819E2" w14:textId="77777777" w:rsidR="00487463" w:rsidRDefault="00487463">
      <w:pPr>
        <w:spacing w:after="0"/>
        <w:rPr>
          <w:rFonts w:hint="eastAsia"/>
        </w:rPr>
      </w:pPr>
    </w:p>
    <w:p w14:paraId="5075D1CF" w14:textId="77777777" w:rsidR="00487463" w:rsidRDefault="00B10A8D">
      <w:pPr>
        <w:pStyle w:val="Heading1"/>
      </w:pPr>
      <w:r>
        <w:t>Appendix B. Illustrative Canonical Exchange Packet</w:t>
      </w:r>
    </w:p>
    <w:tbl>
      <w:tblPr>
        <w:tblW w:w="0" w:type="auto"/>
        <w:jc w:val="center"/>
        <w:tblLayout w:type="fixed"/>
        <w:tblLook w:val="04A0" w:firstRow="1" w:lastRow="0" w:firstColumn="1" w:lastColumn="0" w:noHBand="0" w:noVBand="1"/>
      </w:tblPr>
      <w:tblGrid>
        <w:gridCol w:w="9994"/>
      </w:tblGrid>
      <w:tr w:rsidR="00487463" w14:paraId="7D99E17C" w14:textId="77777777">
        <w:trPr>
          <w:jc w:val="center"/>
        </w:trPr>
        <w:tc>
          <w:tcPr>
            <w:tcW w:w="9994" w:type="dxa"/>
            <w:tcBorders>
              <w:left w:val="single" w:sz="22" w:space="0" w:color="0F7B7D"/>
            </w:tcBorders>
            <w:shd w:val="clear" w:color="auto" w:fill="ECF7F5"/>
            <w:tcMar>
              <w:top w:w="140" w:type="dxa"/>
              <w:left w:w="180" w:type="dxa"/>
              <w:bottom w:w="140" w:type="dxa"/>
              <w:right w:w="180" w:type="dxa"/>
            </w:tcMar>
          </w:tcPr>
          <w:p w14:paraId="52FEE2D1" w14:textId="77777777" w:rsidR="00487463" w:rsidRDefault="00B10A8D">
            <w:pPr>
              <w:spacing w:after="80"/>
              <w:rPr>
                <w:rFonts w:hint="eastAsia"/>
              </w:rPr>
            </w:pPr>
            <w:r>
              <w:rPr>
                <w:b/>
                <w:color w:val="0F7B7D"/>
              </w:rPr>
              <w:t>PACKET</w:t>
            </w:r>
          </w:p>
          <w:p w14:paraId="175045FE" w14:textId="77777777" w:rsidR="00487463" w:rsidRDefault="00B10A8D">
            <w:pPr>
              <w:spacing w:after="0"/>
              <w:rPr>
                <w:rFonts w:hint="eastAsia"/>
              </w:rPr>
            </w:pPr>
            <w:r>
              <w:t>BitWord: TIME-128</w:t>
            </w:r>
            <w:r>
              <w:br/>
              <w:t>Version: 0.1</w:t>
            </w:r>
            <w:r>
              <w:br/>
              <w:t>State: 128-bit canonical payload</w:t>
            </w:r>
            <w:r>
              <w:br/>
              <w:t>Reader: omitted when already installed; otherwise resolved through authorized contract acquisition</w:t>
            </w:r>
            <w:r>
              <w:br/>
              <w:t>Display: omitted</w:t>
            </w:r>
            <w:r>
              <w:br/>
              <w:t>Human semantics: omitted unless requested</w:t>
            </w:r>
            <w:r>
              <w:br/>
            </w:r>
            <w:r>
              <w:t>Execution authority: none implied</w:t>
            </w:r>
          </w:p>
        </w:tc>
      </w:tr>
    </w:tbl>
    <w:p w14:paraId="136C4571" w14:textId="77777777" w:rsidR="00487463" w:rsidRDefault="00487463">
      <w:pPr>
        <w:spacing w:after="0"/>
        <w:rPr>
          <w:rFonts w:hint="eastAsia"/>
        </w:rPr>
      </w:pPr>
    </w:p>
    <w:p w14:paraId="3BB0A90A" w14:textId="77777777" w:rsidR="00487463" w:rsidRDefault="00B10A8D">
      <w:pPr>
        <w:rPr>
          <w:rFonts w:hint="eastAsia"/>
        </w:rPr>
      </w:pPr>
      <w:r>
        <w:t>The packet intentionally carries less information than a semantic explanation. The receiving Base reconstructs the state through local infrastructure. If the Word is unknown, the payload may remain opaque. If the Word is known but the user requests explanation, local Reader Semantics or BOSS can provide a human-facing projection without changing the state packet.</w:t>
      </w:r>
    </w:p>
    <w:p w14:paraId="0351A5D3" w14:textId="77777777" w:rsidR="00487463" w:rsidRDefault="00B10A8D">
      <w:pPr>
        <w:pStyle w:val="Heading1"/>
      </w:pPr>
      <w:r>
        <w:t>Appendix C. Illustrative Liminal Bridge Clone Contract</w:t>
      </w:r>
    </w:p>
    <w:p w14:paraId="6E53442D" w14:textId="77777777" w:rsidR="00487463" w:rsidRDefault="00B10A8D">
      <w:pPr>
        <w:spacing w:before="80" w:after="80"/>
        <w:rPr>
          <w:rFonts w:hint="eastAsia"/>
        </w:rPr>
      </w:pPr>
      <w:r>
        <w:rPr>
          <w:b/>
          <w:i/>
          <w:color w:val="4F5E6E"/>
          <w:sz w:val="19"/>
        </w:rPr>
        <w:t>Table C-1. Illustrative two-endpoint Liminal Bridge contract.</w:t>
      </w:r>
    </w:p>
    <w:tbl>
      <w:tblPr>
        <w:tblW w:w="0" w:type="auto"/>
        <w:jc w:val="center"/>
        <w:tblLayout w:type="fixed"/>
        <w:tblLook w:val="04A0" w:firstRow="1" w:lastRow="0" w:firstColumn="1" w:lastColumn="0" w:noHBand="0" w:noVBand="1"/>
      </w:tblPr>
      <w:tblGrid>
        <w:gridCol w:w="2880"/>
        <w:gridCol w:w="6408"/>
      </w:tblGrid>
      <w:tr w:rsidR="00487463" w14:paraId="1C0E4E83" w14:textId="77777777">
        <w:trPr>
          <w:jc w:val="center"/>
        </w:trPr>
        <w:tc>
          <w:tcPr>
            <w:tcW w:w="2880" w:type="dxa"/>
            <w:shd w:val="clear" w:color="auto" w:fill="17365D"/>
            <w:tcMar>
              <w:top w:w="100" w:type="dxa"/>
              <w:left w:w="120" w:type="dxa"/>
              <w:bottom w:w="100" w:type="dxa"/>
              <w:right w:w="120" w:type="dxa"/>
            </w:tcMar>
            <w:vAlign w:val="center"/>
          </w:tcPr>
          <w:p w14:paraId="0B6B58DB" w14:textId="77777777" w:rsidR="00487463" w:rsidRDefault="00B10A8D">
            <w:pPr>
              <w:jc w:val="center"/>
              <w:rPr>
                <w:rFonts w:hint="eastAsia"/>
              </w:rPr>
            </w:pPr>
            <w:r>
              <w:rPr>
                <w:b/>
                <w:color w:val="FFFFFF"/>
                <w:sz w:val="19"/>
              </w:rPr>
              <w:t>Item</w:t>
            </w:r>
          </w:p>
        </w:tc>
        <w:tc>
          <w:tcPr>
            <w:tcW w:w="6408" w:type="dxa"/>
            <w:shd w:val="clear" w:color="auto" w:fill="17365D"/>
            <w:tcMar>
              <w:top w:w="100" w:type="dxa"/>
              <w:left w:w="120" w:type="dxa"/>
              <w:bottom w:w="100" w:type="dxa"/>
              <w:right w:w="120" w:type="dxa"/>
            </w:tcMar>
            <w:vAlign w:val="center"/>
          </w:tcPr>
          <w:p w14:paraId="303C802F" w14:textId="77777777" w:rsidR="00487463" w:rsidRDefault="00B10A8D">
            <w:pPr>
              <w:jc w:val="center"/>
              <w:rPr>
                <w:rFonts w:hint="eastAsia"/>
              </w:rPr>
            </w:pPr>
            <w:r>
              <w:rPr>
                <w:b/>
                <w:color w:val="FFFFFF"/>
                <w:sz w:val="19"/>
              </w:rPr>
              <w:t>Bridge behavior</w:t>
            </w:r>
          </w:p>
        </w:tc>
      </w:tr>
      <w:tr w:rsidR="00487463" w14:paraId="6C08578A" w14:textId="77777777">
        <w:trPr>
          <w:jc w:val="center"/>
        </w:trPr>
        <w:tc>
          <w:tcPr>
            <w:tcW w:w="2880" w:type="dxa"/>
            <w:shd w:val="clear" w:color="auto" w:fill="FFFFFF"/>
            <w:tcMar>
              <w:top w:w="95" w:type="dxa"/>
              <w:left w:w="110" w:type="dxa"/>
              <w:bottom w:w="95" w:type="dxa"/>
              <w:right w:w="110" w:type="dxa"/>
            </w:tcMar>
            <w:vAlign w:val="center"/>
          </w:tcPr>
          <w:p w14:paraId="6BE6BD59" w14:textId="77777777" w:rsidR="00487463" w:rsidRDefault="00B10A8D">
            <w:pPr>
              <w:spacing w:after="0" w:line="240" w:lineRule="auto"/>
              <w:jc w:val="center"/>
              <w:rPr>
                <w:rFonts w:hint="eastAsia"/>
              </w:rPr>
            </w:pPr>
            <w:r>
              <w:rPr>
                <w:sz w:val="18"/>
              </w:rPr>
              <w:t>Endpoint A</w:t>
            </w:r>
          </w:p>
        </w:tc>
        <w:tc>
          <w:tcPr>
            <w:tcW w:w="6408" w:type="dxa"/>
            <w:shd w:val="clear" w:color="auto" w:fill="FFFFFF"/>
            <w:tcMar>
              <w:top w:w="95" w:type="dxa"/>
              <w:left w:w="110" w:type="dxa"/>
              <w:bottom w:w="95" w:type="dxa"/>
              <w:right w:w="110" w:type="dxa"/>
            </w:tcMar>
            <w:vAlign w:val="center"/>
          </w:tcPr>
          <w:p w14:paraId="0DFADD4C" w14:textId="77777777" w:rsidR="00487463" w:rsidRDefault="00B10A8D">
            <w:pPr>
              <w:spacing w:after="0" w:line="240" w:lineRule="auto"/>
              <w:rPr>
                <w:rFonts w:hint="eastAsia"/>
              </w:rPr>
            </w:pPr>
            <w:r>
              <w:rPr>
                <w:sz w:val="18"/>
              </w:rPr>
              <w:t>Base A → Z:A → Bridge</w:t>
            </w:r>
          </w:p>
        </w:tc>
      </w:tr>
      <w:tr w:rsidR="00487463" w14:paraId="3F8E94EA" w14:textId="77777777">
        <w:trPr>
          <w:jc w:val="center"/>
        </w:trPr>
        <w:tc>
          <w:tcPr>
            <w:tcW w:w="2880" w:type="dxa"/>
            <w:shd w:val="clear" w:color="auto" w:fill="FFFFFF"/>
            <w:tcMar>
              <w:top w:w="95" w:type="dxa"/>
              <w:left w:w="110" w:type="dxa"/>
              <w:bottom w:w="95" w:type="dxa"/>
              <w:right w:w="110" w:type="dxa"/>
            </w:tcMar>
            <w:vAlign w:val="center"/>
          </w:tcPr>
          <w:p w14:paraId="17134C69" w14:textId="77777777" w:rsidR="00487463" w:rsidRDefault="00B10A8D">
            <w:pPr>
              <w:spacing w:after="0" w:line="240" w:lineRule="auto"/>
              <w:jc w:val="center"/>
              <w:rPr>
                <w:rFonts w:hint="eastAsia"/>
              </w:rPr>
            </w:pPr>
            <w:r>
              <w:rPr>
                <w:sz w:val="18"/>
              </w:rPr>
              <w:t>Endpoint B</w:t>
            </w:r>
          </w:p>
        </w:tc>
        <w:tc>
          <w:tcPr>
            <w:tcW w:w="6408" w:type="dxa"/>
            <w:shd w:val="clear" w:color="auto" w:fill="FFFFFF"/>
            <w:tcMar>
              <w:top w:w="95" w:type="dxa"/>
              <w:left w:w="110" w:type="dxa"/>
              <w:bottom w:w="95" w:type="dxa"/>
              <w:right w:w="110" w:type="dxa"/>
            </w:tcMar>
            <w:vAlign w:val="center"/>
          </w:tcPr>
          <w:p w14:paraId="5A67149C" w14:textId="77777777" w:rsidR="00487463" w:rsidRDefault="00B10A8D">
            <w:pPr>
              <w:spacing w:after="0" w:line="240" w:lineRule="auto"/>
              <w:rPr>
                <w:rFonts w:hint="eastAsia"/>
              </w:rPr>
            </w:pPr>
            <w:r>
              <w:rPr>
                <w:sz w:val="18"/>
              </w:rPr>
              <w:t>Base B → Z:B → Bridge</w:t>
            </w:r>
          </w:p>
        </w:tc>
      </w:tr>
      <w:tr w:rsidR="00487463" w14:paraId="2AE6B8CA" w14:textId="77777777">
        <w:trPr>
          <w:jc w:val="center"/>
        </w:trPr>
        <w:tc>
          <w:tcPr>
            <w:tcW w:w="2880" w:type="dxa"/>
            <w:shd w:val="clear" w:color="auto" w:fill="FFFFFF"/>
            <w:tcMar>
              <w:top w:w="95" w:type="dxa"/>
              <w:left w:w="110" w:type="dxa"/>
              <w:bottom w:w="95" w:type="dxa"/>
              <w:right w:w="110" w:type="dxa"/>
            </w:tcMar>
            <w:vAlign w:val="center"/>
          </w:tcPr>
          <w:p w14:paraId="5BF3B298" w14:textId="77777777" w:rsidR="00487463" w:rsidRDefault="00B10A8D">
            <w:pPr>
              <w:spacing w:after="0" w:line="240" w:lineRule="auto"/>
              <w:jc w:val="center"/>
              <w:rPr>
                <w:rFonts w:hint="eastAsia"/>
              </w:rPr>
            </w:pPr>
            <w:r>
              <w:rPr>
                <w:sz w:val="18"/>
              </w:rPr>
              <w:t>Shared state</w:t>
            </w:r>
          </w:p>
        </w:tc>
        <w:tc>
          <w:tcPr>
            <w:tcW w:w="6408" w:type="dxa"/>
            <w:shd w:val="clear" w:color="auto" w:fill="FFFFFF"/>
            <w:tcMar>
              <w:top w:w="95" w:type="dxa"/>
              <w:left w:w="110" w:type="dxa"/>
              <w:bottom w:w="95" w:type="dxa"/>
              <w:right w:w="110" w:type="dxa"/>
            </w:tcMar>
            <w:vAlign w:val="center"/>
          </w:tcPr>
          <w:p w14:paraId="2F17460A" w14:textId="77777777" w:rsidR="00487463" w:rsidRDefault="00B10A8D">
            <w:pPr>
              <w:spacing w:after="0" w:line="240" w:lineRule="auto"/>
              <w:rPr>
                <w:rFonts w:hint="eastAsia"/>
              </w:rPr>
            </w:pPr>
            <w:r>
              <w:rPr>
                <w:sz w:val="18"/>
              </w:rPr>
              <w:t>Canonical BitWords explicitly permitted by both contracts</w:t>
            </w:r>
          </w:p>
        </w:tc>
      </w:tr>
      <w:tr w:rsidR="00487463" w14:paraId="06D3414D" w14:textId="77777777">
        <w:trPr>
          <w:jc w:val="center"/>
        </w:trPr>
        <w:tc>
          <w:tcPr>
            <w:tcW w:w="2880" w:type="dxa"/>
            <w:shd w:val="clear" w:color="auto" w:fill="FFFFFF"/>
            <w:tcMar>
              <w:top w:w="95" w:type="dxa"/>
              <w:left w:w="110" w:type="dxa"/>
              <w:bottom w:w="95" w:type="dxa"/>
              <w:right w:w="110" w:type="dxa"/>
            </w:tcMar>
            <w:vAlign w:val="center"/>
          </w:tcPr>
          <w:p w14:paraId="704BD7F9" w14:textId="77777777" w:rsidR="00487463" w:rsidRDefault="00B10A8D">
            <w:pPr>
              <w:spacing w:after="0" w:line="240" w:lineRule="auto"/>
              <w:jc w:val="center"/>
              <w:rPr>
                <w:rFonts w:hint="eastAsia"/>
              </w:rPr>
            </w:pPr>
            <w:r>
              <w:rPr>
                <w:sz w:val="18"/>
              </w:rPr>
              <w:t>Endpoint ownership</w:t>
            </w:r>
          </w:p>
        </w:tc>
        <w:tc>
          <w:tcPr>
            <w:tcW w:w="6408" w:type="dxa"/>
            <w:shd w:val="clear" w:color="auto" w:fill="FFFFFF"/>
            <w:tcMar>
              <w:top w:w="95" w:type="dxa"/>
              <w:left w:w="110" w:type="dxa"/>
              <w:bottom w:w="95" w:type="dxa"/>
              <w:right w:w="110" w:type="dxa"/>
            </w:tcMar>
            <w:vAlign w:val="center"/>
          </w:tcPr>
          <w:p w14:paraId="28A96D4F" w14:textId="77777777" w:rsidR="00487463" w:rsidRDefault="00B10A8D">
            <w:pPr>
              <w:spacing w:after="0" w:line="240" w:lineRule="auto"/>
              <w:rPr>
                <w:rFonts w:hint="eastAsia"/>
              </w:rPr>
            </w:pPr>
            <w:r>
              <w:rPr>
                <w:sz w:val="18"/>
              </w:rPr>
              <w:t>Base A and Base B remain authoritative for their local records</w:t>
            </w:r>
          </w:p>
        </w:tc>
      </w:tr>
      <w:tr w:rsidR="00487463" w14:paraId="33B50511" w14:textId="77777777">
        <w:trPr>
          <w:jc w:val="center"/>
        </w:trPr>
        <w:tc>
          <w:tcPr>
            <w:tcW w:w="2880" w:type="dxa"/>
            <w:shd w:val="clear" w:color="auto" w:fill="FFFFFF"/>
            <w:tcMar>
              <w:top w:w="95" w:type="dxa"/>
              <w:left w:w="110" w:type="dxa"/>
              <w:bottom w:w="95" w:type="dxa"/>
              <w:right w:w="110" w:type="dxa"/>
            </w:tcMar>
            <w:vAlign w:val="center"/>
          </w:tcPr>
          <w:p w14:paraId="717CD307" w14:textId="77777777" w:rsidR="00487463" w:rsidRDefault="00B10A8D">
            <w:pPr>
              <w:spacing w:after="0" w:line="240" w:lineRule="auto"/>
              <w:jc w:val="center"/>
              <w:rPr>
                <w:rFonts w:hint="eastAsia"/>
              </w:rPr>
            </w:pPr>
            <w:r>
              <w:rPr>
                <w:sz w:val="18"/>
              </w:rPr>
              <w:t>Bridge ownership</w:t>
            </w:r>
          </w:p>
        </w:tc>
        <w:tc>
          <w:tcPr>
            <w:tcW w:w="6408" w:type="dxa"/>
            <w:shd w:val="clear" w:color="auto" w:fill="FFFFFF"/>
            <w:tcMar>
              <w:top w:w="95" w:type="dxa"/>
              <w:left w:w="110" w:type="dxa"/>
              <w:bottom w:w="95" w:type="dxa"/>
              <w:right w:w="110" w:type="dxa"/>
            </w:tcMar>
            <w:vAlign w:val="center"/>
          </w:tcPr>
          <w:p w14:paraId="5CB8AC40" w14:textId="77777777" w:rsidR="00487463" w:rsidRDefault="00B10A8D">
            <w:pPr>
              <w:spacing w:after="0" w:line="240" w:lineRule="auto"/>
              <w:rPr>
                <w:rFonts w:hint="eastAsia"/>
              </w:rPr>
            </w:pPr>
            <w:r>
              <w:rPr>
                <w:sz w:val="18"/>
              </w:rPr>
              <w:t>Shared state, bridge-specific relations, observations, provenance, mappings</w:t>
            </w:r>
          </w:p>
        </w:tc>
      </w:tr>
      <w:tr w:rsidR="00487463" w14:paraId="4F4915EF" w14:textId="77777777">
        <w:trPr>
          <w:jc w:val="center"/>
        </w:trPr>
        <w:tc>
          <w:tcPr>
            <w:tcW w:w="2880" w:type="dxa"/>
            <w:shd w:val="clear" w:color="auto" w:fill="FFFFFF"/>
            <w:tcMar>
              <w:top w:w="95" w:type="dxa"/>
              <w:left w:w="110" w:type="dxa"/>
              <w:bottom w:w="95" w:type="dxa"/>
              <w:right w:w="110" w:type="dxa"/>
            </w:tcMar>
            <w:vAlign w:val="center"/>
          </w:tcPr>
          <w:p w14:paraId="429033A5" w14:textId="77777777" w:rsidR="00487463" w:rsidRDefault="00B10A8D">
            <w:pPr>
              <w:spacing w:after="0" w:line="240" w:lineRule="auto"/>
              <w:jc w:val="center"/>
              <w:rPr>
                <w:rFonts w:hint="eastAsia"/>
              </w:rPr>
            </w:pPr>
            <w:r>
              <w:rPr>
                <w:sz w:val="18"/>
              </w:rPr>
              <w:t>Direct A↔B links</w:t>
            </w:r>
          </w:p>
        </w:tc>
        <w:tc>
          <w:tcPr>
            <w:tcW w:w="6408" w:type="dxa"/>
            <w:shd w:val="clear" w:color="auto" w:fill="FFFFFF"/>
            <w:tcMar>
              <w:top w:w="95" w:type="dxa"/>
              <w:left w:w="110" w:type="dxa"/>
              <w:bottom w:w="95" w:type="dxa"/>
              <w:right w:w="110" w:type="dxa"/>
            </w:tcMar>
            <w:vAlign w:val="center"/>
          </w:tcPr>
          <w:p w14:paraId="311A0BF2" w14:textId="77777777" w:rsidR="00487463" w:rsidRDefault="00B10A8D">
            <w:pPr>
              <w:spacing w:after="0" w:line="240" w:lineRule="auto"/>
              <w:rPr>
                <w:rFonts w:hint="eastAsia"/>
              </w:rPr>
            </w:pPr>
            <w:r>
              <w:rPr>
                <w:sz w:val="18"/>
              </w:rPr>
              <w:t>Forbidden unless explicitly governed outside this pattern</w:t>
            </w:r>
          </w:p>
        </w:tc>
      </w:tr>
      <w:tr w:rsidR="00487463" w14:paraId="140410EC" w14:textId="77777777">
        <w:trPr>
          <w:jc w:val="center"/>
        </w:trPr>
        <w:tc>
          <w:tcPr>
            <w:tcW w:w="2880" w:type="dxa"/>
            <w:shd w:val="clear" w:color="auto" w:fill="FFFFFF"/>
            <w:tcMar>
              <w:top w:w="95" w:type="dxa"/>
              <w:left w:w="110" w:type="dxa"/>
              <w:bottom w:w="95" w:type="dxa"/>
              <w:right w:w="110" w:type="dxa"/>
            </w:tcMar>
            <w:vAlign w:val="center"/>
          </w:tcPr>
          <w:p w14:paraId="41DB558E" w14:textId="77777777" w:rsidR="00487463" w:rsidRDefault="00B10A8D">
            <w:pPr>
              <w:spacing w:after="0" w:line="240" w:lineRule="auto"/>
              <w:jc w:val="center"/>
              <w:rPr>
                <w:rFonts w:hint="eastAsia"/>
              </w:rPr>
            </w:pPr>
            <w:r>
              <w:rPr>
                <w:sz w:val="18"/>
              </w:rPr>
              <w:t>Unknown Word</w:t>
            </w:r>
          </w:p>
        </w:tc>
        <w:tc>
          <w:tcPr>
            <w:tcW w:w="6408" w:type="dxa"/>
            <w:shd w:val="clear" w:color="auto" w:fill="FFFFFF"/>
            <w:tcMar>
              <w:top w:w="95" w:type="dxa"/>
              <w:left w:w="110" w:type="dxa"/>
              <w:bottom w:w="95" w:type="dxa"/>
              <w:right w:w="110" w:type="dxa"/>
            </w:tcMar>
            <w:vAlign w:val="center"/>
          </w:tcPr>
          <w:p w14:paraId="166DF95D" w14:textId="77777777" w:rsidR="00487463" w:rsidRDefault="00B10A8D">
            <w:pPr>
              <w:spacing w:after="0" w:line="240" w:lineRule="auto"/>
              <w:rPr>
                <w:rFonts w:hint="eastAsia"/>
              </w:rPr>
            </w:pPr>
            <w:r>
              <w:rPr>
                <w:sz w:val="18"/>
              </w:rPr>
              <w:t>Preserve opaque or acquire authorized Reader</w:t>
            </w:r>
          </w:p>
        </w:tc>
      </w:tr>
      <w:tr w:rsidR="00487463" w14:paraId="4D38591D" w14:textId="77777777">
        <w:trPr>
          <w:jc w:val="center"/>
        </w:trPr>
        <w:tc>
          <w:tcPr>
            <w:tcW w:w="2880" w:type="dxa"/>
            <w:shd w:val="clear" w:color="auto" w:fill="FFFFFF"/>
            <w:tcMar>
              <w:top w:w="95" w:type="dxa"/>
              <w:left w:w="110" w:type="dxa"/>
              <w:bottom w:w="95" w:type="dxa"/>
              <w:right w:w="110" w:type="dxa"/>
            </w:tcMar>
            <w:vAlign w:val="center"/>
          </w:tcPr>
          <w:p w14:paraId="7B09E0AF" w14:textId="77777777" w:rsidR="00487463" w:rsidRDefault="00B10A8D">
            <w:pPr>
              <w:spacing w:after="0" w:line="240" w:lineRule="auto"/>
              <w:jc w:val="center"/>
              <w:rPr>
                <w:rFonts w:hint="eastAsia"/>
              </w:rPr>
            </w:pPr>
            <w:r>
              <w:rPr>
                <w:sz w:val="18"/>
              </w:rPr>
              <w:t>Diverged identity</w:t>
            </w:r>
          </w:p>
        </w:tc>
        <w:tc>
          <w:tcPr>
            <w:tcW w:w="6408" w:type="dxa"/>
            <w:shd w:val="clear" w:color="auto" w:fill="FFFFFF"/>
            <w:tcMar>
              <w:top w:w="95" w:type="dxa"/>
              <w:left w:w="110" w:type="dxa"/>
              <w:bottom w:w="95" w:type="dxa"/>
              <w:right w:w="110" w:type="dxa"/>
            </w:tcMar>
            <w:vAlign w:val="center"/>
          </w:tcPr>
          <w:p w14:paraId="44FD8732" w14:textId="77777777" w:rsidR="00487463" w:rsidRDefault="00B10A8D">
            <w:pPr>
              <w:spacing w:after="0" w:line="240" w:lineRule="auto"/>
              <w:rPr>
                <w:rFonts w:hint="eastAsia"/>
              </w:rPr>
            </w:pPr>
            <w:r>
              <w:rPr>
                <w:sz w:val="18"/>
              </w:rPr>
              <w:t>Invoke BOSS mapping / correspondence only where needed</w:t>
            </w:r>
          </w:p>
        </w:tc>
      </w:tr>
      <w:tr w:rsidR="00487463" w14:paraId="581997DA" w14:textId="77777777">
        <w:trPr>
          <w:jc w:val="center"/>
        </w:trPr>
        <w:tc>
          <w:tcPr>
            <w:tcW w:w="2880" w:type="dxa"/>
            <w:shd w:val="clear" w:color="auto" w:fill="FFFFFF"/>
            <w:tcMar>
              <w:top w:w="95" w:type="dxa"/>
              <w:left w:w="110" w:type="dxa"/>
              <w:bottom w:w="95" w:type="dxa"/>
              <w:right w:w="110" w:type="dxa"/>
            </w:tcMar>
            <w:vAlign w:val="center"/>
          </w:tcPr>
          <w:p w14:paraId="05BF801C" w14:textId="77777777" w:rsidR="00487463" w:rsidRDefault="00B10A8D">
            <w:pPr>
              <w:spacing w:after="0" w:line="240" w:lineRule="auto"/>
              <w:jc w:val="center"/>
              <w:rPr>
                <w:rFonts w:hint="eastAsia"/>
              </w:rPr>
            </w:pPr>
            <w:r>
              <w:rPr>
                <w:sz w:val="18"/>
              </w:rPr>
              <w:t>Service diagnostics</w:t>
            </w:r>
          </w:p>
        </w:tc>
        <w:tc>
          <w:tcPr>
            <w:tcW w:w="6408" w:type="dxa"/>
            <w:shd w:val="clear" w:color="auto" w:fill="FFFFFF"/>
            <w:tcMar>
              <w:top w:w="95" w:type="dxa"/>
              <w:left w:w="110" w:type="dxa"/>
              <w:bottom w:w="95" w:type="dxa"/>
              <w:right w:w="110" w:type="dxa"/>
            </w:tcMar>
            <w:vAlign w:val="center"/>
          </w:tcPr>
          <w:p w14:paraId="1EA26C18" w14:textId="77777777" w:rsidR="00487463" w:rsidRDefault="00B10A8D">
            <w:pPr>
              <w:spacing w:after="0" w:line="240" w:lineRule="auto"/>
              <w:rPr>
                <w:rFonts w:hint="eastAsia"/>
              </w:rPr>
            </w:pPr>
            <w:r>
              <w:rPr>
                <w:sz w:val="18"/>
              </w:rPr>
              <w:t>Validate endpoint contracts, cardinality, containment, orphans, and version compatibility</w:t>
            </w:r>
          </w:p>
        </w:tc>
      </w:tr>
    </w:tbl>
    <w:p w14:paraId="68E37CCE" w14:textId="77777777" w:rsidR="00487463" w:rsidRDefault="00487463">
      <w:pPr>
        <w:spacing w:after="0"/>
        <w:rPr>
          <w:rFonts w:hint="eastAsia"/>
        </w:rPr>
      </w:pPr>
    </w:p>
    <w:p w14:paraId="7A37D947" w14:textId="77777777" w:rsidR="00487463" w:rsidRDefault="00B10A8D">
      <w:pPr>
        <w:pStyle w:val="Heading1"/>
      </w:pPr>
      <w:r>
        <w:t>Appendix D. DICE Case Minimum</w:t>
      </w:r>
    </w:p>
    <w:p w14:paraId="4B976EF4" w14:textId="77777777" w:rsidR="00487463" w:rsidRDefault="00B10A8D">
      <w:pPr>
        <w:spacing w:before="80" w:after="80"/>
        <w:rPr>
          <w:rFonts w:hint="eastAsia"/>
        </w:rPr>
      </w:pPr>
      <w:r>
        <w:rPr>
          <w:b/>
          <w:i/>
          <w:color w:val="4F5E6E"/>
          <w:sz w:val="19"/>
        </w:rPr>
        <w:t>Table D-1. Minimum DICE case contract.</w:t>
      </w:r>
    </w:p>
    <w:tbl>
      <w:tblPr>
        <w:tblW w:w="0" w:type="auto"/>
        <w:jc w:val="center"/>
        <w:tblLayout w:type="fixed"/>
        <w:tblLook w:val="04A0" w:firstRow="1" w:lastRow="0" w:firstColumn="1" w:lastColumn="0" w:noHBand="0" w:noVBand="1"/>
      </w:tblPr>
      <w:tblGrid>
        <w:gridCol w:w="2880"/>
        <w:gridCol w:w="6408"/>
      </w:tblGrid>
      <w:tr w:rsidR="00487463" w14:paraId="092B3F4E" w14:textId="77777777">
        <w:trPr>
          <w:jc w:val="center"/>
        </w:trPr>
        <w:tc>
          <w:tcPr>
            <w:tcW w:w="2880" w:type="dxa"/>
            <w:shd w:val="clear" w:color="auto" w:fill="17365D"/>
            <w:tcMar>
              <w:top w:w="100" w:type="dxa"/>
              <w:left w:w="120" w:type="dxa"/>
              <w:bottom w:w="100" w:type="dxa"/>
              <w:right w:w="120" w:type="dxa"/>
            </w:tcMar>
            <w:vAlign w:val="center"/>
          </w:tcPr>
          <w:p w14:paraId="0B8871B7" w14:textId="77777777" w:rsidR="00487463" w:rsidRDefault="00B10A8D">
            <w:pPr>
              <w:jc w:val="center"/>
              <w:rPr>
                <w:rFonts w:hint="eastAsia"/>
              </w:rPr>
            </w:pPr>
            <w:r>
              <w:rPr>
                <w:b/>
                <w:color w:val="FFFFFF"/>
                <w:sz w:val="19"/>
              </w:rPr>
              <w:t>Field</w:t>
            </w:r>
          </w:p>
        </w:tc>
        <w:tc>
          <w:tcPr>
            <w:tcW w:w="6408" w:type="dxa"/>
            <w:shd w:val="clear" w:color="auto" w:fill="17365D"/>
            <w:tcMar>
              <w:top w:w="100" w:type="dxa"/>
              <w:left w:w="120" w:type="dxa"/>
              <w:bottom w:w="100" w:type="dxa"/>
              <w:right w:w="120" w:type="dxa"/>
            </w:tcMar>
            <w:vAlign w:val="center"/>
          </w:tcPr>
          <w:p w14:paraId="0C7F429D" w14:textId="77777777" w:rsidR="00487463" w:rsidRDefault="00B10A8D">
            <w:pPr>
              <w:jc w:val="center"/>
              <w:rPr>
                <w:rFonts w:hint="eastAsia"/>
              </w:rPr>
            </w:pPr>
            <w:r>
              <w:rPr>
                <w:b/>
                <w:color w:val="FFFFFF"/>
                <w:sz w:val="19"/>
              </w:rPr>
              <w:t>Required content</w:t>
            </w:r>
          </w:p>
        </w:tc>
      </w:tr>
      <w:tr w:rsidR="00487463" w14:paraId="0BF1B75C" w14:textId="77777777">
        <w:trPr>
          <w:jc w:val="center"/>
        </w:trPr>
        <w:tc>
          <w:tcPr>
            <w:tcW w:w="2880" w:type="dxa"/>
            <w:shd w:val="clear" w:color="auto" w:fill="FFFFFF"/>
            <w:tcMar>
              <w:top w:w="95" w:type="dxa"/>
              <w:left w:w="110" w:type="dxa"/>
              <w:bottom w:w="95" w:type="dxa"/>
              <w:right w:w="110" w:type="dxa"/>
            </w:tcMar>
            <w:vAlign w:val="center"/>
          </w:tcPr>
          <w:p w14:paraId="5B2844A3" w14:textId="77777777" w:rsidR="00487463" w:rsidRDefault="00B10A8D">
            <w:pPr>
              <w:spacing w:after="0" w:line="240" w:lineRule="auto"/>
              <w:jc w:val="center"/>
              <w:rPr>
                <w:rFonts w:hint="eastAsia"/>
              </w:rPr>
            </w:pPr>
            <w:r>
              <w:rPr>
                <w:sz w:val="18"/>
              </w:rPr>
              <w:t>Case identity</w:t>
            </w:r>
          </w:p>
        </w:tc>
        <w:tc>
          <w:tcPr>
            <w:tcW w:w="6408" w:type="dxa"/>
            <w:shd w:val="clear" w:color="auto" w:fill="FFFFFF"/>
            <w:tcMar>
              <w:top w:w="95" w:type="dxa"/>
              <w:left w:w="110" w:type="dxa"/>
              <w:bottom w:w="95" w:type="dxa"/>
              <w:right w:w="110" w:type="dxa"/>
            </w:tcMar>
            <w:vAlign w:val="center"/>
          </w:tcPr>
          <w:p w14:paraId="32DE0EFC" w14:textId="77777777" w:rsidR="00487463" w:rsidRDefault="00B10A8D">
            <w:pPr>
              <w:spacing w:after="0" w:line="240" w:lineRule="auto"/>
              <w:rPr>
                <w:rFonts w:hint="eastAsia"/>
              </w:rPr>
            </w:pPr>
            <w:r>
              <w:rPr>
                <w:sz w:val="18"/>
              </w:rPr>
              <w:t>Stable Case ID and version</w:t>
            </w:r>
          </w:p>
        </w:tc>
      </w:tr>
      <w:tr w:rsidR="00487463" w14:paraId="1370AF49" w14:textId="77777777">
        <w:trPr>
          <w:jc w:val="center"/>
        </w:trPr>
        <w:tc>
          <w:tcPr>
            <w:tcW w:w="2880" w:type="dxa"/>
            <w:shd w:val="clear" w:color="auto" w:fill="FFFFFF"/>
            <w:tcMar>
              <w:top w:w="95" w:type="dxa"/>
              <w:left w:w="110" w:type="dxa"/>
              <w:bottom w:w="95" w:type="dxa"/>
              <w:right w:w="110" w:type="dxa"/>
            </w:tcMar>
            <w:vAlign w:val="center"/>
          </w:tcPr>
          <w:p w14:paraId="531407C8" w14:textId="77777777" w:rsidR="00487463" w:rsidRDefault="00B10A8D">
            <w:pPr>
              <w:spacing w:after="0" w:line="240" w:lineRule="auto"/>
              <w:jc w:val="center"/>
              <w:rPr>
                <w:rFonts w:hint="eastAsia"/>
              </w:rPr>
            </w:pPr>
            <w:r>
              <w:rPr>
                <w:sz w:val="18"/>
              </w:rPr>
              <w:t>Question</w:t>
            </w:r>
          </w:p>
        </w:tc>
        <w:tc>
          <w:tcPr>
            <w:tcW w:w="6408" w:type="dxa"/>
            <w:shd w:val="clear" w:color="auto" w:fill="FFFFFF"/>
            <w:tcMar>
              <w:top w:w="95" w:type="dxa"/>
              <w:left w:w="110" w:type="dxa"/>
              <w:bottom w:w="95" w:type="dxa"/>
              <w:right w:w="110" w:type="dxa"/>
            </w:tcMar>
            <w:vAlign w:val="center"/>
          </w:tcPr>
          <w:p w14:paraId="427B68CF" w14:textId="77777777" w:rsidR="00487463" w:rsidRDefault="00B10A8D">
            <w:pPr>
              <w:spacing w:after="0" w:line="240" w:lineRule="auto"/>
              <w:rPr>
                <w:rFonts w:hint="eastAsia"/>
              </w:rPr>
            </w:pPr>
            <w:r>
              <w:rPr>
                <w:sz w:val="18"/>
              </w:rPr>
              <w:t>Bounded problem statement</w:t>
            </w:r>
          </w:p>
        </w:tc>
      </w:tr>
      <w:tr w:rsidR="00487463" w14:paraId="49E8C519" w14:textId="77777777">
        <w:trPr>
          <w:jc w:val="center"/>
        </w:trPr>
        <w:tc>
          <w:tcPr>
            <w:tcW w:w="2880" w:type="dxa"/>
            <w:shd w:val="clear" w:color="auto" w:fill="FFFFFF"/>
            <w:tcMar>
              <w:top w:w="95" w:type="dxa"/>
              <w:left w:w="110" w:type="dxa"/>
              <w:bottom w:w="95" w:type="dxa"/>
              <w:right w:w="110" w:type="dxa"/>
            </w:tcMar>
            <w:vAlign w:val="center"/>
          </w:tcPr>
          <w:p w14:paraId="65012E14" w14:textId="77777777" w:rsidR="00487463" w:rsidRDefault="00B10A8D">
            <w:pPr>
              <w:spacing w:after="0" w:line="240" w:lineRule="auto"/>
              <w:jc w:val="center"/>
              <w:rPr>
                <w:rFonts w:hint="eastAsia"/>
              </w:rPr>
            </w:pPr>
            <w:r>
              <w:rPr>
                <w:sz w:val="18"/>
              </w:rPr>
              <w:t>Authorized evidence</w:t>
            </w:r>
          </w:p>
        </w:tc>
        <w:tc>
          <w:tcPr>
            <w:tcW w:w="6408" w:type="dxa"/>
            <w:shd w:val="clear" w:color="auto" w:fill="FFFFFF"/>
            <w:tcMar>
              <w:top w:w="95" w:type="dxa"/>
              <w:left w:w="110" w:type="dxa"/>
              <w:bottom w:w="95" w:type="dxa"/>
              <w:right w:w="110" w:type="dxa"/>
            </w:tcMar>
            <w:vAlign w:val="center"/>
          </w:tcPr>
          <w:p w14:paraId="795195B2" w14:textId="77777777" w:rsidR="00487463" w:rsidRDefault="00B10A8D">
            <w:pPr>
              <w:spacing w:after="0" w:line="240" w:lineRule="auto"/>
              <w:rPr>
                <w:rFonts w:hint="eastAsia"/>
              </w:rPr>
            </w:pPr>
            <w:r>
              <w:rPr>
                <w:sz w:val="18"/>
              </w:rPr>
              <w:t>Exact records, sensors, observations, or sources</w:t>
            </w:r>
          </w:p>
        </w:tc>
      </w:tr>
      <w:tr w:rsidR="00487463" w14:paraId="3CA80937" w14:textId="77777777">
        <w:trPr>
          <w:jc w:val="center"/>
        </w:trPr>
        <w:tc>
          <w:tcPr>
            <w:tcW w:w="2880" w:type="dxa"/>
            <w:shd w:val="clear" w:color="auto" w:fill="FFFFFF"/>
            <w:tcMar>
              <w:top w:w="95" w:type="dxa"/>
              <w:left w:w="110" w:type="dxa"/>
              <w:bottom w:w="95" w:type="dxa"/>
              <w:right w:w="110" w:type="dxa"/>
            </w:tcMar>
            <w:vAlign w:val="center"/>
          </w:tcPr>
          <w:p w14:paraId="01DE3E75" w14:textId="77777777" w:rsidR="00487463" w:rsidRDefault="00B10A8D">
            <w:pPr>
              <w:spacing w:after="0" w:line="240" w:lineRule="auto"/>
              <w:jc w:val="center"/>
              <w:rPr>
                <w:rFonts w:hint="eastAsia"/>
              </w:rPr>
            </w:pPr>
            <w:r>
              <w:rPr>
                <w:sz w:val="18"/>
              </w:rPr>
              <w:t>Participating PIECEs</w:t>
            </w:r>
          </w:p>
        </w:tc>
        <w:tc>
          <w:tcPr>
            <w:tcW w:w="6408" w:type="dxa"/>
            <w:shd w:val="clear" w:color="auto" w:fill="FFFFFF"/>
            <w:tcMar>
              <w:top w:w="95" w:type="dxa"/>
              <w:left w:w="110" w:type="dxa"/>
              <w:bottom w:w="95" w:type="dxa"/>
              <w:right w:w="110" w:type="dxa"/>
            </w:tcMar>
            <w:vAlign w:val="center"/>
          </w:tcPr>
          <w:p w14:paraId="460EB0F9" w14:textId="77777777" w:rsidR="00487463" w:rsidRDefault="00B10A8D">
            <w:pPr>
              <w:spacing w:after="0" w:line="240" w:lineRule="auto"/>
              <w:rPr>
                <w:rFonts w:hint="eastAsia"/>
              </w:rPr>
            </w:pPr>
            <w:r>
              <w:rPr>
                <w:sz w:val="18"/>
              </w:rPr>
              <w:t>Pinned identities and versions</w:t>
            </w:r>
          </w:p>
        </w:tc>
      </w:tr>
      <w:tr w:rsidR="00487463" w14:paraId="651EAD49" w14:textId="77777777">
        <w:trPr>
          <w:jc w:val="center"/>
        </w:trPr>
        <w:tc>
          <w:tcPr>
            <w:tcW w:w="2880" w:type="dxa"/>
            <w:shd w:val="clear" w:color="auto" w:fill="FFFFFF"/>
            <w:tcMar>
              <w:top w:w="95" w:type="dxa"/>
              <w:left w:w="110" w:type="dxa"/>
              <w:bottom w:w="95" w:type="dxa"/>
              <w:right w:w="110" w:type="dxa"/>
            </w:tcMar>
            <w:vAlign w:val="center"/>
          </w:tcPr>
          <w:p w14:paraId="15765BC6" w14:textId="77777777" w:rsidR="00487463" w:rsidRDefault="00B10A8D">
            <w:pPr>
              <w:spacing w:after="0" w:line="240" w:lineRule="auto"/>
              <w:jc w:val="center"/>
              <w:rPr>
                <w:rFonts w:hint="eastAsia"/>
              </w:rPr>
            </w:pPr>
            <w:r>
              <w:rPr>
                <w:sz w:val="18"/>
              </w:rPr>
              <w:t>Hidden / delayed outcomes</w:t>
            </w:r>
          </w:p>
        </w:tc>
        <w:tc>
          <w:tcPr>
            <w:tcW w:w="6408" w:type="dxa"/>
            <w:shd w:val="clear" w:color="auto" w:fill="FFFFFF"/>
            <w:tcMar>
              <w:top w:w="95" w:type="dxa"/>
              <w:left w:w="110" w:type="dxa"/>
              <w:bottom w:w="95" w:type="dxa"/>
              <w:right w:w="110" w:type="dxa"/>
            </w:tcMar>
            <w:vAlign w:val="center"/>
          </w:tcPr>
          <w:p w14:paraId="78AB77C5" w14:textId="77777777" w:rsidR="00487463" w:rsidRDefault="00B10A8D">
            <w:pPr>
              <w:spacing w:after="0" w:line="240" w:lineRule="auto"/>
              <w:rPr>
                <w:rFonts w:hint="eastAsia"/>
              </w:rPr>
            </w:pPr>
            <w:r>
              <w:rPr>
                <w:sz w:val="18"/>
              </w:rPr>
              <w:t>Protected evaluation state where applicable</w:t>
            </w:r>
          </w:p>
        </w:tc>
      </w:tr>
      <w:tr w:rsidR="00487463" w14:paraId="0984DC9F" w14:textId="77777777">
        <w:trPr>
          <w:jc w:val="center"/>
        </w:trPr>
        <w:tc>
          <w:tcPr>
            <w:tcW w:w="2880" w:type="dxa"/>
            <w:shd w:val="clear" w:color="auto" w:fill="FFFFFF"/>
            <w:tcMar>
              <w:top w:w="95" w:type="dxa"/>
              <w:left w:w="110" w:type="dxa"/>
              <w:bottom w:w="95" w:type="dxa"/>
              <w:right w:w="110" w:type="dxa"/>
            </w:tcMar>
            <w:vAlign w:val="center"/>
          </w:tcPr>
          <w:p w14:paraId="64EAB8F0" w14:textId="77777777" w:rsidR="00487463" w:rsidRDefault="00B10A8D">
            <w:pPr>
              <w:spacing w:after="0" w:line="240" w:lineRule="auto"/>
              <w:jc w:val="center"/>
              <w:rPr>
                <w:rFonts w:hint="eastAsia"/>
              </w:rPr>
            </w:pPr>
            <w:r>
              <w:rPr>
                <w:sz w:val="18"/>
              </w:rPr>
              <w:t>Prediction contract</w:t>
            </w:r>
          </w:p>
        </w:tc>
        <w:tc>
          <w:tcPr>
            <w:tcW w:w="6408" w:type="dxa"/>
            <w:shd w:val="clear" w:color="auto" w:fill="FFFFFF"/>
            <w:tcMar>
              <w:top w:w="95" w:type="dxa"/>
              <w:left w:w="110" w:type="dxa"/>
              <w:bottom w:w="95" w:type="dxa"/>
              <w:right w:w="110" w:type="dxa"/>
            </w:tcMar>
            <w:vAlign w:val="center"/>
          </w:tcPr>
          <w:p w14:paraId="1BC5ACDA" w14:textId="77777777" w:rsidR="00487463" w:rsidRDefault="00B10A8D">
            <w:pPr>
              <w:spacing w:after="0" w:line="240" w:lineRule="auto"/>
              <w:rPr>
                <w:rFonts w:hint="eastAsia"/>
              </w:rPr>
            </w:pPr>
            <w:r>
              <w:rPr>
                <w:sz w:val="18"/>
              </w:rPr>
              <w:t>Outcome, timing, confidence, signatures, falsifiers</w:t>
            </w:r>
          </w:p>
        </w:tc>
      </w:tr>
      <w:tr w:rsidR="00487463" w14:paraId="7220063B" w14:textId="77777777">
        <w:trPr>
          <w:jc w:val="center"/>
        </w:trPr>
        <w:tc>
          <w:tcPr>
            <w:tcW w:w="2880" w:type="dxa"/>
            <w:shd w:val="clear" w:color="auto" w:fill="FFFFFF"/>
            <w:tcMar>
              <w:top w:w="95" w:type="dxa"/>
              <w:left w:w="110" w:type="dxa"/>
              <w:bottom w:w="95" w:type="dxa"/>
              <w:right w:w="110" w:type="dxa"/>
            </w:tcMar>
            <w:vAlign w:val="center"/>
          </w:tcPr>
          <w:p w14:paraId="491086CB" w14:textId="77777777" w:rsidR="00487463" w:rsidRDefault="00B10A8D">
            <w:pPr>
              <w:spacing w:after="0" w:line="240" w:lineRule="auto"/>
              <w:jc w:val="center"/>
              <w:rPr>
                <w:rFonts w:hint="eastAsia"/>
              </w:rPr>
            </w:pPr>
            <w:r>
              <w:rPr>
                <w:sz w:val="18"/>
              </w:rPr>
              <w:t>Interventions</w:t>
            </w:r>
          </w:p>
        </w:tc>
        <w:tc>
          <w:tcPr>
            <w:tcW w:w="6408" w:type="dxa"/>
            <w:shd w:val="clear" w:color="auto" w:fill="FFFFFF"/>
            <w:tcMar>
              <w:top w:w="95" w:type="dxa"/>
              <w:left w:w="110" w:type="dxa"/>
              <w:bottom w:w="95" w:type="dxa"/>
              <w:right w:w="110" w:type="dxa"/>
            </w:tcMar>
            <w:vAlign w:val="center"/>
          </w:tcPr>
          <w:p w14:paraId="1A0FFB15" w14:textId="77777777" w:rsidR="00487463" w:rsidRDefault="00B10A8D">
            <w:pPr>
              <w:spacing w:after="0" w:line="240" w:lineRule="auto"/>
              <w:rPr>
                <w:rFonts w:hint="eastAsia"/>
              </w:rPr>
            </w:pPr>
            <w:r>
              <w:rPr>
                <w:sz w:val="18"/>
              </w:rPr>
              <w:t>Permitted variable changes or simulated actions</w:t>
            </w:r>
          </w:p>
        </w:tc>
      </w:tr>
      <w:tr w:rsidR="00487463" w14:paraId="36F286EE" w14:textId="77777777">
        <w:trPr>
          <w:jc w:val="center"/>
        </w:trPr>
        <w:tc>
          <w:tcPr>
            <w:tcW w:w="2880" w:type="dxa"/>
            <w:shd w:val="clear" w:color="auto" w:fill="FFFFFF"/>
            <w:tcMar>
              <w:top w:w="95" w:type="dxa"/>
              <w:left w:w="110" w:type="dxa"/>
              <w:bottom w:w="95" w:type="dxa"/>
              <w:right w:w="110" w:type="dxa"/>
            </w:tcMar>
            <w:vAlign w:val="center"/>
          </w:tcPr>
          <w:p w14:paraId="519BE8B6" w14:textId="77777777" w:rsidR="00487463" w:rsidRDefault="00B10A8D">
            <w:pPr>
              <w:spacing w:after="0" w:line="240" w:lineRule="auto"/>
              <w:jc w:val="center"/>
              <w:rPr>
                <w:rFonts w:hint="eastAsia"/>
              </w:rPr>
            </w:pPr>
            <w:r>
              <w:rPr>
                <w:sz w:val="18"/>
              </w:rPr>
              <w:t>Evaluation horizon</w:t>
            </w:r>
          </w:p>
        </w:tc>
        <w:tc>
          <w:tcPr>
            <w:tcW w:w="6408" w:type="dxa"/>
            <w:shd w:val="clear" w:color="auto" w:fill="FFFFFF"/>
            <w:tcMar>
              <w:top w:w="95" w:type="dxa"/>
              <w:left w:w="110" w:type="dxa"/>
              <w:bottom w:w="95" w:type="dxa"/>
              <w:right w:w="110" w:type="dxa"/>
            </w:tcMar>
            <w:vAlign w:val="center"/>
          </w:tcPr>
          <w:p w14:paraId="653B81E1" w14:textId="77777777" w:rsidR="00487463" w:rsidRDefault="00B10A8D">
            <w:pPr>
              <w:spacing w:after="0" w:line="240" w:lineRule="auto"/>
              <w:rPr>
                <w:rFonts w:hint="eastAsia"/>
              </w:rPr>
            </w:pPr>
            <w:r>
              <w:rPr>
                <w:sz w:val="18"/>
              </w:rPr>
              <w:t>When scoring occurs</w:t>
            </w:r>
          </w:p>
        </w:tc>
      </w:tr>
      <w:tr w:rsidR="00487463" w14:paraId="132AD665" w14:textId="77777777">
        <w:trPr>
          <w:jc w:val="center"/>
        </w:trPr>
        <w:tc>
          <w:tcPr>
            <w:tcW w:w="2880" w:type="dxa"/>
            <w:shd w:val="clear" w:color="auto" w:fill="FFFFFF"/>
            <w:tcMar>
              <w:top w:w="95" w:type="dxa"/>
              <w:left w:w="110" w:type="dxa"/>
              <w:bottom w:w="95" w:type="dxa"/>
              <w:right w:w="110" w:type="dxa"/>
            </w:tcMar>
            <w:vAlign w:val="center"/>
          </w:tcPr>
          <w:p w14:paraId="112F2B69" w14:textId="77777777" w:rsidR="00487463" w:rsidRDefault="00B10A8D">
            <w:pPr>
              <w:spacing w:after="0" w:line="240" w:lineRule="auto"/>
              <w:jc w:val="center"/>
              <w:rPr>
                <w:rFonts w:hint="eastAsia"/>
              </w:rPr>
            </w:pPr>
            <w:r>
              <w:rPr>
                <w:sz w:val="18"/>
              </w:rPr>
              <w:t>Metrics</w:t>
            </w:r>
          </w:p>
        </w:tc>
        <w:tc>
          <w:tcPr>
            <w:tcW w:w="6408" w:type="dxa"/>
            <w:shd w:val="clear" w:color="auto" w:fill="FFFFFF"/>
            <w:tcMar>
              <w:top w:w="95" w:type="dxa"/>
              <w:left w:w="110" w:type="dxa"/>
              <w:bottom w:w="95" w:type="dxa"/>
              <w:right w:w="110" w:type="dxa"/>
            </w:tcMar>
            <w:vAlign w:val="center"/>
          </w:tcPr>
          <w:p w14:paraId="59A1118B" w14:textId="77777777" w:rsidR="00487463" w:rsidRDefault="00B10A8D">
            <w:pPr>
              <w:spacing w:after="0" w:line="240" w:lineRule="auto"/>
              <w:rPr>
                <w:rFonts w:hint="eastAsia"/>
              </w:rPr>
            </w:pPr>
            <w:r>
              <w:rPr>
                <w:sz w:val="18"/>
              </w:rPr>
              <w:t>Defined before outcome reveal</w:t>
            </w:r>
          </w:p>
        </w:tc>
      </w:tr>
      <w:tr w:rsidR="00487463" w14:paraId="279406F9" w14:textId="77777777">
        <w:trPr>
          <w:jc w:val="center"/>
        </w:trPr>
        <w:tc>
          <w:tcPr>
            <w:tcW w:w="2880" w:type="dxa"/>
            <w:shd w:val="clear" w:color="auto" w:fill="FFFFFF"/>
            <w:tcMar>
              <w:top w:w="95" w:type="dxa"/>
              <w:left w:w="110" w:type="dxa"/>
              <w:bottom w:w="95" w:type="dxa"/>
              <w:right w:w="110" w:type="dxa"/>
            </w:tcMar>
            <w:vAlign w:val="center"/>
          </w:tcPr>
          <w:p w14:paraId="6D6F8C72" w14:textId="77777777" w:rsidR="00487463" w:rsidRDefault="00B10A8D">
            <w:pPr>
              <w:spacing w:after="0" w:line="240" w:lineRule="auto"/>
              <w:jc w:val="center"/>
              <w:rPr>
                <w:rFonts w:hint="eastAsia"/>
              </w:rPr>
            </w:pPr>
            <w:r>
              <w:rPr>
                <w:sz w:val="18"/>
              </w:rPr>
              <w:t>Structural qualification</w:t>
            </w:r>
          </w:p>
        </w:tc>
        <w:tc>
          <w:tcPr>
            <w:tcW w:w="6408" w:type="dxa"/>
            <w:shd w:val="clear" w:color="auto" w:fill="FFFFFF"/>
            <w:tcMar>
              <w:top w:w="95" w:type="dxa"/>
              <w:left w:w="110" w:type="dxa"/>
              <w:bottom w:w="95" w:type="dxa"/>
              <w:right w:w="110" w:type="dxa"/>
            </w:tcMar>
            <w:vAlign w:val="center"/>
          </w:tcPr>
          <w:p w14:paraId="6B6BF49C" w14:textId="77777777" w:rsidR="00487463" w:rsidRDefault="00B10A8D">
            <w:pPr>
              <w:spacing w:after="0" w:line="240" w:lineRule="auto"/>
              <w:rPr>
                <w:rFonts w:hint="eastAsia"/>
              </w:rPr>
            </w:pPr>
            <w:r>
              <w:rPr>
                <w:sz w:val="18"/>
              </w:rPr>
              <w:t>BASE SERVICE state / known implementation issues</w:t>
            </w:r>
          </w:p>
        </w:tc>
      </w:tr>
      <w:tr w:rsidR="00487463" w14:paraId="0F1F838C" w14:textId="77777777">
        <w:trPr>
          <w:jc w:val="center"/>
        </w:trPr>
        <w:tc>
          <w:tcPr>
            <w:tcW w:w="2880" w:type="dxa"/>
            <w:shd w:val="clear" w:color="auto" w:fill="FFFFFF"/>
            <w:tcMar>
              <w:top w:w="95" w:type="dxa"/>
              <w:left w:w="110" w:type="dxa"/>
              <w:bottom w:w="95" w:type="dxa"/>
              <w:right w:w="110" w:type="dxa"/>
            </w:tcMar>
            <w:vAlign w:val="center"/>
          </w:tcPr>
          <w:p w14:paraId="74DC537F" w14:textId="77777777" w:rsidR="00487463" w:rsidRDefault="00B10A8D">
            <w:pPr>
              <w:spacing w:after="0" w:line="240" w:lineRule="auto"/>
              <w:jc w:val="center"/>
              <w:rPr>
                <w:rFonts w:hint="eastAsia"/>
              </w:rPr>
            </w:pPr>
            <w:r>
              <w:rPr>
                <w:sz w:val="18"/>
              </w:rPr>
              <w:t>Human review</w:t>
            </w:r>
          </w:p>
        </w:tc>
        <w:tc>
          <w:tcPr>
            <w:tcW w:w="6408" w:type="dxa"/>
            <w:shd w:val="clear" w:color="auto" w:fill="FFFFFF"/>
            <w:tcMar>
              <w:top w:w="95" w:type="dxa"/>
              <w:left w:w="110" w:type="dxa"/>
              <w:bottom w:w="95" w:type="dxa"/>
              <w:right w:w="110" w:type="dxa"/>
            </w:tcMar>
            <w:vAlign w:val="center"/>
          </w:tcPr>
          <w:p w14:paraId="437C358F" w14:textId="77777777" w:rsidR="00487463" w:rsidRDefault="00B10A8D">
            <w:pPr>
              <w:spacing w:after="0" w:line="240" w:lineRule="auto"/>
              <w:rPr>
                <w:rFonts w:hint="eastAsia"/>
              </w:rPr>
            </w:pPr>
            <w:r>
              <w:rPr>
                <w:sz w:val="18"/>
              </w:rPr>
              <w:t>Required wherever domain risk or policy demands it</w:t>
            </w:r>
          </w:p>
        </w:tc>
      </w:tr>
    </w:tbl>
    <w:p w14:paraId="4706481B" w14:textId="77777777" w:rsidR="00487463" w:rsidRDefault="00487463">
      <w:pPr>
        <w:spacing w:after="0"/>
        <w:rPr>
          <w:rFonts w:hint="eastAsia"/>
        </w:rPr>
      </w:pPr>
    </w:p>
    <w:p w14:paraId="57092121" w14:textId="77777777" w:rsidR="00487463" w:rsidRDefault="00B10A8D">
      <w:pPr>
        <w:pStyle w:val="Heading1"/>
      </w:pPr>
      <w:r>
        <w:t>Appendix E. Glossary</w:t>
      </w:r>
    </w:p>
    <w:p w14:paraId="1448C95B" w14:textId="77777777" w:rsidR="00487463" w:rsidRDefault="00B10A8D">
      <w:pPr>
        <w:spacing w:before="80" w:after="80"/>
        <w:rPr>
          <w:rFonts w:hint="eastAsia"/>
        </w:rPr>
      </w:pPr>
      <w:r>
        <w:rPr>
          <w:b/>
          <w:i/>
          <w:color w:val="4F5E6E"/>
          <w:sz w:val="19"/>
        </w:rPr>
        <w:t>Table E-1. Core EDIFICE v2 terminology.</w:t>
      </w:r>
    </w:p>
    <w:tbl>
      <w:tblPr>
        <w:tblW w:w="0" w:type="auto"/>
        <w:jc w:val="center"/>
        <w:tblLayout w:type="fixed"/>
        <w:tblLook w:val="04A0" w:firstRow="1" w:lastRow="0" w:firstColumn="1" w:lastColumn="0" w:noHBand="0" w:noVBand="1"/>
      </w:tblPr>
      <w:tblGrid>
        <w:gridCol w:w="2448"/>
        <w:gridCol w:w="6840"/>
      </w:tblGrid>
      <w:tr w:rsidR="00487463" w14:paraId="2650F929" w14:textId="77777777">
        <w:trPr>
          <w:jc w:val="center"/>
        </w:trPr>
        <w:tc>
          <w:tcPr>
            <w:tcW w:w="2448" w:type="dxa"/>
            <w:shd w:val="clear" w:color="auto" w:fill="17365D"/>
            <w:tcMar>
              <w:top w:w="100" w:type="dxa"/>
              <w:left w:w="120" w:type="dxa"/>
              <w:bottom w:w="100" w:type="dxa"/>
              <w:right w:w="120" w:type="dxa"/>
            </w:tcMar>
            <w:vAlign w:val="center"/>
          </w:tcPr>
          <w:p w14:paraId="47615DC8" w14:textId="77777777" w:rsidR="00487463" w:rsidRDefault="00B10A8D">
            <w:pPr>
              <w:jc w:val="center"/>
              <w:rPr>
                <w:rFonts w:hint="eastAsia"/>
              </w:rPr>
            </w:pPr>
            <w:r>
              <w:rPr>
                <w:b/>
                <w:color w:val="FFFFFF"/>
                <w:sz w:val="19"/>
              </w:rPr>
              <w:t>Term</w:t>
            </w:r>
          </w:p>
        </w:tc>
        <w:tc>
          <w:tcPr>
            <w:tcW w:w="6840" w:type="dxa"/>
            <w:shd w:val="clear" w:color="auto" w:fill="17365D"/>
            <w:tcMar>
              <w:top w:w="100" w:type="dxa"/>
              <w:left w:w="120" w:type="dxa"/>
              <w:bottom w:w="100" w:type="dxa"/>
              <w:right w:w="120" w:type="dxa"/>
            </w:tcMar>
            <w:vAlign w:val="center"/>
          </w:tcPr>
          <w:p w14:paraId="7D57A48F" w14:textId="77777777" w:rsidR="00487463" w:rsidRDefault="00B10A8D">
            <w:pPr>
              <w:jc w:val="center"/>
              <w:rPr>
                <w:rFonts w:hint="eastAsia"/>
              </w:rPr>
            </w:pPr>
            <w:r>
              <w:rPr>
                <w:b/>
                <w:color w:val="FFFFFF"/>
                <w:sz w:val="19"/>
              </w:rPr>
              <w:t>Definition</w:t>
            </w:r>
          </w:p>
        </w:tc>
      </w:tr>
      <w:tr w:rsidR="00487463" w14:paraId="5C168FEB" w14:textId="77777777">
        <w:trPr>
          <w:jc w:val="center"/>
        </w:trPr>
        <w:tc>
          <w:tcPr>
            <w:tcW w:w="2448" w:type="dxa"/>
            <w:shd w:val="clear" w:color="auto" w:fill="FFFFFF"/>
            <w:tcMar>
              <w:top w:w="95" w:type="dxa"/>
              <w:left w:w="110" w:type="dxa"/>
              <w:bottom w:w="95" w:type="dxa"/>
              <w:right w:w="110" w:type="dxa"/>
            </w:tcMar>
            <w:vAlign w:val="center"/>
          </w:tcPr>
          <w:p w14:paraId="0B737370" w14:textId="77777777" w:rsidR="00487463" w:rsidRDefault="00B10A8D">
            <w:pPr>
              <w:spacing w:after="0" w:line="240" w:lineRule="auto"/>
              <w:jc w:val="center"/>
              <w:rPr>
                <w:rFonts w:hint="eastAsia"/>
              </w:rPr>
            </w:pPr>
            <w:r>
              <w:rPr>
                <w:sz w:val="18"/>
              </w:rPr>
              <w:t>Base</w:t>
            </w:r>
          </w:p>
        </w:tc>
        <w:tc>
          <w:tcPr>
            <w:tcW w:w="6840" w:type="dxa"/>
            <w:shd w:val="clear" w:color="auto" w:fill="FFFFFF"/>
            <w:tcMar>
              <w:top w:w="95" w:type="dxa"/>
              <w:left w:w="110" w:type="dxa"/>
              <w:bottom w:w="95" w:type="dxa"/>
              <w:right w:w="110" w:type="dxa"/>
            </w:tcMar>
            <w:vAlign w:val="center"/>
          </w:tcPr>
          <w:p w14:paraId="6720457C" w14:textId="77777777" w:rsidR="00487463" w:rsidRDefault="00B10A8D">
            <w:pPr>
              <w:spacing w:after="0" w:line="240" w:lineRule="auto"/>
              <w:rPr>
                <w:rFonts w:hint="eastAsia"/>
              </w:rPr>
            </w:pPr>
            <w:r>
              <w:rPr>
                <w:sz w:val="18"/>
              </w:rPr>
              <w:t>A bounded CERBERUS environment with locally governed data, semantic structures, runtime contracts, permissions, and discovery routes.</w:t>
            </w:r>
          </w:p>
        </w:tc>
      </w:tr>
      <w:tr w:rsidR="00487463" w14:paraId="046B1E6E" w14:textId="77777777">
        <w:trPr>
          <w:jc w:val="center"/>
        </w:trPr>
        <w:tc>
          <w:tcPr>
            <w:tcW w:w="2448" w:type="dxa"/>
            <w:shd w:val="clear" w:color="auto" w:fill="FFFFFF"/>
            <w:tcMar>
              <w:top w:w="95" w:type="dxa"/>
              <w:left w:w="110" w:type="dxa"/>
              <w:bottom w:w="95" w:type="dxa"/>
              <w:right w:w="110" w:type="dxa"/>
            </w:tcMar>
            <w:vAlign w:val="center"/>
          </w:tcPr>
          <w:p w14:paraId="689C1D75" w14:textId="77777777" w:rsidR="00487463" w:rsidRDefault="00B10A8D">
            <w:pPr>
              <w:spacing w:after="0" w:line="240" w:lineRule="auto"/>
              <w:jc w:val="center"/>
              <w:rPr>
                <w:rFonts w:hint="eastAsia"/>
              </w:rPr>
            </w:pPr>
            <w:r>
              <w:rPr>
                <w:sz w:val="18"/>
              </w:rPr>
              <w:t>Base Crawler</w:t>
            </w:r>
          </w:p>
        </w:tc>
        <w:tc>
          <w:tcPr>
            <w:tcW w:w="6840" w:type="dxa"/>
            <w:shd w:val="clear" w:color="auto" w:fill="FFFFFF"/>
            <w:tcMar>
              <w:top w:w="95" w:type="dxa"/>
              <w:left w:w="110" w:type="dxa"/>
              <w:bottom w:w="95" w:type="dxa"/>
              <w:right w:w="110" w:type="dxa"/>
            </w:tcMar>
            <w:vAlign w:val="center"/>
          </w:tcPr>
          <w:p w14:paraId="482311B5" w14:textId="77777777" w:rsidR="00487463" w:rsidRDefault="00B10A8D">
            <w:pPr>
              <w:spacing w:after="0" w:line="240" w:lineRule="auto"/>
              <w:rPr>
                <w:rFonts w:hint="eastAsia"/>
              </w:rPr>
            </w:pPr>
            <w:r>
              <w:rPr>
                <w:sz w:val="18"/>
              </w:rPr>
              <w:t>Compact federation routing layer that identifies candidate semantic jurisdictions without loading their full internal ontology.</w:t>
            </w:r>
          </w:p>
        </w:tc>
      </w:tr>
      <w:tr w:rsidR="00487463" w14:paraId="2A359678" w14:textId="77777777">
        <w:trPr>
          <w:jc w:val="center"/>
        </w:trPr>
        <w:tc>
          <w:tcPr>
            <w:tcW w:w="2448" w:type="dxa"/>
            <w:shd w:val="clear" w:color="auto" w:fill="FFFFFF"/>
            <w:tcMar>
              <w:top w:w="95" w:type="dxa"/>
              <w:left w:w="110" w:type="dxa"/>
              <w:bottom w:w="95" w:type="dxa"/>
              <w:right w:w="110" w:type="dxa"/>
            </w:tcMar>
            <w:vAlign w:val="center"/>
          </w:tcPr>
          <w:p w14:paraId="1C7B14FD" w14:textId="77777777" w:rsidR="00487463" w:rsidRDefault="00B10A8D">
            <w:pPr>
              <w:spacing w:after="0" w:line="240" w:lineRule="auto"/>
              <w:jc w:val="center"/>
              <w:rPr>
                <w:rFonts w:hint="eastAsia"/>
              </w:rPr>
            </w:pPr>
            <w:r>
              <w:rPr>
                <w:sz w:val="18"/>
              </w:rPr>
              <w:t>BOSS</w:t>
            </w:r>
          </w:p>
        </w:tc>
        <w:tc>
          <w:tcPr>
            <w:tcW w:w="6840" w:type="dxa"/>
            <w:shd w:val="clear" w:color="auto" w:fill="FFFFFF"/>
            <w:tcMar>
              <w:top w:w="95" w:type="dxa"/>
              <w:left w:w="110" w:type="dxa"/>
              <w:bottom w:w="95" w:type="dxa"/>
              <w:right w:w="110" w:type="dxa"/>
            </w:tcMar>
            <w:vAlign w:val="center"/>
          </w:tcPr>
          <w:p w14:paraId="38E0FC23" w14:textId="77777777" w:rsidR="00487463" w:rsidRDefault="00B10A8D">
            <w:pPr>
              <w:spacing w:after="0" w:line="240" w:lineRule="auto"/>
              <w:rPr>
                <w:rFonts w:hint="eastAsia"/>
              </w:rPr>
            </w:pPr>
            <w:r>
              <w:rPr>
                <w:sz w:val="18"/>
              </w:rPr>
              <w:t>The semantic dictionary and symbolic registry that owns symbols, contextual meanings, Crosswalks, mapping grades, and recipient-native explanation.</w:t>
            </w:r>
          </w:p>
        </w:tc>
      </w:tr>
      <w:tr w:rsidR="00487463" w14:paraId="6EC77C40" w14:textId="77777777">
        <w:trPr>
          <w:jc w:val="center"/>
        </w:trPr>
        <w:tc>
          <w:tcPr>
            <w:tcW w:w="2448" w:type="dxa"/>
            <w:shd w:val="clear" w:color="auto" w:fill="FFFFFF"/>
            <w:tcMar>
              <w:top w:w="95" w:type="dxa"/>
              <w:left w:w="110" w:type="dxa"/>
              <w:bottom w:w="95" w:type="dxa"/>
              <w:right w:w="110" w:type="dxa"/>
            </w:tcMar>
            <w:vAlign w:val="center"/>
          </w:tcPr>
          <w:p w14:paraId="64DA4592" w14:textId="77777777" w:rsidR="00487463" w:rsidRDefault="00B10A8D">
            <w:pPr>
              <w:spacing w:after="0" w:line="240" w:lineRule="auto"/>
              <w:jc w:val="center"/>
              <w:rPr>
                <w:rFonts w:hint="eastAsia"/>
              </w:rPr>
            </w:pPr>
            <w:r>
              <w:rPr>
                <w:sz w:val="18"/>
              </w:rPr>
              <w:t>BOOTSTRAP</w:t>
            </w:r>
          </w:p>
        </w:tc>
        <w:tc>
          <w:tcPr>
            <w:tcW w:w="6840" w:type="dxa"/>
            <w:shd w:val="clear" w:color="auto" w:fill="FFFFFF"/>
            <w:tcMar>
              <w:top w:w="95" w:type="dxa"/>
              <w:left w:w="110" w:type="dxa"/>
              <w:bottom w:w="95" w:type="dxa"/>
              <w:right w:w="110" w:type="dxa"/>
            </w:tcMar>
            <w:vAlign w:val="center"/>
          </w:tcPr>
          <w:p w14:paraId="24ABD2EC" w14:textId="77777777" w:rsidR="00487463" w:rsidRDefault="00B10A8D">
            <w:pPr>
              <w:spacing w:after="0" w:line="240" w:lineRule="auto"/>
              <w:rPr>
                <w:rFonts w:hint="eastAsia"/>
              </w:rPr>
            </w:pPr>
            <w:r>
              <w:rPr>
                <w:sz w:val="18"/>
              </w:rPr>
              <w:t>A governed ordered knowledge-loading environment through which an unfamiliar intelligence acquires Core and specialized competency inside a Base.</w:t>
            </w:r>
          </w:p>
        </w:tc>
      </w:tr>
      <w:tr w:rsidR="00487463" w14:paraId="234F3D06" w14:textId="77777777">
        <w:trPr>
          <w:jc w:val="center"/>
        </w:trPr>
        <w:tc>
          <w:tcPr>
            <w:tcW w:w="2448" w:type="dxa"/>
            <w:shd w:val="clear" w:color="auto" w:fill="FFFFFF"/>
            <w:tcMar>
              <w:top w:w="95" w:type="dxa"/>
              <w:left w:w="110" w:type="dxa"/>
              <w:bottom w:w="95" w:type="dxa"/>
              <w:right w:w="110" w:type="dxa"/>
            </w:tcMar>
            <w:vAlign w:val="center"/>
          </w:tcPr>
          <w:p w14:paraId="75F69F41" w14:textId="77777777" w:rsidR="00487463" w:rsidRDefault="00B10A8D">
            <w:pPr>
              <w:spacing w:after="0" w:line="240" w:lineRule="auto"/>
              <w:jc w:val="center"/>
              <w:rPr>
                <w:rFonts w:hint="eastAsia"/>
              </w:rPr>
            </w:pPr>
            <w:r>
              <w:rPr>
                <w:sz w:val="18"/>
              </w:rPr>
              <w:t>Canonical reconstruction</w:t>
            </w:r>
          </w:p>
        </w:tc>
        <w:tc>
          <w:tcPr>
            <w:tcW w:w="6840" w:type="dxa"/>
            <w:shd w:val="clear" w:color="auto" w:fill="FFFFFF"/>
            <w:tcMar>
              <w:top w:w="95" w:type="dxa"/>
              <w:left w:w="110" w:type="dxa"/>
              <w:bottom w:w="95" w:type="dxa"/>
              <w:right w:w="110" w:type="dxa"/>
            </w:tcMar>
            <w:vAlign w:val="center"/>
          </w:tcPr>
          <w:p w14:paraId="11487222" w14:textId="77777777" w:rsidR="00487463" w:rsidRDefault="00B10A8D">
            <w:pPr>
              <w:spacing w:after="0" w:line="240" w:lineRule="auto"/>
              <w:rPr>
                <w:rFonts w:hint="eastAsia"/>
              </w:rPr>
            </w:pPr>
            <w:r>
              <w:rPr>
                <w:sz w:val="18"/>
              </w:rPr>
              <w:t>Independent local decoding of the same BitWord identity and version from canonical binary state.</w:t>
            </w:r>
          </w:p>
        </w:tc>
      </w:tr>
      <w:tr w:rsidR="00487463" w14:paraId="7320FC34" w14:textId="77777777">
        <w:trPr>
          <w:jc w:val="center"/>
        </w:trPr>
        <w:tc>
          <w:tcPr>
            <w:tcW w:w="2448" w:type="dxa"/>
            <w:shd w:val="clear" w:color="auto" w:fill="FFFFFF"/>
            <w:tcMar>
              <w:top w:w="95" w:type="dxa"/>
              <w:left w:w="110" w:type="dxa"/>
              <w:bottom w:w="95" w:type="dxa"/>
              <w:right w:w="110" w:type="dxa"/>
            </w:tcMar>
            <w:vAlign w:val="center"/>
          </w:tcPr>
          <w:p w14:paraId="31E4CB46" w14:textId="77777777" w:rsidR="00487463" w:rsidRDefault="00B10A8D">
            <w:pPr>
              <w:spacing w:after="0" w:line="240" w:lineRule="auto"/>
              <w:jc w:val="center"/>
              <w:rPr>
                <w:rFonts w:hint="eastAsia"/>
              </w:rPr>
            </w:pPr>
            <w:r>
              <w:rPr>
                <w:sz w:val="18"/>
              </w:rPr>
              <w:t>Cognitive habitat</w:t>
            </w:r>
          </w:p>
        </w:tc>
        <w:tc>
          <w:tcPr>
            <w:tcW w:w="6840" w:type="dxa"/>
            <w:shd w:val="clear" w:color="auto" w:fill="FFFFFF"/>
            <w:tcMar>
              <w:top w:w="95" w:type="dxa"/>
              <w:left w:w="110" w:type="dxa"/>
              <w:bottom w:w="95" w:type="dxa"/>
              <w:right w:w="110" w:type="dxa"/>
            </w:tcMar>
            <w:vAlign w:val="center"/>
          </w:tcPr>
          <w:p w14:paraId="315709D5" w14:textId="77777777" w:rsidR="00487463" w:rsidRDefault="00B10A8D">
            <w:pPr>
              <w:spacing w:after="0" w:line="240" w:lineRule="auto"/>
              <w:rPr>
                <w:rFonts w:hint="eastAsia"/>
              </w:rPr>
            </w:pPr>
            <w:r>
              <w:rPr>
                <w:sz w:val="18"/>
              </w:rPr>
              <w:t>A Base or other bounded environment that preserves the native formal structures used by one intelligence form or cognitive lens.</w:t>
            </w:r>
          </w:p>
        </w:tc>
      </w:tr>
      <w:tr w:rsidR="00487463" w14:paraId="093A78A7" w14:textId="77777777">
        <w:trPr>
          <w:jc w:val="center"/>
        </w:trPr>
        <w:tc>
          <w:tcPr>
            <w:tcW w:w="2448" w:type="dxa"/>
            <w:shd w:val="clear" w:color="auto" w:fill="FFFFFF"/>
            <w:tcMar>
              <w:top w:w="95" w:type="dxa"/>
              <w:left w:w="110" w:type="dxa"/>
              <w:bottom w:w="95" w:type="dxa"/>
              <w:right w:w="110" w:type="dxa"/>
            </w:tcMar>
            <w:vAlign w:val="center"/>
          </w:tcPr>
          <w:p w14:paraId="53785033" w14:textId="77777777" w:rsidR="00487463" w:rsidRDefault="00B10A8D">
            <w:pPr>
              <w:spacing w:after="0" w:line="240" w:lineRule="auto"/>
              <w:jc w:val="center"/>
              <w:rPr>
                <w:rFonts w:hint="eastAsia"/>
              </w:rPr>
            </w:pPr>
            <w:r>
              <w:rPr>
                <w:sz w:val="18"/>
              </w:rPr>
              <w:t>DICE</w:t>
            </w:r>
          </w:p>
        </w:tc>
        <w:tc>
          <w:tcPr>
            <w:tcW w:w="6840" w:type="dxa"/>
            <w:shd w:val="clear" w:color="auto" w:fill="FFFFFF"/>
            <w:tcMar>
              <w:top w:w="95" w:type="dxa"/>
              <w:left w:w="110" w:type="dxa"/>
              <w:bottom w:w="95" w:type="dxa"/>
              <w:right w:w="110" w:type="dxa"/>
            </w:tcMar>
            <w:vAlign w:val="center"/>
          </w:tcPr>
          <w:p w14:paraId="49A9915D" w14:textId="77777777" w:rsidR="00487463" w:rsidRDefault="00B10A8D">
            <w:pPr>
              <w:spacing w:after="0" w:line="240" w:lineRule="auto"/>
              <w:rPr>
                <w:rFonts w:hint="eastAsia"/>
              </w:rPr>
            </w:pPr>
            <w:r>
              <w:rPr>
                <w:sz w:val="18"/>
              </w:rPr>
              <w:t>Divergent Intelligence Competition Engine; evaluates PIECE predictions against authorized observations and maps specialization.</w:t>
            </w:r>
          </w:p>
        </w:tc>
      </w:tr>
      <w:tr w:rsidR="00487463" w14:paraId="4FEB0233" w14:textId="77777777">
        <w:trPr>
          <w:jc w:val="center"/>
        </w:trPr>
        <w:tc>
          <w:tcPr>
            <w:tcW w:w="2448" w:type="dxa"/>
            <w:shd w:val="clear" w:color="auto" w:fill="FFFFFF"/>
            <w:tcMar>
              <w:top w:w="95" w:type="dxa"/>
              <w:left w:w="110" w:type="dxa"/>
              <w:bottom w:w="95" w:type="dxa"/>
              <w:right w:w="110" w:type="dxa"/>
            </w:tcMar>
            <w:vAlign w:val="center"/>
          </w:tcPr>
          <w:p w14:paraId="2333464F" w14:textId="77777777" w:rsidR="00487463" w:rsidRDefault="00B10A8D">
            <w:pPr>
              <w:spacing w:after="0" w:line="240" w:lineRule="auto"/>
              <w:jc w:val="center"/>
              <w:rPr>
                <w:rFonts w:hint="eastAsia"/>
              </w:rPr>
            </w:pPr>
            <w:r>
              <w:rPr>
                <w:sz w:val="18"/>
              </w:rPr>
              <w:t>EDIFICE</w:t>
            </w:r>
          </w:p>
        </w:tc>
        <w:tc>
          <w:tcPr>
            <w:tcW w:w="6840" w:type="dxa"/>
            <w:shd w:val="clear" w:color="auto" w:fill="FFFFFF"/>
            <w:tcMar>
              <w:top w:w="95" w:type="dxa"/>
              <w:left w:w="110" w:type="dxa"/>
              <w:bottom w:w="95" w:type="dxa"/>
              <w:right w:w="110" w:type="dxa"/>
            </w:tcMar>
            <w:vAlign w:val="center"/>
          </w:tcPr>
          <w:p w14:paraId="011CFB8D" w14:textId="77777777" w:rsidR="00487463" w:rsidRDefault="00B10A8D">
            <w:pPr>
              <w:spacing w:after="0" w:line="240" w:lineRule="auto"/>
              <w:rPr>
                <w:rFonts w:hint="eastAsia"/>
              </w:rPr>
            </w:pPr>
            <w:r>
              <w:rPr>
                <w:sz w:val="18"/>
              </w:rPr>
              <w:t>Evolutionarily Divergent Intelligence Forms Interoperating through Competitive Evaluation; the complete federated ecosystem.</w:t>
            </w:r>
          </w:p>
        </w:tc>
      </w:tr>
      <w:tr w:rsidR="00487463" w14:paraId="30F2AE41" w14:textId="77777777">
        <w:trPr>
          <w:jc w:val="center"/>
        </w:trPr>
        <w:tc>
          <w:tcPr>
            <w:tcW w:w="2448" w:type="dxa"/>
            <w:shd w:val="clear" w:color="auto" w:fill="FFFFFF"/>
            <w:tcMar>
              <w:top w:w="95" w:type="dxa"/>
              <w:left w:w="110" w:type="dxa"/>
              <w:bottom w:w="95" w:type="dxa"/>
              <w:right w:w="110" w:type="dxa"/>
            </w:tcMar>
            <w:vAlign w:val="center"/>
          </w:tcPr>
          <w:p w14:paraId="05C03E4A" w14:textId="77777777" w:rsidR="00487463" w:rsidRDefault="00B10A8D">
            <w:pPr>
              <w:spacing w:after="0" w:line="240" w:lineRule="auto"/>
              <w:jc w:val="center"/>
              <w:rPr>
                <w:rFonts w:hint="eastAsia"/>
              </w:rPr>
            </w:pPr>
            <w:r>
              <w:rPr>
                <w:sz w:val="18"/>
              </w:rPr>
              <w:t>Liminal Bridge</w:t>
            </w:r>
          </w:p>
        </w:tc>
        <w:tc>
          <w:tcPr>
            <w:tcW w:w="6840" w:type="dxa"/>
            <w:shd w:val="clear" w:color="auto" w:fill="FFFFFF"/>
            <w:tcMar>
              <w:top w:w="95" w:type="dxa"/>
              <w:left w:w="110" w:type="dxa"/>
              <w:bottom w:w="95" w:type="dxa"/>
              <w:right w:w="110" w:type="dxa"/>
            </w:tcMar>
            <w:vAlign w:val="center"/>
          </w:tcPr>
          <w:p w14:paraId="3B226111" w14:textId="77777777" w:rsidR="00487463" w:rsidRDefault="00B10A8D">
            <w:pPr>
              <w:spacing w:after="0" w:line="240" w:lineRule="auto"/>
              <w:rPr>
                <w:rFonts w:hint="eastAsia"/>
              </w:rPr>
            </w:pPr>
            <w:r>
              <w:rPr>
                <w:sz w:val="18"/>
              </w:rPr>
              <w:t>A bounded shared-state or relation environment connecting independent Bases while preserving endpoint ownership.</w:t>
            </w:r>
          </w:p>
        </w:tc>
      </w:tr>
      <w:tr w:rsidR="00487463" w14:paraId="55488918" w14:textId="77777777">
        <w:trPr>
          <w:jc w:val="center"/>
        </w:trPr>
        <w:tc>
          <w:tcPr>
            <w:tcW w:w="2448" w:type="dxa"/>
            <w:shd w:val="clear" w:color="auto" w:fill="FFFFFF"/>
            <w:tcMar>
              <w:top w:w="95" w:type="dxa"/>
              <w:left w:w="110" w:type="dxa"/>
              <w:bottom w:w="95" w:type="dxa"/>
              <w:right w:w="110" w:type="dxa"/>
            </w:tcMar>
            <w:vAlign w:val="center"/>
          </w:tcPr>
          <w:p w14:paraId="6913CEB9" w14:textId="77777777" w:rsidR="00487463" w:rsidRDefault="00B10A8D">
            <w:pPr>
              <w:spacing w:after="0" w:line="240" w:lineRule="auto"/>
              <w:jc w:val="center"/>
              <w:rPr>
                <w:rFonts w:hint="eastAsia"/>
              </w:rPr>
            </w:pPr>
            <w:r>
              <w:rPr>
                <w:sz w:val="18"/>
              </w:rPr>
              <w:t>Opaque state</w:t>
            </w:r>
          </w:p>
        </w:tc>
        <w:tc>
          <w:tcPr>
            <w:tcW w:w="6840" w:type="dxa"/>
            <w:shd w:val="clear" w:color="auto" w:fill="FFFFFF"/>
            <w:tcMar>
              <w:top w:w="95" w:type="dxa"/>
              <w:left w:w="110" w:type="dxa"/>
              <w:bottom w:w="95" w:type="dxa"/>
              <w:right w:w="110" w:type="dxa"/>
            </w:tcMar>
            <w:vAlign w:val="center"/>
          </w:tcPr>
          <w:p w14:paraId="37EE8A9D" w14:textId="77777777" w:rsidR="00487463" w:rsidRDefault="00B10A8D">
            <w:pPr>
              <w:spacing w:after="0" w:line="240" w:lineRule="auto"/>
              <w:rPr>
                <w:rFonts w:hint="eastAsia"/>
              </w:rPr>
            </w:pPr>
            <w:r>
              <w:rPr>
                <w:sz w:val="18"/>
              </w:rPr>
              <w:t>Canonical BitWord identity and binary payload retained without a compatible local Reader interpretation.</w:t>
            </w:r>
          </w:p>
        </w:tc>
      </w:tr>
      <w:tr w:rsidR="00487463" w14:paraId="1734CACF" w14:textId="77777777">
        <w:trPr>
          <w:jc w:val="center"/>
        </w:trPr>
        <w:tc>
          <w:tcPr>
            <w:tcW w:w="2448" w:type="dxa"/>
            <w:shd w:val="clear" w:color="auto" w:fill="FFFFFF"/>
            <w:tcMar>
              <w:top w:w="95" w:type="dxa"/>
              <w:left w:w="110" w:type="dxa"/>
              <w:bottom w:w="95" w:type="dxa"/>
              <w:right w:w="110" w:type="dxa"/>
            </w:tcMar>
            <w:vAlign w:val="center"/>
          </w:tcPr>
          <w:p w14:paraId="5AC03250" w14:textId="77777777" w:rsidR="00487463" w:rsidRDefault="00B10A8D">
            <w:pPr>
              <w:spacing w:after="0" w:line="240" w:lineRule="auto"/>
              <w:jc w:val="center"/>
              <w:rPr>
                <w:rFonts w:hint="eastAsia"/>
              </w:rPr>
            </w:pPr>
            <w:r>
              <w:rPr>
                <w:sz w:val="18"/>
              </w:rPr>
              <w:t>PIECE</w:t>
            </w:r>
          </w:p>
        </w:tc>
        <w:tc>
          <w:tcPr>
            <w:tcW w:w="6840" w:type="dxa"/>
            <w:shd w:val="clear" w:color="auto" w:fill="FFFFFF"/>
            <w:tcMar>
              <w:top w:w="95" w:type="dxa"/>
              <w:left w:w="110" w:type="dxa"/>
              <w:bottom w:w="95" w:type="dxa"/>
              <w:right w:w="110" w:type="dxa"/>
            </w:tcMar>
            <w:vAlign w:val="center"/>
          </w:tcPr>
          <w:p w14:paraId="1A5703AD" w14:textId="77777777" w:rsidR="00487463" w:rsidRDefault="00B10A8D">
            <w:pPr>
              <w:spacing w:after="0" w:line="240" w:lineRule="auto"/>
              <w:rPr>
                <w:rFonts w:hint="eastAsia"/>
              </w:rPr>
            </w:pPr>
            <w:r>
              <w:rPr>
                <w:sz w:val="18"/>
              </w:rPr>
              <w:t>Perspective-Indexed Experimental Cognitive Engine; one bounded intelligence lens independent of deployment size.</w:t>
            </w:r>
          </w:p>
        </w:tc>
      </w:tr>
      <w:tr w:rsidR="00487463" w14:paraId="50581CF1" w14:textId="77777777">
        <w:trPr>
          <w:jc w:val="center"/>
        </w:trPr>
        <w:tc>
          <w:tcPr>
            <w:tcW w:w="2448" w:type="dxa"/>
            <w:shd w:val="clear" w:color="auto" w:fill="FFFFFF"/>
            <w:tcMar>
              <w:top w:w="95" w:type="dxa"/>
              <w:left w:w="110" w:type="dxa"/>
              <w:bottom w:w="95" w:type="dxa"/>
              <w:right w:w="110" w:type="dxa"/>
            </w:tcMar>
            <w:vAlign w:val="center"/>
          </w:tcPr>
          <w:p w14:paraId="5F551B33" w14:textId="77777777" w:rsidR="00487463" w:rsidRDefault="00B10A8D">
            <w:pPr>
              <w:spacing w:after="0" w:line="240" w:lineRule="auto"/>
              <w:jc w:val="center"/>
              <w:rPr>
                <w:rFonts w:hint="eastAsia"/>
              </w:rPr>
            </w:pPr>
            <w:r>
              <w:rPr>
                <w:sz w:val="18"/>
              </w:rPr>
              <w:t>Semantic Kernel</w:t>
            </w:r>
          </w:p>
        </w:tc>
        <w:tc>
          <w:tcPr>
            <w:tcW w:w="6840" w:type="dxa"/>
            <w:shd w:val="clear" w:color="auto" w:fill="FFFFFF"/>
            <w:tcMar>
              <w:top w:w="95" w:type="dxa"/>
              <w:left w:w="110" w:type="dxa"/>
              <w:bottom w:w="95" w:type="dxa"/>
              <w:right w:w="110" w:type="dxa"/>
            </w:tcMar>
            <w:vAlign w:val="center"/>
          </w:tcPr>
          <w:p w14:paraId="5F014F9D" w14:textId="77777777" w:rsidR="00487463" w:rsidRDefault="00B10A8D">
            <w:pPr>
              <w:spacing w:after="0" w:line="240" w:lineRule="auto"/>
              <w:rPr>
                <w:rFonts w:hint="eastAsia"/>
              </w:rPr>
            </w:pPr>
            <w:r>
              <w:rPr>
                <w:sz w:val="18"/>
              </w:rPr>
              <w:t>A bounded formal contract composed from registered Bits, BitGroups, BitWords, Readers, and related runtime structures.</w:t>
            </w:r>
          </w:p>
        </w:tc>
      </w:tr>
      <w:tr w:rsidR="00487463" w14:paraId="281E8783" w14:textId="77777777">
        <w:trPr>
          <w:jc w:val="center"/>
        </w:trPr>
        <w:tc>
          <w:tcPr>
            <w:tcW w:w="2448" w:type="dxa"/>
            <w:shd w:val="clear" w:color="auto" w:fill="FFFFFF"/>
            <w:tcMar>
              <w:top w:w="95" w:type="dxa"/>
              <w:left w:w="110" w:type="dxa"/>
              <w:bottom w:w="95" w:type="dxa"/>
              <w:right w:w="110" w:type="dxa"/>
            </w:tcMar>
            <w:vAlign w:val="center"/>
          </w:tcPr>
          <w:p w14:paraId="5F5B1A66" w14:textId="77777777" w:rsidR="00487463" w:rsidRDefault="00B10A8D">
            <w:pPr>
              <w:spacing w:after="0" w:line="240" w:lineRule="auto"/>
              <w:jc w:val="center"/>
              <w:rPr>
                <w:rFonts w:hint="eastAsia"/>
              </w:rPr>
            </w:pPr>
            <w:r>
              <w:rPr>
                <w:sz w:val="18"/>
              </w:rPr>
              <w:t>SOLAR</w:t>
            </w:r>
          </w:p>
        </w:tc>
        <w:tc>
          <w:tcPr>
            <w:tcW w:w="6840" w:type="dxa"/>
            <w:shd w:val="clear" w:color="auto" w:fill="FFFFFF"/>
            <w:tcMar>
              <w:top w:w="95" w:type="dxa"/>
              <w:left w:w="110" w:type="dxa"/>
              <w:bottom w:w="95" w:type="dxa"/>
              <w:right w:w="110" w:type="dxa"/>
            </w:tcMar>
            <w:vAlign w:val="center"/>
          </w:tcPr>
          <w:p w14:paraId="45109485" w14:textId="77777777" w:rsidR="00487463" w:rsidRDefault="00B10A8D">
            <w:pPr>
              <w:spacing w:after="0" w:line="240" w:lineRule="auto"/>
              <w:rPr>
                <w:rFonts w:hint="eastAsia"/>
              </w:rPr>
            </w:pPr>
            <w:r>
              <w:rPr>
                <w:sz w:val="18"/>
              </w:rPr>
              <w:t>The lexical dictionary of a Base that resolves natural language to exact local semantic addresses.</w:t>
            </w:r>
          </w:p>
        </w:tc>
      </w:tr>
      <w:tr w:rsidR="00487463" w14:paraId="14C1CBD0" w14:textId="77777777">
        <w:trPr>
          <w:jc w:val="center"/>
        </w:trPr>
        <w:tc>
          <w:tcPr>
            <w:tcW w:w="2448" w:type="dxa"/>
            <w:shd w:val="clear" w:color="auto" w:fill="FFFFFF"/>
            <w:tcMar>
              <w:top w:w="95" w:type="dxa"/>
              <w:left w:w="110" w:type="dxa"/>
              <w:bottom w:w="95" w:type="dxa"/>
              <w:right w:w="110" w:type="dxa"/>
            </w:tcMar>
            <w:vAlign w:val="center"/>
          </w:tcPr>
          <w:p w14:paraId="36417439" w14:textId="77777777" w:rsidR="00487463" w:rsidRDefault="00B10A8D">
            <w:pPr>
              <w:spacing w:after="0" w:line="240" w:lineRule="auto"/>
              <w:jc w:val="center"/>
              <w:rPr>
                <w:rFonts w:hint="eastAsia"/>
              </w:rPr>
            </w:pPr>
            <w:r>
              <w:rPr>
                <w:sz w:val="18"/>
              </w:rPr>
              <w:t>Z Data Contract</w:t>
            </w:r>
          </w:p>
        </w:tc>
        <w:tc>
          <w:tcPr>
            <w:tcW w:w="6840" w:type="dxa"/>
            <w:shd w:val="clear" w:color="auto" w:fill="FFFFFF"/>
            <w:tcMar>
              <w:top w:w="95" w:type="dxa"/>
              <w:left w:w="110" w:type="dxa"/>
              <w:bottom w:w="95" w:type="dxa"/>
              <w:right w:w="110" w:type="dxa"/>
            </w:tcMar>
            <w:vAlign w:val="center"/>
          </w:tcPr>
          <w:p w14:paraId="08147B10" w14:textId="77777777" w:rsidR="00487463" w:rsidRDefault="00B10A8D">
            <w:pPr>
              <w:spacing w:after="0" w:line="240" w:lineRule="auto"/>
              <w:rPr>
                <w:rFonts w:hint="eastAsia"/>
              </w:rPr>
            </w:pPr>
            <w:r>
              <w:rPr>
                <w:sz w:val="18"/>
              </w:rPr>
              <w:t>The canonical outward contract through which a bounded Stack or Base participates in federation.</w:t>
            </w:r>
          </w:p>
        </w:tc>
      </w:tr>
    </w:tbl>
    <w:p w14:paraId="69B4AA79" w14:textId="77777777" w:rsidR="00487463" w:rsidRDefault="00487463">
      <w:pPr>
        <w:spacing w:after="0"/>
        <w:rPr>
          <w:rFonts w:hint="eastAsia"/>
        </w:rPr>
      </w:pPr>
    </w:p>
    <w:p w14:paraId="52FCE1D6" w14:textId="77777777" w:rsidR="00487463" w:rsidRDefault="00B10A8D">
      <w:pPr>
        <w:pStyle w:val="Heading1"/>
      </w:pPr>
      <w:r>
        <w:t>Revision Record</w:t>
      </w:r>
    </w:p>
    <w:p w14:paraId="4A70AE93" w14:textId="77777777" w:rsidR="00487463" w:rsidRDefault="00B10A8D">
      <w:pPr>
        <w:spacing w:before="80" w:after="80"/>
        <w:rPr>
          <w:rFonts w:hint="eastAsia"/>
        </w:rPr>
      </w:pPr>
      <w:r>
        <w:rPr>
          <w:b/>
          <w:i/>
          <w:color w:val="4F5E6E"/>
          <w:sz w:val="19"/>
        </w:rPr>
        <w:t>Table R-1. EDIFICE architecture lineage.</w:t>
      </w:r>
    </w:p>
    <w:tbl>
      <w:tblPr>
        <w:tblW w:w="0" w:type="auto"/>
        <w:jc w:val="center"/>
        <w:tblLayout w:type="fixed"/>
        <w:tblLook w:val="04A0" w:firstRow="1" w:lastRow="0" w:firstColumn="1" w:lastColumn="0" w:noHBand="0" w:noVBand="1"/>
      </w:tblPr>
      <w:tblGrid>
        <w:gridCol w:w="1152"/>
        <w:gridCol w:w="1728"/>
        <w:gridCol w:w="2160"/>
        <w:gridCol w:w="4320"/>
      </w:tblGrid>
      <w:tr w:rsidR="00487463" w14:paraId="0DB05B77" w14:textId="77777777">
        <w:trPr>
          <w:jc w:val="center"/>
        </w:trPr>
        <w:tc>
          <w:tcPr>
            <w:tcW w:w="1152" w:type="dxa"/>
            <w:shd w:val="clear" w:color="auto" w:fill="17365D"/>
            <w:tcMar>
              <w:top w:w="100" w:type="dxa"/>
              <w:left w:w="120" w:type="dxa"/>
              <w:bottom w:w="100" w:type="dxa"/>
              <w:right w:w="120" w:type="dxa"/>
            </w:tcMar>
            <w:vAlign w:val="center"/>
          </w:tcPr>
          <w:p w14:paraId="5FE62374" w14:textId="77777777" w:rsidR="00487463" w:rsidRDefault="00B10A8D">
            <w:pPr>
              <w:jc w:val="center"/>
              <w:rPr>
                <w:rFonts w:hint="eastAsia"/>
              </w:rPr>
            </w:pPr>
            <w:r>
              <w:rPr>
                <w:b/>
                <w:color w:val="FFFFFF"/>
                <w:sz w:val="19"/>
              </w:rPr>
              <w:t>Version</w:t>
            </w:r>
          </w:p>
        </w:tc>
        <w:tc>
          <w:tcPr>
            <w:tcW w:w="1728" w:type="dxa"/>
            <w:shd w:val="clear" w:color="auto" w:fill="17365D"/>
            <w:tcMar>
              <w:top w:w="100" w:type="dxa"/>
              <w:left w:w="120" w:type="dxa"/>
              <w:bottom w:w="100" w:type="dxa"/>
              <w:right w:w="120" w:type="dxa"/>
            </w:tcMar>
            <w:vAlign w:val="center"/>
          </w:tcPr>
          <w:p w14:paraId="1AEB021E" w14:textId="77777777" w:rsidR="00487463" w:rsidRDefault="00B10A8D">
            <w:pPr>
              <w:jc w:val="center"/>
              <w:rPr>
                <w:rFonts w:hint="eastAsia"/>
              </w:rPr>
            </w:pPr>
            <w:r>
              <w:rPr>
                <w:b/>
                <w:color w:val="FFFFFF"/>
                <w:sz w:val="19"/>
              </w:rPr>
              <w:t>Date</w:t>
            </w:r>
          </w:p>
        </w:tc>
        <w:tc>
          <w:tcPr>
            <w:tcW w:w="2160" w:type="dxa"/>
            <w:shd w:val="clear" w:color="auto" w:fill="17365D"/>
            <w:tcMar>
              <w:top w:w="100" w:type="dxa"/>
              <w:left w:w="120" w:type="dxa"/>
              <w:bottom w:w="100" w:type="dxa"/>
              <w:right w:w="120" w:type="dxa"/>
            </w:tcMar>
            <w:vAlign w:val="center"/>
          </w:tcPr>
          <w:p w14:paraId="44BCFEBB" w14:textId="77777777" w:rsidR="00487463" w:rsidRDefault="00B10A8D">
            <w:pPr>
              <w:jc w:val="center"/>
              <w:rPr>
                <w:rFonts w:hint="eastAsia"/>
              </w:rPr>
            </w:pPr>
            <w:r>
              <w:rPr>
                <w:b/>
                <w:color w:val="FFFFFF"/>
                <w:sz w:val="19"/>
              </w:rPr>
              <w:t>Status</w:t>
            </w:r>
          </w:p>
        </w:tc>
        <w:tc>
          <w:tcPr>
            <w:tcW w:w="4320" w:type="dxa"/>
            <w:shd w:val="clear" w:color="auto" w:fill="17365D"/>
            <w:tcMar>
              <w:top w:w="100" w:type="dxa"/>
              <w:left w:w="120" w:type="dxa"/>
              <w:bottom w:w="100" w:type="dxa"/>
              <w:right w:w="120" w:type="dxa"/>
            </w:tcMar>
            <w:vAlign w:val="center"/>
          </w:tcPr>
          <w:p w14:paraId="218530DD" w14:textId="77777777" w:rsidR="00487463" w:rsidRDefault="00B10A8D">
            <w:pPr>
              <w:jc w:val="center"/>
              <w:rPr>
                <w:rFonts w:hint="eastAsia"/>
              </w:rPr>
            </w:pPr>
            <w:r>
              <w:rPr>
                <w:b/>
                <w:color w:val="FFFFFF"/>
                <w:sz w:val="19"/>
              </w:rPr>
              <w:t>Summary</w:t>
            </w:r>
          </w:p>
        </w:tc>
      </w:tr>
      <w:tr w:rsidR="00487463" w14:paraId="3061AF71" w14:textId="77777777">
        <w:trPr>
          <w:jc w:val="center"/>
        </w:trPr>
        <w:tc>
          <w:tcPr>
            <w:tcW w:w="1152" w:type="dxa"/>
            <w:shd w:val="clear" w:color="auto" w:fill="FFFFFF"/>
            <w:tcMar>
              <w:top w:w="95" w:type="dxa"/>
              <w:left w:w="110" w:type="dxa"/>
              <w:bottom w:w="95" w:type="dxa"/>
              <w:right w:w="110" w:type="dxa"/>
            </w:tcMar>
            <w:vAlign w:val="center"/>
          </w:tcPr>
          <w:p w14:paraId="41B19B27" w14:textId="77777777" w:rsidR="00487463" w:rsidRDefault="00B10A8D">
            <w:pPr>
              <w:spacing w:after="0" w:line="240" w:lineRule="auto"/>
              <w:jc w:val="center"/>
              <w:rPr>
                <w:rFonts w:hint="eastAsia"/>
              </w:rPr>
            </w:pPr>
            <w:r>
              <w:rPr>
                <w:sz w:val="17"/>
              </w:rPr>
              <w:t>1.0</w:t>
            </w:r>
          </w:p>
        </w:tc>
        <w:tc>
          <w:tcPr>
            <w:tcW w:w="1728" w:type="dxa"/>
            <w:shd w:val="clear" w:color="auto" w:fill="FFFFFF"/>
            <w:tcMar>
              <w:top w:w="95" w:type="dxa"/>
              <w:left w:w="110" w:type="dxa"/>
              <w:bottom w:w="95" w:type="dxa"/>
              <w:right w:w="110" w:type="dxa"/>
            </w:tcMar>
            <w:vAlign w:val="center"/>
          </w:tcPr>
          <w:p w14:paraId="559A067A" w14:textId="77777777" w:rsidR="00487463" w:rsidRDefault="00B10A8D">
            <w:pPr>
              <w:spacing w:after="0" w:line="240" w:lineRule="auto"/>
              <w:rPr>
                <w:rFonts w:hint="eastAsia"/>
              </w:rPr>
            </w:pPr>
            <w:r>
              <w:rPr>
                <w:sz w:val="17"/>
              </w:rPr>
              <w:t>August 2026</w:t>
            </w:r>
          </w:p>
        </w:tc>
        <w:tc>
          <w:tcPr>
            <w:tcW w:w="2160" w:type="dxa"/>
            <w:shd w:val="clear" w:color="auto" w:fill="FFFFFF"/>
            <w:tcMar>
              <w:top w:w="95" w:type="dxa"/>
              <w:left w:w="110" w:type="dxa"/>
              <w:bottom w:w="95" w:type="dxa"/>
              <w:right w:w="110" w:type="dxa"/>
            </w:tcMar>
            <w:vAlign w:val="center"/>
          </w:tcPr>
          <w:p w14:paraId="10F751F6" w14:textId="77777777" w:rsidR="00487463" w:rsidRDefault="00B10A8D">
            <w:pPr>
              <w:spacing w:after="0" w:line="240" w:lineRule="auto"/>
              <w:rPr>
                <w:rFonts w:hint="eastAsia"/>
              </w:rPr>
            </w:pPr>
            <w:r>
              <w:rPr>
                <w:sz w:val="17"/>
              </w:rPr>
              <w:t>Conceptual predecessor</w:t>
            </w:r>
          </w:p>
        </w:tc>
        <w:tc>
          <w:tcPr>
            <w:tcW w:w="4320" w:type="dxa"/>
            <w:shd w:val="clear" w:color="auto" w:fill="FFFFFF"/>
            <w:tcMar>
              <w:top w:w="95" w:type="dxa"/>
              <w:left w:w="110" w:type="dxa"/>
              <w:bottom w:w="95" w:type="dxa"/>
              <w:right w:w="110" w:type="dxa"/>
            </w:tcMar>
            <w:vAlign w:val="center"/>
          </w:tcPr>
          <w:p w14:paraId="7B100376" w14:textId="77777777" w:rsidR="00487463" w:rsidRDefault="00B10A8D">
            <w:pPr>
              <w:spacing w:after="0" w:line="240" w:lineRule="auto"/>
              <w:rPr>
                <w:rFonts w:hint="eastAsia"/>
              </w:rPr>
            </w:pPr>
            <w:r>
              <w:rPr>
                <w:sz w:val="17"/>
              </w:rPr>
              <w:t>Established PIECE, DICE, BOSS, BOSS Ports, cognitive sovereignty, empirical competition, and divergent intelligence thesis.</w:t>
            </w:r>
          </w:p>
        </w:tc>
      </w:tr>
      <w:tr w:rsidR="00487463" w14:paraId="458F754B" w14:textId="77777777">
        <w:trPr>
          <w:jc w:val="center"/>
        </w:trPr>
        <w:tc>
          <w:tcPr>
            <w:tcW w:w="1152" w:type="dxa"/>
            <w:shd w:val="clear" w:color="auto" w:fill="FFFFFF"/>
            <w:tcMar>
              <w:top w:w="95" w:type="dxa"/>
              <w:left w:w="110" w:type="dxa"/>
              <w:bottom w:w="95" w:type="dxa"/>
              <w:right w:w="110" w:type="dxa"/>
            </w:tcMar>
            <w:vAlign w:val="center"/>
          </w:tcPr>
          <w:p w14:paraId="2E945958" w14:textId="77777777" w:rsidR="00487463" w:rsidRDefault="00B10A8D">
            <w:pPr>
              <w:spacing w:after="0" w:line="240" w:lineRule="auto"/>
              <w:jc w:val="center"/>
              <w:rPr>
                <w:rFonts w:hint="eastAsia"/>
              </w:rPr>
            </w:pPr>
            <w:r>
              <w:rPr>
                <w:sz w:val="17"/>
              </w:rPr>
              <w:t>2.0</w:t>
            </w:r>
          </w:p>
        </w:tc>
        <w:tc>
          <w:tcPr>
            <w:tcW w:w="1728" w:type="dxa"/>
            <w:shd w:val="clear" w:color="auto" w:fill="FFFFFF"/>
            <w:tcMar>
              <w:top w:w="95" w:type="dxa"/>
              <w:left w:w="110" w:type="dxa"/>
              <w:bottom w:w="95" w:type="dxa"/>
              <w:right w:w="110" w:type="dxa"/>
            </w:tcMar>
            <w:vAlign w:val="center"/>
          </w:tcPr>
          <w:p w14:paraId="0C344FE7" w14:textId="77777777" w:rsidR="00487463" w:rsidRDefault="00B10A8D">
            <w:pPr>
              <w:spacing w:after="0" w:line="240" w:lineRule="auto"/>
              <w:rPr>
                <w:rFonts w:hint="eastAsia"/>
              </w:rPr>
            </w:pPr>
            <w:r>
              <w:rPr>
                <w:sz w:val="17"/>
              </w:rPr>
              <w:t>August 2026</w:t>
            </w:r>
          </w:p>
        </w:tc>
        <w:tc>
          <w:tcPr>
            <w:tcW w:w="2160" w:type="dxa"/>
            <w:shd w:val="clear" w:color="auto" w:fill="FFFFFF"/>
            <w:tcMar>
              <w:top w:w="95" w:type="dxa"/>
              <w:left w:w="110" w:type="dxa"/>
              <w:bottom w:w="95" w:type="dxa"/>
              <w:right w:w="110" w:type="dxa"/>
            </w:tcMar>
            <w:vAlign w:val="center"/>
          </w:tcPr>
          <w:p w14:paraId="4DE9F69B" w14:textId="77777777" w:rsidR="00487463" w:rsidRDefault="00B10A8D">
            <w:pPr>
              <w:spacing w:after="0" w:line="240" w:lineRule="auto"/>
              <w:rPr>
                <w:rFonts w:hint="eastAsia"/>
              </w:rPr>
            </w:pPr>
            <w:r>
              <w:rPr>
                <w:sz w:val="17"/>
              </w:rPr>
              <w:t>Executable architecture rewrite</w:t>
            </w:r>
          </w:p>
        </w:tc>
        <w:tc>
          <w:tcPr>
            <w:tcW w:w="4320" w:type="dxa"/>
            <w:shd w:val="clear" w:color="auto" w:fill="FFFFFF"/>
            <w:tcMar>
              <w:top w:w="95" w:type="dxa"/>
              <w:left w:w="110" w:type="dxa"/>
              <w:bottom w:w="95" w:type="dxa"/>
              <w:right w:w="110" w:type="dxa"/>
            </w:tcMar>
            <w:vAlign w:val="center"/>
          </w:tcPr>
          <w:p w14:paraId="23A68029" w14:textId="77777777" w:rsidR="00487463" w:rsidRDefault="00B10A8D">
            <w:pPr>
              <w:spacing w:after="0" w:line="240" w:lineRule="auto"/>
              <w:rPr>
                <w:rFonts w:hint="eastAsia"/>
              </w:rPr>
            </w:pPr>
            <w:r>
              <w:rPr>
                <w:sz w:val="17"/>
              </w:rPr>
              <w:t>Adds deterministic BitWord reconstruction, native Base habitats, Z-bounded federation, Base Crawler, local SOLAR/BOOTSTRAP, opaque preservation, Liminal Bridge Base Cloning, BASE SERVICE integration, and reconstruction-before-translation.</w:t>
            </w:r>
          </w:p>
        </w:tc>
      </w:tr>
    </w:tbl>
    <w:p w14:paraId="2B939444" w14:textId="77777777" w:rsidR="00487463" w:rsidRDefault="00487463">
      <w:pPr>
        <w:spacing w:after="0"/>
        <w:rPr>
          <w:rFonts w:hint="eastAsia"/>
        </w:rPr>
      </w:pPr>
    </w:p>
    <w:sectPr w:rsidR="00487463" w:rsidSect="00034616">
      <w:headerReference w:type="default" r:id="rId36"/>
      <w:footerReference w:type="default" r:id="rId37"/>
      <w:pgSz w:w="12240" w:h="15840"/>
      <w:pgMar w:top="1037" w:right="1123" w:bottom="979" w:left="1123" w:header="490" w:footer="49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D868D" w14:textId="77777777" w:rsidR="00B10A8D" w:rsidRDefault="00B10A8D">
      <w:pPr>
        <w:spacing w:after="0" w:line="240" w:lineRule="auto"/>
        <w:rPr>
          <w:rFonts w:hint="eastAsia"/>
        </w:rPr>
      </w:pPr>
      <w:r>
        <w:separator/>
      </w:r>
    </w:p>
  </w:endnote>
  <w:endnote w:type="continuationSeparator" w:id="0">
    <w:p w14:paraId="7396BAAC" w14:textId="77777777" w:rsidR="00B10A8D" w:rsidRDefault="00B10A8D">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rlito">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9FC16" w14:textId="77777777" w:rsidR="00487463" w:rsidRDefault="00B10A8D">
    <w:pPr>
      <w:pStyle w:val="Footer"/>
      <w:jc w:val="right"/>
      <w:rPr>
        <w:rFonts w:hint="eastAsia"/>
      </w:rPr>
    </w:pPr>
    <w:r>
      <w:rPr>
        <w:color w:val="66717C"/>
        <w:sz w:val="17"/>
      </w:rPr>
      <w:fldChar w:fldCharType="begin"/>
    </w:r>
    <w:r>
      <w:rPr>
        <w:color w:val="66717C"/>
        <w:sz w:val="17"/>
      </w:rPr>
      <w:instrText xml:space="preserve"> PAGE </w:instrText>
    </w:r>
    <w:r>
      <w:rPr>
        <w:color w:val="66717C"/>
        <w:sz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0101C" w14:textId="77777777" w:rsidR="00B10A8D" w:rsidRDefault="00B10A8D">
      <w:pPr>
        <w:spacing w:after="0" w:line="240" w:lineRule="auto"/>
        <w:rPr>
          <w:rFonts w:hint="eastAsia"/>
        </w:rPr>
      </w:pPr>
      <w:r>
        <w:separator/>
      </w:r>
    </w:p>
  </w:footnote>
  <w:footnote w:type="continuationSeparator" w:id="0">
    <w:p w14:paraId="1F44EC5E" w14:textId="77777777" w:rsidR="00B10A8D" w:rsidRDefault="00B10A8D">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09EDC" w14:textId="77777777" w:rsidR="00487463" w:rsidRDefault="00B10A8D">
    <w:pPr>
      <w:pStyle w:val="Header"/>
      <w:rPr>
        <w:rFonts w:hint="eastAsia"/>
      </w:rPr>
    </w:pPr>
    <w:r>
      <w:rPr>
        <w:b/>
        <w:color w:val="536B84"/>
        <w:sz w:val="17"/>
      </w:rPr>
      <w:t>THE EDIFICE  |  Executable Federated Divergent Intelligence Architecture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25126958">
    <w:abstractNumId w:val="8"/>
  </w:num>
  <w:num w:numId="2" w16cid:durableId="732655120">
    <w:abstractNumId w:val="6"/>
  </w:num>
  <w:num w:numId="3" w16cid:durableId="1305046306">
    <w:abstractNumId w:val="5"/>
  </w:num>
  <w:num w:numId="4" w16cid:durableId="628585797">
    <w:abstractNumId w:val="4"/>
  </w:num>
  <w:num w:numId="5" w16cid:durableId="361786175">
    <w:abstractNumId w:val="7"/>
  </w:num>
  <w:num w:numId="6" w16cid:durableId="813761609">
    <w:abstractNumId w:val="3"/>
  </w:num>
  <w:num w:numId="7" w16cid:durableId="1791119863">
    <w:abstractNumId w:val="2"/>
  </w:num>
  <w:num w:numId="8" w16cid:durableId="1618097816">
    <w:abstractNumId w:val="1"/>
  </w:num>
  <w:num w:numId="9" w16cid:durableId="1832602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87463"/>
    <w:rsid w:val="008628AA"/>
    <w:rsid w:val="00AA1D8D"/>
    <w:rsid w:val="00B10A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39DFDA"/>
  <w14:defaultImageDpi w14:val="300"/>
  <w15:docId w15:val="{BDC15C41-5C5E-BE47-9621-1524DB4B9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Carlito" w:hAnsi="Carlito"/>
      <w:color w:val="202830"/>
      <w:sz w:val="21"/>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17324D"/>
      <w:sz w:val="32"/>
      <w:szCs w:val="28"/>
    </w:rPr>
  </w:style>
  <w:style w:type="paragraph" w:styleId="Heading2">
    <w:name w:val="heading 2"/>
    <w:basedOn w:val="Normal"/>
    <w:next w:val="Normal"/>
    <w:link w:val="Heading2Char"/>
    <w:uiPriority w:val="9"/>
    <w:unhideWhenUsed/>
    <w:qFormat/>
    <w:rsid w:val="00FC693F"/>
    <w:pPr>
      <w:keepNext/>
      <w:keepLines/>
      <w:spacing w:before="140" w:after="80"/>
      <w:outlineLvl w:val="1"/>
    </w:pPr>
    <w:rPr>
      <w:rFonts w:asciiTheme="majorHAnsi" w:eastAsiaTheme="majorEastAsia" w:hAnsiTheme="majorHAnsi" w:cstheme="majorBidi"/>
      <w:b/>
      <w:bCs/>
      <w:color w:val="2E6E9E"/>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F7B7D"/>
      <w:spacing w:val="15"/>
      <w:sz w:val="32"/>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header" Target="header1.xm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Pages>
  <Words>7856</Words>
  <Characters>44781</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52532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EDIFICE — Executable Federated Divergent Intelligence Architecture</dc:title>
  <dc:subject>PIECE, DICE, Semantic Kernels, federated Bases, Liminal Bridges, BOSS, and divergent intelligence</dc:subject>
  <dc:creator>python-docx</dc:creator>
  <cp:keywords>CERBERUS, EDIFICE, PIECE, DICE, Semantic Kernels, BOSS, Liminal Bridge, Base Crawler, SOLAR, BOOTSTRAP</cp:keywords>
  <dc:description>Architecture Rewrite v2.0</dc:description>
  <cp:lastModifiedBy>Shane Conrad</cp:lastModifiedBy>
  <cp:revision>2</cp:revision>
  <dcterms:created xsi:type="dcterms:W3CDTF">2026-08-22T16:58:00Z</dcterms:created>
  <dcterms:modified xsi:type="dcterms:W3CDTF">2026-08-22T16:58:00Z</dcterms:modified>
  <cp:category/>
</cp:coreProperties>
</file>