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80A10"/>
  <w:body>
    <w:p>
      <w:pPr>
        <w:spacing w:before="100" w:after="100"/>
        <w:jc w:val="center"/>
      </w:pPr>
      <w:r>
        <w:rPr>
          <w:rFonts w:ascii="Liberation Sans" w:hAnsi="Liberation Sans"/>
          <w:b/>
          <w:color w:val="39BFFF"/>
          <w:sz w:val="28"/>
        </w:rPr>
        <w:t>B3 - CERBERUS VISOR</w:t>
      </w:r>
    </w:p>
    <w:p>
      <w:pPr>
        <w:spacing w:after="60"/>
        <w:jc w:val="center"/>
      </w:pPr>
      <w:r>
        <w:rPr>
          <w:rFonts w:ascii="Liberation Sans" w:hAnsi="Liberation Sans"/>
          <w:b/>
          <w:color w:val="F0F4FF"/>
          <w:sz w:val="48"/>
        </w:rPr>
        <w:t>Structural Map and Reconstruction Architecture</w:t>
      </w:r>
    </w:p>
    <w:p>
      <w:pPr>
        <w:spacing w:after="160"/>
        <w:jc w:val="center"/>
      </w:pPr>
      <w:r>
        <w:rPr>
          <w:rFonts w:ascii="Liberation Sans" w:hAnsi="Liberation Sans"/>
          <w:color w:val="98A5B8"/>
          <w:sz w:val="19"/>
        </w:rPr>
        <w:t>Stack Registry  •  Table Registry  •  Structural Resolution  •  Native Reconstruction</w:t>
      </w:r>
    </w:p>
    <w:p>
      <w:pPr>
        <w:spacing w:after="100"/>
        <w:jc w:val="center"/>
      </w:pPr>
      <w:r>
        <w:rPr>
          <w:color w:val="DCE3EF"/>
        </w:rPr>
        <w:drawing>
          <wp:inline xmlns:a="http://schemas.openxmlformats.org/drawingml/2006/main" xmlns:pic="http://schemas.openxmlformats.org/drawingml/2006/picture">
            <wp:extent cx="3794760" cy="5355105"/>
            <wp:docPr id="1" name="Picture 1" descr="CERBERUS VISOR Structural Atlas cover graphic"/>
            <wp:cNvGraphicFramePr>
              <a:graphicFrameLocks noChangeAspect="1"/>
            </wp:cNvGraphicFramePr>
            <a:graphic>
              <a:graphicData uri="http://schemas.openxmlformats.org/drawingml/2006/picture">
                <pic:pic>
                  <pic:nvPicPr>
                    <pic:cNvPr id="0" name="VISOR_cover_atlas.png"/>
                    <pic:cNvPicPr/>
                  </pic:nvPicPr>
                  <pic:blipFill>
                    <a:blip r:embed="rId25"/>
                    <a:stretch>
                      <a:fillRect/>
                    </a:stretch>
                  </pic:blipFill>
                  <pic:spPr>
                    <a:xfrm>
                      <a:off x="0" y="0"/>
                      <a:ext cx="3794760" cy="5355105"/>
                    </a:xfrm>
                    <a:prstGeom prst="rect"/>
                  </pic:spPr>
                </pic:pic>
              </a:graphicData>
            </a:graphic>
          </wp:inline>
        </w:drawing>
      </w:r>
    </w:p>
    <w:p>
      <w:pPr>
        <w:spacing w:after="40"/>
        <w:jc w:val="center"/>
      </w:pPr>
      <w:r>
        <w:rPr>
          <w:rFonts w:ascii="Liberation Sans" w:hAnsi="Liberation Sans"/>
          <w:color w:val="F0F4FF"/>
          <w:sz w:val="22"/>
        </w:rPr>
        <w:t>Version 1.0  |  PASS 8 VERIFIED RELEASE</w:t>
      </w:r>
    </w:p>
    <w:p>
      <w:pPr>
        <w:jc w:val="center"/>
      </w:pPr>
      <w:r>
        <w:rPr>
          <w:rFonts w:ascii="Liberation Sans" w:hAnsi="Liberation Sans"/>
          <w:i/>
          <w:color w:val="98A5B8"/>
          <w:sz w:val="18"/>
        </w:rPr>
        <w:t>Governed structural terrain for a self-describing, navigable, inspectable, and reconstructable Base.</w:t>
      </w:r>
    </w:p>
    <w:p>
      <w:r>
        <w:rPr>
          <w:color w:val="DCE3EF"/>
        </w:rPr>
        <w:br w:type="page"/>
      </w:r>
    </w:p>
    <w:p>
      <w:pPr>
        <w:pStyle w:val="Heading1"/>
        <w:keepNext/>
        <w:spacing w:before="240" w:after="140"/>
      </w:pPr>
      <w:r>
        <w:rPr>
          <w:rFonts w:ascii="Liberation Sans" w:hAnsi="Liberation Sans"/>
          <w:b/>
          <w:color w:val="39BFFF"/>
          <w:sz w:val="38"/>
        </w:rPr>
        <w:t>Executive Orientation</w:t>
      </w:r>
    </w:p>
    <w:p>
      <w:pPr>
        <w:spacing w:after="140" w:line="259" w:lineRule="auto"/>
      </w:pPr>
      <w:r>
        <w:rPr>
          <w:rFonts w:ascii="Liberation Sans" w:hAnsi="Liberation Sans"/>
          <w:i w:val="0"/>
          <w:color w:val="DCE3EF"/>
          <w:sz w:val="20"/>
        </w:rPr>
        <w:t>VISOR is the governed structural map and reconstruction architecture of a CERBERUS Base. It makes the system's structural terrain explicit enough that a human, AI, or software process can determine what structural surfaces exist, where they belong, how they are connected, what can be traversed from the current context, and how deeply the implementation must be resolved for the task at hand. VISOR does this without absorbing the semantic authority of the systems it maps.</w:t>
      </w:r>
    </w:p>
    <w:p>
      <w:pPr>
        <w:spacing w:after="140" w:line="259" w:lineRule="auto"/>
      </w:pPr>
      <w:r>
        <w:rPr>
          <w:rFonts w:ascii="Liberation Sans" w:hAnsi="Liberation Sans"/>
          <w:i w:val="0"/>
          <w:color w:val="DCE3EF"/>
          <w:sz w:val="20"/>
        </w:rPr>
        <w:t>The current architecture is centered on two primary registries and one deeper descriptive layer. The Stack Registry describes bounded structural groupings and their organization. The Table Registry registers the Tables occupying those groupings. When a task must resolve below the Table boundary, the Structural Pattern Dictionary (SPD) describes the Field-level implementation structure required for inspection, repair, validation, or reconstruction. A lightweight Field Inventory supports observed schema work without replacing SPD.</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39BFFF"/>
              <w:left w:val="single" w:sz="18" w:color="39BFFF"/>
              <w:bottom w:val="single" w:sz="18" w:color="39BFFF"/>
              <w:right w:val="single" w:sz="18" w:color="39BFFF"/>
              <w:insideH w:val="single" w:sz="18" w:color="39BFFF"/>
              <w:insideV w:val="single" w:sz="18" w:color="39BFFF"/>
            </w:tcBorders>
            <w:tcMar>
              <w:top w:w="140" w:type="dxa"/>
              <w:start w:w="180" w:type="dxa"/>
              <w:bottom w:w="140" w:type="dxa"/>
              <w:end w:w="180" w:type="dxa"/>
            </w:tcMar>
          </w:tcPr>
          <w:p>
            <w:pPr>
              <w:spacing w:before="0" w:after="0"/>
              <w:jc w:val="center"/>
            </w:pPr>
            <w:r>
              <w:rPr>
                <w:rFonts w:ascii="Liberation Sans" w:hAnsi="Liberation Sans"/>
                <w:b/>
                <w:i w:val="0"/>
                <w:color w:val="F0F4FF"/>
                <w:sz w:val="22"/>
              </w:rPr>
              <w:t>VISOR DESCRIBES STRUCTURE. THE STRUCTURES IT MAPS RETAIN THEIR OWN AUTHORITY.</w:t>
            </w:r>
          </w:p>
        </w:tc>
      </w:tr>
    </w:tbl>
    <w:p>
      <w:pPr>
        <w:spacing w:after="40"/>
      </w:pPr>
    </w:p>
    <w:p>
      <w:pPr>
        <w:spacing w:after="140" w:line="259" w:lineRule="auto"/>
      </w:pPr>
      <w:r>
        <w:rPr>
          <w:rFonts w:ascii="Liberation Sans" w:hAnsi="Liberation Sans"/>
          <w:i w:val="0"/>
          <w:color w:val="DCE3EF"/>
          <w:sz w:val="20"/>
        </w:rPr>
        <w:t>This distinction is especially important for Native Personal Core reconstruction. The migration target is not an Airtable-shaped copy. The target is a structurally equivalent CERBERUS architecture whose Root Stacks, Stacks, Tables, Fields, relationships, cardinalities, derivations, classifications, and ownership boundaries can be independently observed and verified in new implementation material. VISOR provides the large-scale structural map; SPD provides deeper schema resolution; PORT handles material translation; PATCH and BUILD address defects or missing capability without becoming VISOR itself.</w:t>
      </w:r>
    </w:p>
    <w:p>
      <w:pPr>
        <w:pStyle w:val="Heading2"/>
        <w:keepNext/>
        <w:spacing w:before="180" w:after="100"/>
      </w:pPr>
      <w:r>
        <w:rPr>
          <w:rFonts w:ascii="Liberation Sans" w:hAnsi="Liberation Sans"/>
          <w:b/>
          <w:color w:val="80E8FF"/>
          <w:sz w:val="27"/>
        </w:rPr>
        <w:t>Definitive reconstruction sentence</w:t>
      </w:r>
    </w:p>
    <w:tbl>
      <w:tblPr>
        <w:tblW w:type="auto" w:w="0"/>
        <w:jc w:val="center"/>
        <w:tblLayout w:type="fixed"/>
        <w:tblLook w:firstColumn="1" w:firstRow="1" w:lastColumn="0" w:lastRow="0" w:noHBand="0" w:noVBand="1" w:val="04A0"/>
      </w:tblPr>
      <w:tblGrid>
        <w:gridCol w:w="10282"/>
      </w:tblGrid>
      <w:tr>
        <w:trPr>
          <w:cantSplit/>
        </w:trPr>
        <w:tc>
          <w:tcPr>
            <w:tcW w:type="dxa" w:w="10282"/>
            <w:shd w:fill="111825"/>
            <w:tcBorders>
              <w:top w:val="single" w:sz="18" w:color="80E8FF"/>
              <w:left w:val="single" w:sz="18" w:color="80E8FF"/>
              <w:bottom w:val="single" w:sz="18" w:color="80E8FF"/>
              <w:right w:val="single" w:sz="18" w:color="80E8FF"/>
              <w:insideH w:val="single" w:sz="18" w:color="80E8FF"/>
              <w:insideV w:val="single" w:sz="18" w:color="80E8FF"/>
            </w:tcBorders>
            <w:tcMar>
              <w:top w:w="140" w:type="dxa"/>
              <w:start w:w="180" w:type="dxa"/>
              <w:bottom w:w="140" w:type="dxa"/>
              <w:end w:w="180" w:type="dxa"/>
            </w:tcMar>
          </w:tcPr>
          <w:p>
            <w:pPr>
              <w:spacing w:before="0" w:after="0"/>
              <w:jc w:val="center"/>
            </w:pPr>
            <w:r>
              <w:rPr>
                <w:rFonts w:ascii="Liberation Sans" w:hAnsi="Liberation Sans"/>
                <w:b w:val="0"/>
                <w:i/>
                <w:color w:val="F0F4FF"/>
                <w:sz w:val="20"/>
              </w:rPr>
              <w:t>VISOR is CERBERUS's governed structural map: it registers how Tables are organized into bounded Stacks and Root-Stack territory, preserves explicit structural relationships and routes, and provides sufficient structural resolution for humans, AI, and software to locate, inspect, traverse, validate, and reconstruct the Base without confusing structural position with semantic identity or authority.</w:t>
            </w:r>
          </w:p>
        </w:tc>
      </w:tr>
    </w:tbl>
    <w:p>
      <w:pPr>
        <w:spacing w:after="40"/>
      </w:pPr>
    </w:p>
    <w:p>
      <w:pPr>
        <w:pStyle w:val="Heading2"/>
        <w:keepNext/>
        <w:spacing w:before="180" w:after="100"/>
      </w:pPr>
      <w:r>
        <w:rPr>
          <w:rFonts w:ascii="Liberation Sans" w:hAnsi="Liberation Sans"/>
          <w:b/>
          <w:color w:val="80E8FF"/>
          <w:sz w:val="27"/>
        </w:rPr>
        <w:t>Document map</w:t>
      </w:r>
    </w:p>
    <w:tbl>
      <w:tblPr>
        <w:tblW w:type="auto" w:w="0"/>
        <w:jc w:val="center"/>
        <w:tblLayout w:type="fixed"/>
        <w:tblLook w:firstColumn="1" w:firstRow="1" w:lastColumn="0" w:lastRow="0" w:noHBand="0" w:noVBand="1" w:val="04A0"/>
      </w:tblPr>
      <w:tblGrid>
        <w:gridCol w:w="3427"/>
        <w:gridCol w:w="3427"/>
        <w:gridCol w:w="3427"/>
      </w:tblGrid>
      <w:tr>
        <w:trPr>
          <w:tblHeader w:val="true"/>
        </w:trPr>
        <w:tc>
          <w:tcPr>
            <w:tcW w:type="dxa" w:w="504"/>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6"/>
              </w:rPr>
              <w:t>#</w:t>
            </w:r>
          </w:p>
        </w:tc>
        <w:tc>
          <w:tcPr>
            <w:tcW w:type="dxa" w:w="3168"/>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6"/>
              </w:rPr>
              <w:t>Section</w:t>
            </w:r>
          </w:p>
        </w:tc>
        <w:tc>
          <w:tcPr>
            <w:tcW w:type="dxa" w:w="5760"/>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6"/>
              </w:rPr>
              <w:t>Purpose</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1</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VISOR and the Structural Map</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Core purpose, scope, and structural resolution.</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2</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The Current VISOR Stack</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Stack Registry, Table Registry, SPD, and Field Inventory.</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3</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Registries and Deeper Structural Resolution</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What each layer answers and why the distinctions matter.</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4</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BRAIN and Root-Stack Territory</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Current B1-B12 structural orientation.</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5</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Structural Relationships and Traversal</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Containment, routing, dependencies, bridges, and task-bounded paths.</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6</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Topology and Navigation Projection</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Why structural truth is not a breadcrumb, tree, or rendered map.</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7</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Ownership and System Handoffs</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VISOR boundaries with owning systems, QUIVER, DARTBOARD, Shell, and authority.</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8</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AI Orientation and Recursive Self-Mapping</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How intelligence can orient deterministically, including around VISOR itself.</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9</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Native Reconstruction Architecture</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How VISOR and SPD rebuild the structural skeleton before record migration.</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10</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Development Boundaries</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VISOR, SPD, PORT, PATCH, BUILD, and explicit structural gaps.</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11</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Formal Invariant Registry</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Compact laws that must survive migration and redesign.</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12</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Native Verification Checklist</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Tests for structural parity and reconstruction readiness.</w:t>
            </w:r>
          </w:p>
        </w:tc>
      </w:tr>
      <w:tr>
        <w:trPr>
          <w:cantSplit/>
        </w:trPr>
        <w:tc>
          <w:tcPr>
            <w:tcW w:type="dxa" w:w="50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13</w:t>
            </w:r>
          </w:p>
        </w:tc>
        <w:tc>
          <w:tcPr>
            <w:tcW w:type="dxa" w:w="316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Closing Orientation</w:t>
            </w:r>
          </w:p>
        </w:tc>
        <w:tc>
          <w:tcPr>
            <w:tcW w:type="dxa" w:w="576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Compressed architecture and reconstruction test.</w:t>
            </w:r>
          </w:p>
        </w:tc>
      </w:tr>
    </w:tbl>
    <w:p>
      <w:pPr>
        <w:spacing w:after="40"/>
      </w:pPr>
    </w:p>
    <w:p>
      <w:pPr>
        <w:pStyle w:val="Heading1"/>
        <w:keepNext/>
        <w:spacing w:before="240" w:after="140"/>
      </w:pPr>
      <w:r>
        <w:rPr>
          <w:rFonts w:ascii="Liberation Sans" w:hAnsi="Liberation Sans"/>
          <w:b/>
          <w:color w:val="39BFFF"/>
          <w:sz w:val="38"/>
        </w:rPr>
        <w:t>1. VISOR and the Structural Map</w:t>
      </w:r>
    </w:p>
    <w:p>
      <w:pPr>
        <w:spacing w:after="140" w:line="259" w:lineRule="auto"/>
      </w:pPr>
      <w:r>
        <w:rPr>
          <w:rFonts w:ascii="Liberation Sans" w:hAnsi="Liberation Sans"/>
          <w:i w:val="0"/>
          <w:color w:val="DCE3EF"/>
          <w:sz w:val="20"/>
        </w:rPr>
        <w:t>A Base should be able to state its own structure explicitly. A user or AI should not have to infer architecture from screen layout, folder naming, table labels, or developer memory. If a Table exists, VISOR should be able to register it structurally. If that Table belongs to a Stack, that membership should be explicit. If the Stack sits beneath a Root Stack, that path should be resolvable. If the Table depends on, routes to, or bridges another structural surface, that relationship should be represented as a relationship rather than guessed from proximity.</w:t>
      </w:r>
    </w:p>
    <w:p>
      <w:pPr>
        <w:spacing w:after="140" w:line="259" w:lineRule="auto"/>
      </w:pPr>
      <w:r>
        <w:rPr>
          <w:rFonts w:ascii="Liberation Sans" w:hAnsi="Liberation Sans"/>
          <w:i w:val="0"/>
          <w:color w:val="DCE3EF"/>
          <w:sz w:val="20"/>
        </w:rPr>
        <w:t>VISOR therefore acts as structural terrain. It can answer questions such as: Where is this Table? Which Stack contains it? What Root-Stack territory does that Stack resolve toward? What related structures are explicitly reachable? What level of structural detail is required to answer the present question? Which owning system should be consulted for the semantics once the structural destination is known?</w:t>
      </w:r>
    </w:p>
    <w:p>
      <w:pPr>
        <w:pStyle w:val="Heading2"/>
        <w:keepNext/>
        <w:spacing w:before="180" w:after="100"/>
      </w:pPr>
      <w:r>
        <w:rPr>
          <w:rFonts w:ascii="Liberation Sans" w:hAnsi="Liberation Sans"/>
          <w:b/>
          <w:color w:val="80E8FF"/>
          <w:sz w:val="27"/>
        </w:rPr>
        <w:t>1.1 Four durable responsibilities</w:t>
      </w:r>
    </w:p>
    <w:p>
      <w:pPr>
        <w:pStyle w:val="ListBullet"/>
        <w:spacing w:after="60"/>
        <w:ind w:left="259" w:hanging="173"/>
      </w:pPr>
      <w:r>
        <w:rPr>
          <w:rFonts w:ascii="Liberation Sans" w:hAnsi="Liberation Sans"/>
          <w:color w:val="DCE3EF"/>
          <w:sz w:val="19"/>
        </w:rPr>
        <w:t>Inventory - register the structural objects that exist.</w:t>
      </w:r>
    </w:p>
    <w:p>
      <w:pPr>
        <w:pStyle w:val="ListBullet"/>
        <w:spacing w:after="60"/>
        <w:ind w:left="259" w:hanging="173"/>
      </w:pPr>
      <w:r>
        <w:rPr>
          <w:rFonts w:ascii="Liberation Sans" w:hAnsi="Liberation Sans"/>
          <w:color w:val="DCE3EF"/>
          <w:sz w:val="19"/>
        </w:rPr>
        <w:t>Topology - preserve explicit organization and relationships among those objects.</w:t>
      </w:r>
    </w:p>
    <w:p>
      <w:pPr>
        <w:pStyle w:val="ListBullet"/>
        <w:spacing w:after="60"/>
        <w:ind w:left="259" w:hanging="173"/>
      </w:pPr>
      <w:r>
        <w:rPr>
          <w:rFonts w:ascii="Liberation Sans" w:hAnsi="Liberation Sans"/>
          <w:color w:val="DCE3EF"/>
          <w:sz w:val="19"/>
        </w:rPr>
        <w:t>Routing - expose valid structural paths through the registered topology.</w:t>
      </w:r>
    </w:p>
    <w:p>
      <w:pPr>
        <w:pStyle w:val="ListBullet"/>
        <w:spacing w:after="60"/>
        <w:ind w:left="259" w:hanging="173"/>
      </w:pPr>
      <w:r>
        <w:rPr>
          <w:rFonts w:ascii="Liberation Sans" w:hAnsi="Liberation Sans"/>
          <w:color w:val="DCE3EF"/>
          <w:sz w:val="19"/>
        </w:rPr>
        <w:t>Reconstruction - preserve enough structure that the architecture can be recreated in another implementation material.</w:t>
      </w:r>
    </w:p>
    <w:p>
      <w:pPr>
        <w:spacing w:after="140" w:line="259" w:lineRule="auto"/>
      </w:pPr>
      <w:r>
        <w:rPr>
          <w:rFonts w:ascii="Liberation Sans" w:hAnsi="Liberation Sans"/>
          <w:i w:val="0"/>
          <w:color w:val="DCE3EF"/>
          <w:sz w:val="20"/>
        </w:rPr>
        <w:t>Navigation and interface presentation may use all four responsibilities, but rendered navigation is not itself a fifth source of structural truth. A tree, breadcrumb, relationship explorer, or AI context packet is a projection over VISOR-visible structure.</w:t>
      </w:r>
    </w:p>
    <w:p>
      <w:pPr>
        <w:pStyle w:val="Heading2"/>
        <w:keepNext/>
        <w:spacing w:before="180" w:after="100"/>
      </w:pPr>
      <w:r>
        <w:rPr>
          <w:rFonts w:ascii="Liberation Sans" w:hAnsi="Liberation Sans"/>
          <w:b/>
          <w:color w:val="80E8FF"/>
          <w:sz w:val="27"/>
        </w:rPr>
        <w:t>1.2 Structural resolution</w:t>
      </w:r>
    </w:p>
    <w:p>
      <w:pPr>
        <w:spacing w:after="140" w:line="259" w:lineRule="auto"/>
      </w:pPr>
      <w:r>
        <w:rPr>
          <w:rFonts w:ascii="Liberation Sans" w:hAnsi="Liberation Sans"/>
          <w:i w:val="0"/>
          <w:color w:val="DCE3EF"/>
          <w:sz w:val="20"/>
        </w:rPr>
        <w:t>VISOR operates across structural resolutions. At broad resolution, BRAIN provides the overall system territory and the twelve Root Stacks provide the major structural regions. Beneath that, Stacks organize bounded groupings, Tables define registered structural surfaces, and SPD can resolve the Field-level implementation structure of a selected Table.</w:t>
      </w:r>
    </w:p>
    <w:tbl>
      <w:tblPr>
        <w:tblW w:type="auto" w:w="0"/>
        <w:jc w:val="center"/>
        <w:tblLayout w:type="fixed"/>
        <w:tblLook w:firstColumn="1" w:firstRow="1" w:lastColumn="0" w:lastRow="0" w:noHBand="0" w:noVBand="1" w:val="04A0"/>
      </w:tblPr>
      <w:tblGrid>
        <w:gridCol w:w="10282"/>
      </w:tblGrid>
      <w:tr>
        <w:trPr>
          <w:cantSplit/>
        </w:trPr>
        <w:tc>
          <w:tcPr>
            <w:tcW w:type="dxa" w:w="10282"/>
            <w:shd w:fill="101827"/>
            <w:tcBorders>
              <w:top w:val="single" w:sz="9" w:color="80E8FF"/>
              <w:left w:val="single" w:sz="9" w:color="80E8FF"/>
              <w:bottom w:val="single" w:sz="9" w:color="80E8FF"/>
              <w:right w:val="single" w:sz="9" w:color="80E8FF"/>
              <w:insideH w:val="single" w:sz="9" w:color="80E8FF"/>
              <w:insideV w:val="single" w:sz="9" w:color="80E8FF"/>
            </w:tcBorders>
            <w:tcMar>
              <w:top w:w="120" w:type="dxa"/>
              <w:start w:w="130" w:type="dxa"/>
              <w:bottom w:w="120" w:type="dxa"/>
              <w:end w:w="130" w:type="dxa"/>
            </w:tcMar>
          </w:tcPr>
          <w:p>
            <w:pPr>
              <w:spacing w:after="0" w:line="240" w:lineRule="auto"/>
            </w:pPr>
            <w:r>
              <w:rPr>
                <w:rFonts w:ascii="DejaVu Sans Mono" w:hAnsi="DejaVu Sans Mono"/>
                <w:color w:val="DCE3EF"/>
                <w:sz w:val="16"/>
              </w:rPr>
              <w:t>BRAIN</w:t>
            </w:r>
            <w:r>
              <w:br/>
            </w:r>
            <w:r>
              <w:rPr>
                <w:rFonts w:ascii="DejaVu Sans Mono" w:hAnsi="DejaVu Sans Mono"/>
                <w:color w:val="DCE3EF"/>
                <w:sz w:val="16"/>
              </w:rPr>
              <w:t xml:space="preserve">  -&gt; ROOT STACK</w:t>
            </w:r>
            <w:r>
              <w:br/>
            </w:r>
            <w:r>
              <w:rPr>
                <w:rFonts w:ascii="DejaVu Sans Mono" w:hAnsi="DejaVu Sans Mono"/>
                <w:color w:val="DCE3EF"/>
                <w:sz w:val="16"/>
              </w:rPr>
              <w:t xml:space="preserve">       -&gt; STACK</w:t>
            </w:r>
            <w:r>
              <w:br/>
            </w:r>
            <w:r>
              <w:rPr>
                <w:rFonts w:ascii="DejaVu Sans Mono" w:hAnsi="DejaVu Sans Mono"/>
                <w:color w:val="DCE3EF"/>
                <w:sz w:val="16"/>
              </w:rPr>
              <w:t xml:space="preserve">            -&gt; TABLE</w:t>
            </w:r>
            <w:r>
              <w:br/>
            </w:r>
            <w:r>
              <w:rPr>
                <w:rFonts w:ascii="DejaVu Sans Mono" w:hAnsi="DejaVu Sans Mono"/>
                <w:color w:val="DCE3EF"/>
                <w:sz w:val="16"/>
              </w:rPr>
              <w:t xml:space="preserve">                 -&gt; FIELD / SPD</w:t>
            </w:r>
          </w:p>
        </w:tc>
      </w:tr>
    </w:tbl>
    <w:p>
      <w:pPr>
        <w:spacing w:after="20"/>
      </w:pPr>
    </w:p>
    <w:p>
      <w:pPr>
        <w:spacing w:after="140" w:line="259" w:lineRule="auto"/>
      </w:pPr>
      <w:r>
        <w:rPr>
          <w:rFonts w:ascii="Liberation Sans" w:hAnsi="Liberation Sans"/>
          <w:i w:val="0"/>
          <w:color w:val="DCE3EF"/>
          <w:sz w:val="20"/>
        </w:rPr>
        <w:t>This is a resolution ladder, not an execution pipeline. Moving downward does not mean that one layer executes the next. It means the observer is asking for a finer structural description. A simple orientation question may stop at Table or Stack level. A migration compiler may need to descend to Fields, types, links, cardinality, and derivation behavior.</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39BFFF"/>
              <w:left w:val="single" w:sz="18" w:color="39BFFF"/>
              <w:bottom w:val="single" w:sz="18" w:color="39BFFF"/>
              <w:right w:val="single" w:sz="18" w:color="39BFFF"/>
              <w:insideH w:val="single" w:sz="18" w:color="39BFFF"/>
              <w:insideV w:val="single" w:sz="18" w:color="39BFFF"/>
            </w:tcBorders>
            <w:tcMar>
              <w:top w:w="140" w:type="dxa"/>
              <w:start w:w="180" w:type="dxa"/>
              <w:bottom w:w="140" w:type="dxa"/>
              <w:end w:w="180" w:type="dxa"/>
            </w:tcMar>
          </w:tcPr>
          <w:p>
            <w:pPr>
              <w:spacing w:before="0" w:after="0"/>
              <w:jc w:val="center"/>
            </w:pPr>
            <w:r>
              <w:rPr>
                <w:rFonts w:ascii="Liberation Sans" w:hAnsi="Liberation Sans"/>
                <w:b/>
                <w:i w:val="0"/>
                <w:color w:val="F0F4FF"/>
                <w:sz w:val="22"/>
              </w:rPr>
              <w:t>TABLE != STACK != ROOT STACK != BRAIN  |  STRUCTURAL RESOLUTION != SEMANTIC AUTHORITY</w:t>
            </w:r>
          </w:p>
        </w:tc>
      </w:tr>
    </w:tbl>
    <w:p>
      <w:pPr>
        <w:spacing w:after="40"/>
      </w:pPr>
    </w:p>
    <w:p>
      <w:pPr>
        <w:keepNext/>
        <w:spacing w:before="80" w:after="60"/>
        <w:jc w:val="center"/>
      </w:pPr>
      <w:r>
        <w:rPr>
          <w:color w:val="DCE3EF"/>
        </w:rPr>
        <w:drawing>
          <wp:inline xmlns:a="http://schemas.openxmlformats.org/drawingml/2006/main" xmlns:pic="http://schemas.openxmlformats.org/drawingml/2006/picture">
            <wp:extent cx="6446520" cy="4297680"/>
            <wp:docPr id="2" name="Picture 2" descr="Figure 1. VISOR Structural Resolution"/>
            <wp:cNvGraphicFramePr>
              <a:graphicFrameLocks noChangeAspect="1"/>
            </wp:cNvGraphicFramePr>
            <a:graphic>
              <a:graphicData uri="http://schemas.openxmlformats.org/drawingml/2006/picture">
                <pic:pic>
                  <pic:nvPicPr>
                    <pic:cNvPr id="0" name="a_wide_infographic_poster_on_a_dark_sci_fi_neon.png"/>
                    <pic:cNvPicPr/>
                  </pic:nvPicPr>
                  <pic:blipFill>
                    <a:blip r:embed="rId26"/>
                    <a:stretch>
                      <a:fillRect/>
                    </a:stretch>
                  </pic:blipFill>
                  <pic:spPr>
                    <a:xfrm>
                      <a:off x="0" y="0"/>
                      <a:ext cx="6446520" cy="4297680"/>
                    </a:xfrm>
                    <a:prstGeom prst="rect"/>
                  </pic:spPr>
                </pic:pic>
              </a:graphicData>
            </a:graphic>
          </wp:inline>
        </w:drawing>
      </w:r>
    </w:p>
    <w:p>
      <w:pPr>
        <w:pStyle w:val="Caption"/>
        <w:keepNext w:val="0"/>
        <w:spacing w:after="160"/>
        <w:jc w:val="center"/>
      </w:pPr>
      <w:r>
        <w:rPr>
          <w:rFonts w:ascii="Liberation Sans" w:hAnsi="Liberation Sans"/>
          <w:color w:val="80E8FF"/>
          <w:sz w:val="16"/>
        </w:rPr>
        <w:t>Figure 1. VISOR Structural Resolution. VISOR can resolve from BRAIN territory toward progressively finer structural detail while preserving the distinction between structural scale, semantic ownership, and runtime execution.</w:t>
      </w:r>
    </w:p>
    <w:p>
      <w:pPr>
        <w:pStyle w:val="Heading1"/>
        <w:keepNext/>
        <w:spacing w:before="240" w:after="140"/>
      </w:pPr>
      <w:r>
        <w:rPr>
          <w:rFonts w:ascii="Liberation Sans" w:hAnsi="Liberation Sans"/>
          <w:b/>
          <w:color w:val="39BFFF"/>
          <w:sz w:val="38"/>
        </w:rPr>
        <w:t>2. The Current VISOR Stack</w:t>
      </w:r>
    </w:p>
    <w:p>
      <w:pPr>
        <w:spacing w:after="140" w:line="259" w:lineRule="auto"/>
      </w:pPr>
      <w:r>
        <w:rPr>
          <w:rFonts w:ascii="Liberation Sans" w:hAnsi="Liberation Sans"/>
          <w:i w:val="0"/>
          <w:color w:val="DCE3EF"/>
          <w:sz w:val="20"/>
        </w:rPr>
        <w:t>The current VISOR Stack contains four visible structural surfaces with different responsibilities: Stack Registry, Table Registry, SPD Writer, and Field Inventory. Their coexistence is important because they answer different questions at different levels of resolution. The Stack Registry and Table Registry form the primary orientation map. SPD provides deeper implementation description. Field Inventory supports lightweight observation and cleanup.</w:t>
      </w:r>
    </w:p>
    <w:p>
      <w:pPr>
        <w:pStyle w:val="Heading2"/>
        <w:keepNext/>
        <w:spacing w:before="180" w:after="100"/>
      </w:pPr>
      <w:r>
        <w:rPr>
          <w:rFonts w:ascii="Liberation Sans" w:hAnsi="Liberation Sans"/>
          <w:b/>
          <w:color w:val="80E8FF"/>
          <w:sz w:val="27"/>
        </w:rPr>
        <w:t>2.1 Stack Registry</w:t>
      </w:r>
    </w:p>
    <w:p>
      <w:pPr>
        <w:spacing w:after="140" w:line="259" w:lineRule="auto"/>
      </w:pPr>
      <w:r>
        <w:rPr>
          <w:rFonts w:ascii="Liberation Sans" w:hAnsi="Liberation Sans"/>
          <w:i w:val="0"/>
          <w:color w:val="DCE3EF"/>
          <w:sz w:val="20"/>
        </w:rPr>
        <w:t>The Stack Registry describes bounded structural groupings. It carries Stack identity, purpose, ordering, Table membership, parent and child Stack relationships, lifecycle state, and the connection toward BRAIN-level orientation. The stable contract is not a particular Airtable field layout; it is that a Stack can be identified and placed in broader structural context.</w:t>
      </w:r>
    </w:p>
    <w:p>
      <w:pPr>
        <w:pStyle w:val="Heading2"/>
        <w:keepNext/>
        <w:spacing w:before="180" w:after="100"/>
      </w:pPr>
      <w:r>
        <w:rPr>
          <w:rFonts w:ascii="Liberation Sans" w:hAnsi="Liberation Sans"/>
          <w:b/>
          <w:color w:val="80E8FF"/>
          <w:sz w:val="27"/>
        </w:rPr>
        <w:t>2.2 Table Registry</w:t>
      </w:r>
    </w:p>
    <w:p>
      <w:pPr>
        <w:spacing w:after="140" w:line="259" w:lineRule="auto"/>
      </w:pPr>
      <w:r>
        <w:rPr>
          <w:rFonts w:ascii="Liberation Sans" w:hAnsi="Liberation Sans"/>
          <w:i w:val="0"/>
          <w:color w:val="DCE3EF"/>
          <w:sz w:val="20"/>
        </w:rPr>
        <w:t>The Table Registry describes registered structural surfaces. It records the Table identity used by VISOR, the Table's name and purpose, Stack membership, local order, implementation location or platform context where useful, lifecycle state, and relationships to supporting structural resources. A registry record does not absorb the records or semantic authority contained in the Table it describes.</w:t>
      </w:r>
    </w:p>
    <w:p>
      <w:pPr>
        <w:pStyle w:val="Heading2"/>
        <w:keepNext/>
        <w:spacing w:before="180" w:after="100"/>
      </w:pPr>
      <w:r>
        <w:rPr>
          <w:rFonts w:ascii="Liberation Sans" w:hAnsi="Liberation Sans"/>
          <w:b/>
          <w:color w:val="80E8FF"/>
          <w:sz w:val="27"/>
        </w:rPr>
        <w:t>2.3 SPD Writer</w:t>
      </w:r>
    </w:p>
    <w:p>
      <w:pPr>
        <w:spacing w:after="140" w:line="259" w:lineRule="auto"/>
      </w:pPr>
      <w:r>
        <w:rPr>
          <w:rFonts w:ascii="Liberation Sans" w:hAnsi="Liberation Sans"/>
          <w:i w:val="0"/>
          <w:color w:val="DCE3EF"/>
          <w:sz w:val="20"/>
        </w:rPr>
        <w:t>SPD resolves below the Table boundary when deeper structural inspection is required. In the current implementation, the SPD Writer can describe Field identity and order, Field type, Table link targets, classifications, list or code metadata, descriptive purpose, status, and generated Field/Table/Stack structural descriptions. The exact operational specification for SPD belongs to its own architecture; within VISOR, the important point is that the structural map can see deeply enough to reconstruct implementation structure rather than stopping at a list of Table names.</w:t>
      </w:r>
    </w:p>
    <w:p>
      <w:pPr>
        <w:pStyle w:val="Heading2"/>
        <w:keepNext/>
        <w:spacing w:before="180" w:after="100"/>
      </w:pPr>
      <w:r>
        <w:rPr>
          <w:rFonts w:ascii="Liberation Sans" w:hAnsi="Liberation Sans"/>
          <w:b/>
          <w:color w:val="80E8FF"/>
          <w:sz w:val="27"/>
        </w:rPr>
        <w:t>2.4 Field Inventory</w:t>
      </w:r>
    </w:p>
    <w:p>
      <w:pPr>
        <w:spacing w:after="140" w:line="259" w:lineRule="auto"/>
      </w:pPr>
      <w:r>
        <w:rPr>
          <w:rFonts w:ascii="Liberation Sans" w:hAnsi="Liberation Sans"/>
          <w:i w:val="0"/>
          <w:color w:val="DCE3EF"/>
          <w:sz w:val="20"/>
        </w:rPr>
        <w:t>Field Inventory is a lightweight observed-schema surface. It is useful during cleanup, inspection, and SPD work because it can expose what implementation Fields are presently visible without requiring a complete semantic description. It does not replace SPD and should not be treated as the canonical explanation of Field meaning.</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80E8FF"/>
              <w:left w:val="single" w:sz="18" w:color="80E8FF"/>
              <w:bottom w:val="single" w:sz="18" w:color="80E8FF"/>
              <w:right w:val="single" w:sz="18" w:color="80E8FF"/>
              <w:insideH w:val="single" w:sz="18" w:color="80E8FF"/>
              <w:insideV w:val="single" w:sz="18" w:color="80E8FF"/>
            </w:tcBorders>
            <w:tcMar>
              <w:top w:w="140" w:type="dxa"/>
              <w:start w:w="180" w:type="dxa"/>
              <w:bottom w:w="140" w:type="dxa"/>
              <w:end w:w="180" w:type="dxa"/>
            </w:tcMar>
          </w:tcPr>
          <w:p>
            <w:pPr>
              <w:spacing w:before="0" w:after="0"/>
              <w:jc w:val="center"/>
            </w:pPr>
            <w:r>
              <w:rPr>
                <w:rFonts w:ascii="Liberation Sans" w:hAnsi="Liberation Sans"/>
                <w:b/>
                <w:i w:val="0"/>
                <w:color w:val="F0F4FF"/>
                <w:sz w:val="22"/>
              </w:rPr>
              <w:t>REGISTRIES ORIENT  •  SPD RESOLVES  •  INVENTORY OBSERVES</w:t>
            </w:r>
          </w:p>
        </w:tc>
      </w:tr>
    </w:tbl>
    <w:p>
      <w:pPr>
        <w:spacing w:after="40"/>
      </w:pPr>
    </w:p>
    <w:p>
      <w:pPr>
        <w:keepNext/>
        <w:spacing w:before="80" w:after="60"/>
        <w:jc w:val="center"/>
      </w:pPr>
      <w:r>
        <w:rPr>
          <w:color w:val="DCE3EF"/>
        </w:rPr>
        <w:drawing>
          <wp:inline xmlns:a="http://schemas.openxmlformats.org/drawingml/2006/main" xmlns:pic="http://schemas.openxmlformats.org/drawingml/2006/picture">
            <wp:extent cx="6446520" cy="4297680"/>
            <wp:docPr id="3" name="Picture 3" descr="Figure 2. The Current VISOR Stack"/>
            <wp:cNvGraphicFramePr>
              <a:graphicFrameLocks noChangeAspect="1"/>
            </wp:cNvGraphicFramePr>
            <a:graphic>
              <a:graphicData uri="http://schemas.openxmlformats.org/drawingml/2006/picture">
                <pic:pic>
                  <pic:nvPicPr>
                    <pic:cNvPr id="0" name="a_detailed_sci_fi_infographic_poster_diagram_in_da.png"/>
                    <pic:cNvPicPr/>
                  </pic:nvPicPr>
                  <pic:blipFill>
                    <a:blip r:embed="rId27"/>
                    <a:stretch>
                      <a:fillRect/>
                    </a:stretch>
                  </pic:blipFill>
                  <pic:spPr>
                    <a:xfrm>
                      <a:off x="0" y="0"/>
                      <a:ext cx="6446520" cy="4297680"/>
                    </a:xfrm>
                    <a:prstGeom prst="rect"/>
                  </pic:spPr>
                </pic:pic>
              </a:graphicData>
            </a:graphic>
          </wp:inline>
        </w:drawing>
      </w:r>
    </w:p>
    <w:p>
      <w:pPr>
        <w:pStyle w:val="Caption"/>
        <w:keepNext w:val="0"/>
        <w:spacing w:after="160"/>
        <w:jc w:val="center"/>
      </w:pPr>
      <w:r>
        <w:rPr>
          <w:rFonts w:ascii="Liberation Sans" w:hAnsi="Liberation Sans"/>
          <w:color w:val="80E8FF"/>
          <w:sz w:val="16"/>
        </w:rPr>
        <w:t>Figure 2. The Current VISOR Stack. The current B3 implementation separates Stack organization, Table registration, deeper SPD description, and lightweight Field observation while preserving their distinct structural roles.</w:t>
      </w:r>
    </w:p>
    <w:p>
      <w:pPr>
        <w:pStyle w:val="Heading1"/>
        <w:keepNext/>
        <w:spacing w:before="240" w:after="140"/>
      </w:pPr>
      <w:r>
        <w:rPr>
          <w:rFonts w:ascii="Liberation Sans" w:hAnsi="Liberation Sans"/>
          <w:b/>
          <w:color w:val="39BFFF"/>
          <w:sz w:val="38"/>
        </w:rPr>
        <w:t>3. Registries and Deeper Structural Resolution</w:t>
      </w:r>
    </w:p>
    <w:p>
      <w:pPr>
        <w:spacing w:after="140" w:line="259" w:lineRule="auto"/>
      </w:pPr>
      <w:r>
        <w:rPr>
          <w:rFonts w:ascii="Liberation Sans" w:hAnsi="Liberation Sans"/>
          <w:i w:val="0"/>
          <w:color w:val="DCE3EF"/>
          <w:sz w:val="20"/>
        </w:rPr>
        <w:t>The easiest way to understand the current architecture is to ask three different structural questions. A Stack Registry record answers where a bounded grouping belongs and how it is organized. A Table Registry record answers which registered surface is being addressed and where it sits within that grouping. SPD answers how that surface is actually constructed when the task requires Field-level detail.</w:t>
      </w:r>
    </w:p>
    <w:tbl>
      <w:tblPr>
        <w:tblW w:type="auto" w:w="0"/>
        <w:jc w:val="center"/>
        <w:tblLayout w:type="fixed"/>
        <w:tblLook w:firstColumn="1" w:firstRow="1" w:lastColumn="0" w:lastRow="0" w:noHBand="0" w:noVBand="1" w:val="04A0"/>
      </w:tblPr>
      <w:tblGrid>
        <w:gridCol w:w="3427"/>
        <w:gridCol w:w="3427"/>
        <w:gridCol w:w="3427"/>
      </w:tblGrid>
      <w:tr>
        <w:trPr>
          <w:tblHeader w:val="true"/>
        </w:trPr>
        <w:tc>
          <w:tcPr>
            <w:tcW w:type="dxa" w:w="1584"/>
            <w:shd w:fill="80E8FF"/>
            <w:tcBorders>
              <w:top w:val="single" w:sz="6" w:color="80E8FF"/>
              <w:left w:val="single" w:sz="6" w:color="80E8FF"/>
              <w:bottom w:val="single" w:sz="6" w:color="80E8FF"/>
              <w:right w:val="single" w:sz="6" w:color="80E8FF"/>
              <w:insideH w:val="single" w:sz="6" w:color="80E8FF"/>
              <w:insideV w:val="single" w:sz="6" w:color="80E8FF"/>
            </w:tcBorders>
            <w:tcMar>
              <w:top w:w="100" w:type="dxa"/>
              <w:start w:w="110" w:type="dxa"/>
              <w:bottom w:w="100" w:type="dxa"/>
              <w:end w:w="110" w:type="dxa"/>
            </w:tcMar>
            <w:vAlign w:val="center"/>
          </w:tcPr>
          <w:p>
            <w:pPr>
              <w:jc w:val="center"/>
            </w:pPr>
            <w:r>
              <w:rPr>
                <w:rFonts w:ascii="Liberation Sans" w:hAnsi="Liberation Sans"/>
                <w:b/>
                <w:color w:val="F0F4FF"/>
                <w:sz w:val="16"/>
              </w:rPr>
              <w:t>Layer</w:t>
            </w:r>
          </w:p>
        </w:tc>
        <w:tc>
          <w:tcPr>
            <w:tcW w:type="dxa" w:w="2880"/>
            <w:shd w:fill="80E8FF"/>
            <w:tcBorders>
              <w:top w:val="single" w:sz="6" w:color="80E8FF"/>
              <w:left w:val="single" w:sz="6" w:color="80E8FF"/>
              <w:bottom w:val="single" w:sz="6" w:color="80E8FF"/>
              <w:right w:val="single" w:sz="6" w:color="80E8FF"/>
              <w:insideH w:val="single" w:sz="6" w:color="80E8FF"/>
              <w:insideV w:val="single" w:sz="6" w:color="80E8FF"/>
            </w:tcBorders>
            <w:tcMar>
              <w:top w:w="100" w:type="dxa"/>
              <w:start w:w="110" w:type="dxa"/>
              <w:bottom w:w="100" w:type="dxa"/>
              <w:end w:w="110" w:type="dxa"/>
            </w:tcMar>
            <w:vAlign w:val="center"/>
          </w:tcPr>
          <w:p>
            <w:pPr>
              <w:jc w:val="center"/>
            </w:pPr>
            <w:r>
              <w:rPr>
                <w:rFonts w:ascii="Liberation Sans" w:hAnsi="Liberation Sans"/>
                <w:b/>
                <w:color w:val="F0F4FF"/>
                <w:sz w:val="16"/>
              </w:rPr>
              <w:t>Primary question</w:t>
            </w:r>
          </w:p>
        </w:tc>
        <w:tc>
          <w:tcPr>
            <w:tcW w:type="dxa" w:w="5184"/>
            <w:shd w:fill="80E8FF"/>
            <w:tcBorders>
              <w:top w:val="single" w:sz="6" w:color="80E8FF"/>
              <w:left w:val="single" w:sz="6" w:color="80E8FF"/>
              <w:bottom w:val="single" w:sz="6" w:color="80E8FF"/>
              <w:right w:val="single" w:sz="6" w:color="80E8FF"/>
              <w:insideH w:val="single" w:sz="6" w:color="80E8FF"/>
              <w:insideV w:val="single" w:sz="6" w:color="80E8FF"/>
            </w:tcBorders>
            <w:tcMar>
              <w:top w:w="100" w:type="dxa"/>
              <w:start w:w="110" w:type="dxa"/>
              <w:bottom w:w="100" w:type="dxa"/>
              <w:end w:w="110" w:type="dxa"/>
            </w:tcMar>
            <w:vAlign w:val="center"/>
          </w:tcPr>
          <w:p>
            <w:pPr>
              <w:jc w:val="center"/>
            </w:pPr>
            <w:r>
              <w:rPr>
                <w:rFonts w:ascii="Liberation Sans" w:hAnsi="Liberation Sans"/>
                <w:b/>
                <w:color w:val="F0F4FF"/>
                <w:sz w:val="16"/>
              </w:rPr>
              <w:t>Typical structural information</w:t>
            </w:r>
          </w:p>
        </w:tc>
      </w:tr>
      <w:tr>
        <w:trPr>
          <w:cantSplit/>
        </w:trPr>
        <w:tc>
          <w:tcPr>
            <w:tcW w:type="dxa" w:w="158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Stack Registry</w:t>
            </w:r>
          </w:p>
        </w:tc>
        <w:tc>
          <w:tcPr>
            <w:tcW w:type="dxa" w:w="288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What bounded structural grouping?</w:t>
            </w:r>
          </w:p>
        </w:tc>
        <w:tc>
          <w:tcPr>
            <w:tcW w:type="dxa" w:w="518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Stack identity, purpose, order, Tables, parent/child Stacks, Root orientation.</w:t>
            </w:r>
          </w:p>
        </w:tc>
      </w:tr>
      <w:tr>
        <w:trPr>
          <w:cantSplit/>
        </w:trPr>
        <w:tc>
          <w:tcPr>
            <w:tcW w:type="dxa" w:w="158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Table Registry</w:t>
            </w:r>
          </w:p>
        </w:tc>
        <w:tc>
          <w:tcPr>
            <w:tcW w:type="dxa" w:w="288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Which registered structural surface?</w:t>
            </w:r>
          </w:p>
        </w:tc>
        <w:tc>
          <w:tcPr>
            <w:tcW w:type="dxa" w:w="518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Table identity, purpose, Stack membership, order, status, implementation location, structural links.</w:t>
            </w:r>
          </w:p>
        </w:tc>
      </w:tr>
      <w:tr>
        <w:trPr>
          <w:cantSplit/>
        </w:trPr>
        <w:tc>
          <w:tcPr>
            <w:tcW w:type="dxa" w:w="158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SPD</w:t>
            </w:r>
          </w:p>
        </w:tc>
        <w:tc>
          <w:tcPr>
            <w:tcW w:type="dxa" w:w="288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How is that surface constructed?</w:t>
            </w:r>
          </w:p>
        </w:tc>
        <w:tc>
          <w:tcPr>
            <w:tcW w:type="dxa" w:w="518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Fields, types, links, cardinality, derivation, classification, lists/code, descriptions.</w:t>
            </w:r>
          </w:p>
        </w:tc>
      </w:tr>
      <w:tr>
        <w:trPr>
          <w:cantSplit/>
        </w:trPr>
        <w:tc>
          <w:tcPr>
            <w:tcW w:type="dxa" w:w="158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Field Inventory</w:t>
            </w:r>
          </w:p>
        </w:tc>
        <w:tc>
          <w:tcPr>
            <w:tcW w:type="dxa" w:w="288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What implementation Fields are currently observed?</w:t>
            </w:r>
          </w:p>
        </w:tc>
        <w:tc>
          <w:tcPr>
            <w:tcW w:type="dxa" w:w="5184"/>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Lightweight inventory for inspection, cleanup, and SPD development.</w:t>
            </w:r>
          </w:p>
        </w:tc>
      </w:tr>
    </w:tbl>
    <w:p>
      <w:pPr>
        <w:spacing w:after="40"/>
      </w:pPr>
    </w:p>
    <w:p>
      <w:pPr>
        <w:pStyle w:val="Heading2"/>
        <w:keepNext/>
        <w:spacing w:before="180" w:after="100"/>
      </w:pPr>
      <w:r>
        <w:rPr>
          <w:rFonts w:ascii="Liberation Sans" w:hAnsi="Liberation Sans"/>
          <w:b/>
          <w:color w:val="80E8FF"/>
          <w:sz w:val="27"/>
        </w:rPr>
        <w:t>3.1 Registry record is not registered object</w:t>
      </w:r>
    </w:p>
    <w:p>
      <w:pPr>
        <w:spacing w:after="140" w:line="259" w:lineRule="auto"/>
      </w:pPr>
      <w:r>
        <w:rPr>
          <w:rFonts w:ascii="Liberation Sans" w:hAnsi="Liberation Sans"/>
          <w:i w:val="0"/>
          <w:color w:val="DCE3EF"/>
          <w:sz w:val="20"/>
        </w:rPr>
        <w:t>A Table Registry record can state that a Reader Binding Table belongs to BIGFOOT, that it has a particular structural purpose, and that it relates to other Tables. That does not turn the Registry record into the Reader Binding Table. Likewise, a Stack record is not the Tables it groups. Registry records provide structural context around independently addressable objects.</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39BFFF"/>
              <w:left w:val="single" w:sz="18" w:color="39BFFF"/>
              <w:bottom w:val="single" w:sz="18" w:color="39BFFF"/>
              <w:right w:val="single" w:sz="18" w:color="39BFFF"/>
              <w:insideH w:val="single" w:sz="18" w:color="39BFFF"/>
              <w:insideV w:val="single" w:sz="18" w:color="39BFFF"/>
            </w:tcBorders>
            <w:tcMar>
              <w:top w:w="140" w:type="dxa"/>
              <w:start w:w="180" w:type="dxa"/>
              <w:bottom w:w="140" w:type="dxa"/>
              <w:end w:w="180" w:type="dxa"/>
            </w:tcMar>
          </w:tcPr>
          <w:p>
            <w:pPr>
              <w:spacing w:before="0" w:after="0"/>
              <w:jc w:val="center"/>
            </w:pPr>
            <w:r>
              <w:rPr>
                <w:rFonts w:ascii="Liberation Sans" w:hAnsi="Liberation Sans"/>
                <w:b w:val="0"/>
                <w:i/>
                <w:color w:val="F0F4FF"/>
                <w:sz w:val="22"/>
              </w:rPr>
              <w:t>THE MAP MAY DESCRIBE THE BUILDING WITHOUT BECOMING THE BUILDING.</w:t>
            </w:r>
          </w:p>
        </w:tc>
      </w:tr>
    </w:tbl>
    <w:p>
      <w:pPr>
        <w:spacing w:after="40"/>
      </w:pPr>
    </w:p>
    <w:p>
      <w:pPr>
        <w:pStyle w:val="Heading2"/>
        <w:keepNext/>
        <w:spacing w:before="180" w:after="100"/>
      </w:pPr>
      <w:r>
        <w:rPr>
          <w:rFonts w:ascii="Liberation Sans" w:hAnsi="Liberation Sans"/>
          <w:b/>
          <w:color w:val="80E8FF"/>
          <w:sz w:val="27"/>
        </w:rPr>
        <w:t>3.2 Resolution economy</w:t>
      </w:r>
    </w:p>
    <w:p>
      <w:pPr>
        <w:spacing w:after="140" w:line="259" w:lineRule="auto"/>
      </w:pPr>
      <w:r>
        <w:rPr>
          <w:rFonts w:ascii="Liberation Sans" w:hAnsi="Liberation Sans"/>
          <w:i w:val="0"/>
          <w:color w:val="DCE3EF"/>
          <w:sz w:val="20"/>
        </w:rPr>
        <w:t>VISOR should resolve only as deeply as the structural question requires. If the question is simply where a Table belongs, Table and Stack information may be enough. If the task is to reconstruct a native schema, validate a link, or determine whether a Field is derived, SPD-level resolution becomes necessary. Deeper resolution is additional structural detail, not greater truth or greater authority.</w:t>
      </w:r>
    </w:p>
    <w:p>
      <w:pPr>
        <w:pStyle w:val="Heading2"/>
        <w:keepNext/>
        <w:spacing w:before="180" w:after="100"/>
      </w:pPr>
      <w:r>
        <w:rPr>
          <w:rFonts w:ascii="Liberation Sans" w:hAnsi="Liberation Sans"/>
          <w:b/>
          <w:color w:val="80E8FF"/>
          <w:sz w:val="27"/>
        </w:rPr>
        <w:t>3.3 Structure survives implementation change</w:t>
      </w:r>
    </w:p>
    <w:p>
      <w:pPr>
        <w:spacing w:after="140" w:line="259" w:lineRule="auto"/>
      </w:pPr>
      <w:r>
        <w:rPr>
          <w:rFonts w:ascii="Liberation Sans" w:hAnsi="Liberation Sans"/>
          <w:i w:val="0"/>
          <w:color w:val="DCE3EF"/>
          <w:sz w:val="20"/>
        </w:rPr>
        <w:t>An Airtable linked-record field, a SQLite foreign key, and a junction table can all be different material implementations of a relationship. VISOR's long-term value comes from preserving what structural relationship exists, not from treating one platform's implementation primitive as the architecture itself. The current platform is evidence. The structural contract is what must survive.</w:t>
      </w:r>
    </w:p>
    <w:p>
      <w:pPr>
        <w:keepNext/>
        <w:spacing w:before="80" w:after="60"/>
        <w:jc w:val="center"/>
      </w:pPr>
      <w:r>
        <w:rPr>
          <w:color w:val="DCE3EF"/>
        </w:rPr>
        <w:drawing>
          <wp:inline xmlns:a="http://schemas.openxmlformats.org/drawingml/2006/main" xmlns:pic="http://schemas.openxmlformats.org/drawingml/2006/picture">
            <wp:extent cx="6446520" cy="4297680"/>
            <wp:docPr id="4" name="Picture 4" descr="Figure 3. Three Structural Questions"/>
            <wp:cNvGraphicFramePr>
              <a:graphicFrameLocks noChangeAspect="1"/>
            </wp:cNvGraphicFramePr>
            <a:graphic>
              <a:graphicData uri="http://schemas.openxmlformats.org/drawingml/2006/picture">
                <pic:pic>
                  <pic:nvPicPr>
                    <pic:cNvPr id="0" name="a_wide_neon_cyber_infographic_poster_in_dark_sci.png"/>
                    <pic:cNvPicPr/>
                  </pic:nvPicPr>
                  <pic:blipFill>
                    <a:blip r:embed="rId28"/>
                    <a:stretch>
                      <a:fillRect/>
                    </a:stretch>
                  </pic:blipFill>
                  <pic:spPr>
                    <a:xfrm>
                      <a:off x="0" y="0"/>
                      <a:ext cx="6446520" cy="4297680"/>
                    </a:xfrm>
                    <a:prstGeom prst="rect"/>
                  </pic:spPr>
                </pic:pic>
              </a:graphicData>
            </a:graphic>
          </wp:inline>
        </w:drawing>
      </w:r>
    </w:p>
    <w:p>
      <w:pPr>
        <w:pStyle w:val="Caption"/>
        <w:keepNext w:val="0"/>
        <w:spacing w:after="160"/>
        <w:jc w:val="center"/>
      </w:pPr>
      <w:r>
        <w:rPr>
          <w:rFonts w:ascii="Liberation Sans" w:hAnsi="Liberation Sans"/>
          <w:color w:val="80E8FF"/>
          <w:sz w:val="16"/>
        </w:rPr>
        <w:t>Figure 3. Three Structural Questions. Stack Registry, Table Registry, and SPD answer grouping, surface, and implementation questions at different structural resolutions; Field Inventory remains an observed support surface rather than a substitute for SPD.</w:t>
      </w:r>
    </w:p>
    <w:p>
      <w:pPr>
        <w:pStyle w:val="Heading1"/>
        <w:keepNext/>
        <w:spacing w:before="240" w:after="140"/>
      </w:pPr>
      <w:r>
        <w:rPr>
          <w:rFonts w:ascii="Liberation Sans" w:hAnsi="Liberation Sans"/>
          <w:b/>
          <w:color w:val="39BFFF"/>
          <w:sz w:val="38"/>
        </w:rPr>
        <w:t>4. BRAIN and Root-Stack Territory</w:t>
      </w:r>
    </w:p>
    <w:p>
      <w:pPr>
        <w:spacing w:after="140" w:line="259" w:lineRule="auto"/>
      </w:pPr>
      <w:r>
        <w:rPr>
          <w:rFonts w:ascii="Liberation Sans" w:hAnsi="Liberation Sans"/>
          <w:i w:val="0"/>
          <w:color w:val="DCE3EF"/>
          <w:sz w:val="20"/>
        </w:rPr>
        <w:t>BRAIN provides the top-level system territory through which the major Root Stacks are oriented. A Root Stack is not merely the largest ordinary Stack and BRAIN is not a thirteenth Root Stack. Root Stacks are the principal BRAIN-level structural regions; subordinate Stacks and Tables can then be organized beneath or around them according to their own bounded topology.</w:t>
      </w:r>
    </w:p>
    <w:p>
      <w:pPr>
        <w:pStyle w:val="Heading2"/>
        <w:keepNext/>
        <w:spacing w:before="180" w:after="100"/>
      </w:pPr>
      <w:r>
        <w:rPr>
          <w:rFonts w:ascii="Liberation Sans" w:hAnsi="Liberation Sans"/>
          <w:b/>
          <w:color w:val="80E8FF"/>
          <w:sz w:val="27"/>
        </w:rPr>
        <w:t>4.1 Current B1-B12 map</w:t>
      </w:r>
    </w:p>
    <w:tbl>
      <w:tblPr>
        <w:tblW w:type="auto" w:w="0"/>
        <w:jc w:val="center"/>
        <w:tblLayout w:type="fixed"/>
        <w:tblLook w:firstColumn="1" w:firstRow="1" w:lastColumn="0" w:lastRow="0" w:noHBand="0" w:noVBand="1" w:val="04A0"/>
      </w:tblPr>
      <w:tblGrid>
        <w:gridCol w:w="5141"/>
        <w:gridCol w:w="5141"/>
      </w:tblGrid>
      <w:tr>
        <w:trPr>
          <w:tblHeader w:val="true"/>
        </w:trPr>
        <w:tc>
          <w:tcPr>
            <w:tcW w:type="dxa" w:w="1440"/>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8"/>
              </w:rPr>
              <w:t>Position</w:t>
            </w:r>
          </w:p>
        </w:tc>
        <w:tc>
          <w:tcPr>
            <w:tcW w:type="dxa" w:w="8208"/>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8"/>
              </w:rPr>
              <w:t>Root Stack</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B1</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CERBERUS</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B2</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QUIVER</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B3</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VISOR</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B4</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BIGFOOT</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B5</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BOSS</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B6</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SPINE</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B7</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BOOTSTRAP</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B8</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MIRROR</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B9</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DARTBOARD</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B10</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SOLAR</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B11</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PIECE</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B12</w:t>
            </w:r>
          </w:p>
        </w:tc>
        <w:tc>
          <w:tcPr>
            <w:tcW w:type="dxa" w:w="820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8"/>
              </w:rPr>
              <w:t>EDIFICE</w:t>
            </w:r>
          </w:p>
        </w:tc>
      </w:tr>
    </w:tbl>
    <w:p>
      <w:pPr>
        <w:spacing w:after="40"/>
      </w:pPr>
    </w:p>
    <w:p>
      <w:pPr>
        <w:spacing w:after="140" w:line="259" w:lineRule="auto"/>
      </w:pPr>
      <w:r>
        <w:rPr>
          <w:rFonts w:ascii="Liberation Sans" w:hAnsi="Liberation Sans"/>
          <w:i w:val="0"/>
          <w:color w:val="DCE3EF"/>
          <w:sz w:val="20"/>
        </w:rPr>
        <w:t>The numeric position supplies structural orientation. It does not prescribe runtime execution order, relative importance, or semantic authority. VISOR is highlighted when VISOR is the active structural lens, but B3 does not outrank the other Root Stacks.</w:t>
      </w:r>
    </w:p>
    <w:p>
      <w:pPr>
        <w:pStyle w:val="Heading2"/>
        <w:keepNext/>
        <w:spacing w:before="180" w:after="100"/>
      </w:pPr>
      <w:r>
        <w:rPr>
          <w:rFonts w:ascii="Liberation Sans" w:hAnsi="Liberation Sans"/>
          <w:b/>
          <w:color w:val="80E8FF"/>
          <w:sz w:val="27"/>
        </w:rPr>
        <w:t>4.2 Root-Stack handoff to BRAIN</w:t>
      </w:r>
    </w:p>
    <w:p>
      <w:pPr>
        <w:spacing w:after="140" w:line="259" w:lineRule="auto"/>
      </w:pPr>
      <w:r>
        <w:rPr>
          <w:rFonts w:ascii="Liberation Sans" w:hAnsi="Liberation Sans"/>
          <w:i w:val="0"/>
          <w:color w:val="DCE3EF"/>
          <w:sz w:val="20"/>
        </w:rPr>
        <w:t>A structural route can ascend from Table to Stack toward a Root-Stack boundary. At that boundary, BRAIN supplies Base-level orientation among the major regions. This is a handoff in scale, not an identity collapse: the Table remains a Table, the Stack remains a Stack, the Root Stack remains its Root Stack, and BRAIN remains the larger orientation structure.</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80E8FF"/>
              <w:left w:val="single" w:sz="18" w:color="80E8FF"/>
              <w:bottom w:val="single" w:sz="18" w:color="80E8FF"/>
              <w:right w:val="single" w:sz="18" w:color="80E8FF"/>
              <w:insideH w:val="single" w:sz="18" w:color="80E8FF"/>
              <w:insideV w:val="single" w:sz="18" w:color="80E8FF"/>
            </w:tcBorders>
            <w:tcMar>
              <w:top w:w="140" w:type="dxa"/>
              <w:start w:w="180" w:type="dxa"/>
              <w:bottom w:w="140" w:type="dxa"/>
              <w:end w:w="180" w:type="dxa"/>
            </w:tcMar>
          </w:tcPr>
          <w:p>
            <w:pPr>
              <w:spacing w:before="0" w:after="0"/>
              <w:jc w:val="center"/>
            </w:pPr>
            <w:r>
              <w:rPr>
                <w:rFonts w:ascii="Liberation Sans" w:hAnsi="Liberation Sans"/>
                <w:b/>
                <w:i w:val="0"/>
                <w:color w:val="F0F4FF"/>
                <w:sz w:val="22"/>
              </w:rPr>
              <w:t>ROOT-STACK POSITION PROVIDES STRUCTURAL ORIENTATION - NOT EXECUTION ORDER</w:t>
            </w:r>
          </w:p>
        </w:tc>
      </w:tr>
    </w:tbl>
    <w:p>
      <w:pPr>
        <w:spacing w:after="40"/>
      </w:pPr>
    </w:p>
    <w:p>
      <w:pPr>
        <w:keepNext/>
        <w:spacing w:before="80" w:after="60"/>
        <w:jc w:val="center"/>
      </w:pPr>
      <w:r>
        <w:rPr>
          <w:color w:val="DCE3EF"/>
        </w:rPr>
        <w:drawing>
          <wp:inline xmlns:a="http://schemas.openxmlformats.org/drawingml/2006/main" xmlns:pic="http://schemas.openxmlformats.org/drawingml/2006/picture">
            <wp:extent cx="6446520" cy="4297680"/>
            <wp:docPr id="5" name="Picture 5" descr="Figure 4. BRAIN Root-Stack Territory"/>
            <wp:cNvGraphicFramePr>
              <a:graphicFrameLocks noChangeAspect="1"/>
            </wp:cNvGraphicFramePr>
            <a:graphic>
              <a:graphicData uri="http://schemas.openxmlformats.org/drawingml/2006/picture">
                <pic:pic>
                  <pic:nvPicPr>
                    <pic:cNvPr id="0" name="a_wide_futuristic_infographic_infocard_style_sci_f.png"/>
                    <pic:cNvPicPr/>
                  </pic:nvPicPr>
                  <pic:blipFill>
                    <a:blip r:embed="rId29"/>
                    <a:stretch>
                      <a:fillRect/>
                    </a:stretch>
                  </pic:blipFill>
                  <pic:spPr>
                    <a:xfrm>
                      <a:off x="0" y="0"/>
                      <a:ext cx="6446520" cy="4297680"/>
                    </a:xfrm>
                    <a:prstGeom prst="rect"/>
                  </pic:spPr>
                </pic:pic>
              </a:graphicData>
            </a:graphic>
          </wp:inline>
        </w:drawing>
      </w:r>
    </w:p>
    <w:p>
      <w:pPr>
        <w:pStyle w:val="Caption"/>
        <w:keepNext w:val="0"/>
        <w:spacing w:after="160"/>
        <w:jc w:val="center"/>
      </w:pPr>
      <w:r>
        <w:rPr>
          <w:rFonts w:ascii="Liberation Sans" w:hAnsi="Liberation Sans"/>
          <w:color w:val="80E8FF"/>
          <w:sz w:val="16"/>
        </w:rPr>
        <w:t>Figure 4. BRAIN Root-Stack Territory. The current twelve Root Stacks occupy distinct BRAIN-level structural regions. VISOR can map across them without turning numeric order into execution order or taking ownership of their functions.</w:t>
      </w:r>
    </w:p>
    <w:p>
      <w:pPr>
        <w:pStyle w:val="Heading1"/>
        <w:keepNext/>
        <w:spacing w:before="240" w:after="140"/>
      </w:pPr>
      <w:r>
        <w:rPr>
          <w:rFonts w:ascii="Liberation Sans" w:hAnsi="Liberation Sans"/>
          <w:b/>
          <w:color w:val="39BFFF"/>
          <w:sz w:val="38"/>
        </w:rPr>
        <w:t>5. Structural Relationships and Traversal</w:t>
      </w:r>
    </w:p>
    <w:p>
      <w:pPr>
        <w:spacing w:after="140" w:line="259" w:lineRule="auto"/>
      </w:pPr>
      <w:r>
        <w:rPr>
          <w:rFonts w:ascii="Liberation Sans" w:hAnsi="Liberation Sans"/>
          <w:i w:val="0"/>
          <w:color w:val="DCE3EF"/>
          <w:sz w:val="20"/>
        </w:rPr>
        <w:t>VISOR becomes useful when structure is explicit enough to traverse. A Base is not merely a collection of registered Tables. Relationships state how those Tables and Stacks are organized, what depends on what, which structures are reachable, and where a route may cross from one bounded region into another. The relationship type matters more than the visual fact that two boxes happen to be connected.</w:t>
      </w:r>
    </w:p>
    <w:p>
      <w:pPr>
        <w:pStyle w:val="Heading2"/>
        <w:keepNext/>
        <w:spacing w:before="180" w:after="100"/>
      </w:pPr>
      <w:r>
        <w:rPr>
          <w:rFonts w:ascii="Liberation Sans" w:hAnsi="Liberation Sans"/>
          <w:b/>
          <w:color w:val="80E8FF"/>
          <w:sz w:val="27"/>
        </w:rPr>
        <w:t>5.1 Relation classes</w:t>
      </w:r>
    </w:p>
    <w:tbl>
      <w:tblPr>
        <w:tblW w:type="auto" w:w="0"/>
        <w:jc w:val="center"/>
        <w:tblLayout w:type="fixed"/>
        <w:tblLook w:firstColumn="1" w:firstRow="1" w:lastColumn="0" w:lastRow="0" w:noHBand="0" w:noVBand="1" w:val="04A0"/>
      </w:tblPr>
      <w:tblGrid>
        <w:gridCol w:w="3427"/>
        <w:gridCol w:w="3427"/>
        <w:gridCol w:w="3427"/>
      </w:tblGrid>
      <w:tr>
        <w:trPr>
          <w:tblHeader w:val="true"/>
        </w:trPr>
        <w:tc>
          <w:tcPr>
            <w:tcW w:type="dxa" w:w="2088"/>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6"/>
              </w:rPr>
              <w:t>Relation class</w:t>
            </w:r>
          </w:p>
        </w:tc>
        <w:tc>
          <w:tcPr>
            <w:tcW w:type="dxa" w:w="3672"/>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6"/>
              </w:rPr>
              <w:t>Structural meaning</w:t>
            </w:r>
          </w:p>
        </w:tc>
        <w:tc>
          <w:tcPr>
            <w:tcW w:type="dxa" w:w="3888"/>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6"/>
              </w:rPr>
              <w:t>Does not automatically imply</w:t>
            </w:r>
          </w:p>
        </w:tc>
      </w:tr>
      <w:tr>
        <w:trPr>
          <w:cantSplit/>
        </w:trPr>
        <w:tc>
          <w:tcPr>
            <w:tcW w:type="dxa" w:w="20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Containment / membership</w:t>
            </w:r>
          </w:p>
        </w:tc>
        <w:tc>
          <w:tcPr>
            <w:tcW w:type="dxa" w:w="367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One structure belongs inside another bounded structural context.</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Shared identity, semantic merger, or mutation authority.</w:t>
            </w:r>
          </w:p>
        </w:tc>
      </w:tr>
      <w:tr>
        <w:trPr>
          <w:cantSplit/>
        </w:trPr>
        <w:tc>
          <w:tcPr>
            <w:tcW w:type="dxa" w:w="20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Parent / child</w:t>
            </w:r>
          </w:p>
        </w:tc>
        <w:tc>
          <w:tcPr>
            <w:tcW w:type="dxa" w:w="367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Recursive structural ancestry between bounded structures.</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Execution order.</w:t>
            </w:r>
          </w:p>
        </w:tc>
      </w:tr>
      <w:tr>
        <w:trPr>
          <w:cantSplit/>
        </w:trPr>
        <w:tc>
          <w:tcPr>
            <w:tcW w:type="dxa" w:w="20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Dependency</w:t>
            </w:r>
          </w:p>
        </w:tc>
        <w:tc>
          <w:tcPr>
            <w:tcW w:type="dxa" w:w="367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One structure requires another structure or capability.</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Containment or ownership.</w:t>
            </w:r>
          </w:p>
        </w:tc>
      </w:tr>
      <w:tr>
        <w:trPr>
          <w:cantSplit/>
        </w:trPr>
        <w:tc>
          <w:tcPr>
            <w:tcW w:type="dxa" w:w="20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Route</w:t>
            </w:r>
          </w:p>
        </w:tc>
        <w:tc>
          <w:tcPr>
            <w:tcW w:type="dxa" w:w="367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A traversal path is registered under the relevant context.</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Current traversal, permission, or semantic equivalence.</w:t>
            </w:r>
          </w:p>
        </w:tc>
      </w:tr>
      <w:tr>
        <w:trPr>
          <w:cantSplit/>
        </w:trPr>
        <w:tc>
          <w:tcPr>
            <w:tcW w:type="dxa" w:w="20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Bridge / cross-Stack relation</w:t>
            </w:r>
          </w:p>
        </w:tc>
        <w:tc>
          <w:tcPr>
            <w:tcW w:type="dxa" w:w="367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Independent structural territories are explicitly connected.</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One side absorbing the other.</w:t>
            </w:r>
          </w:p>
        </w:tc>
      </w:tr>
      <w:tr>
        <w:trPr>
          <w:cantSplit/>
        </w:trPr>
        <w:tc>
          <w:tcPr>
            <w:tcW w:type="dxa" w:w="20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6"/>
              </w:rPr>
              <w:t>Order</w:t>
            </w:r>
          </w:p>
        </w:tc>
        <w:tc>
          <w:tcPr>
            <w:tcW w:type="dxa" w:w="367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A declared sequence matters within a bounded structural context.</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Global precedence across the Base.</w:t>
            </w:r>
          </w:p>
        </w:tc>
      </w:tr>
    </w:tbl>
    <w:p>
      <w:pPr>
        <w:spacing w:after="40"/>
      </w:pPr>
    </w:p>
    <w:p>
      <w:pPr>
        <w:spacing w:after="140" w:line="259" w:lineRule="auto"/>
      </w:pPr>
      <w:r>
        <w:rPr>
          <w:rFonts w:ascii="Liberation Sans" w:hAnsi="Liberation Sans"/>
          <w:i w:val="0"/>
          <w:color w:val="DCE3EF"/>
          <w:sz w:val="20"/>
        </w:rPr>
        <w:t>Earlier VISOR work used relation names such as CONTAINS, PART-OF, DEPENDS-ON, PRECEDES, ROUTES-TO, COMPARES-WITH, BRIDGES, REQUIRES, and EXCLUDES. The durable requirement is not that this exact vocabulary can never expand; it is that the relation itself is explicit enough that later humans, AI, and software do not have to infer semantics from screen geometry.</w:t>
      </w:r>
    </w:p>
    <w:p>
      <w:pPr>
        <w:pStyle w:val="Heading2"/>
        <w:keepNext/>
        <w:spacing w:before="180" w:after="100"/>
      </w:pPr>
      <w:r>
        <w:rPr>
          <w:rFonts w:ascii="Liberation Sans" w:hAnsi="Liberation Sans"/>
          <w:b/>
          <w:color w:val="80E8FF"/>
          <w:sz w:val="27"/>
        </w:rPr>
        <w:t>5.2 Orientation and routing</w:t>
      </w:r>
    </w:p>
    <w:p>
      <w:pPr>
        <w:spacing w:after="140" w:line="259" w:lineRule="auto"/>
      </w:pPr>
      <w:r>
        <w:rPr>
          <w:rFonts w:ascii="Liberation Sans" w:hAnsi="Liberation Sans"/>
          <w:i w:val="0"/>
          <w:color w:val="DCE3EF"/>
          <w:sz w:val="20"/>
        </w:rPr>
        <w:t>Orientation and routing answer different questions over the same topology. Orientation asks where the current structural context is: current object, current level, parent, containing Stack, Root Stack, and surrounding structure. Routing asks where the context may go next: parent, child, sibling, dependency, bridge, related Table, or another registered destination.</w:t>
      </w:r>
    </w:p>
    <w:tbl>
      <w:tblPr>
        <w:tblW w:type="auto" w:w="0"/>
        <w:jc w:val="center"/>
        <w:tblLayout w:type="fixed"/>
        <w:tblLook w:firstColumn="1" w:firstRow="1" w:lastColumn="0" w:lastRow="0" w:noHBand="0" w:noVBand="1" w:val="04A0"/>
      </w:tblPr>
      <w:tblGrid>
        <w:gridCol w:w="10282"/>
      </w:tblGrid>
      <w:tr>
        <w:trPr>
          <w:cantSplit/>
        </w:trPr>
        <w:tc>
          <w:tcPr>
            <w:tcW w:type="dxa" w:w="10282"/>
            <w:shd w:fill="101827"/>
            <w:tcBorders>
              <w:top w:val="single" w:sz="9" w:color="80E8FF"/>
              <w:left w:val="single" w:sz="9" w:color="80E8FF"/>
              <w:bottom w:val="single" w:sz="9" w:color="80E8FF"/>
              <w:right w:val="single" w:sz="9" w:color="80E8FF"/>
              <w:insideH w:val="single" w:sz="9" w:color="80E8FF"/>
              <w:insideV w:val="single" w:sz="9" w:color="80E8FF"/>
            </w:tcBorders>
            <w:tcMar>
              <w:top w:w="120" w:type="dxa"/>
              <w:start w:w="130" w:type="dxa"/>
              <w:bottom w:w="120" w:type="dxa"/>
              <w:end w:w="130" w:type="dxa"/>
            </w:tcMar>
          </w:tcPr>
          <w:p>
            <w:pPr>
              <w:spacing w:after="0" w:line="240" w:lineRule="auto"/>
            </w:pPr>
            <w:r>
              <w:rPr>
                <w:rFonts w:ascii="DejaVu Sans Mono" w:hAnsi="DejaVu Sans Mono"/>
                <w:color w:val="DCE3EF"/>
                <w:sz w:val="16"/>
              </w:rPr>
              <w:t>CURRENT STRUCTURAL CONTEXT (conceptual)</w:t>
            </w:r>
            <w:r>
              <w:br/>
            </w:r>
            <w:r>
              <w:rPr>
                <w:rFonts w:ascii="DejaVu Sans Mono" w:hAnsi="DejaVu Sans Mono"/>
                <w:color w:val="DCE3EF"/>
                <w:sz w:val="16"/>
              </w:rPr>
              <w:t xml:space="preserve">  current object</w:t>
            </w:r>
            <w:r>
              <w:br/>
            </w:r>
            <w:r>
              <w:rPr>
                <w:rFonts w:ascii="DejaVu Sans Mono" w:hAnsi="DejaVu Sans Mono"/>
                <w:color w:val="DCE3EF"/>
                <w:sz w:val="16"/>
              </w:rPr>
              <w:t xml:space="preserve">  structural level</w:t>
            </w:r>
            <w:r>
              <w:br/>
            </w:r>
            <w:r>
              <w:rPr>
                <w:rFonts w:ascii="DejaVu Sans Mono" w:hAnsi="DejaVu Sans Mono"/>
                <w:color w:val="DCE3EF"/>
                <w:sz w:val="16"/>
              </w:rPr>
              <w:t xml:space="preserve">  containing stack</w:t>
            </w:r>
            <w:r>
              <w:br/>
            </w:r>
            <w:r>
              <w:rPr>
                <w:rFonts w:ascii="DejaVu Sans Mono" w:hAnsi="DejaVu Sans Mono"/>
                <w:color w:val="DCE3EF"/>
                <w:sz w:val="16"/>
              </w:rPr>
              <w:t xml:space="preserve">  parent / children / siblings</w:t>
            </w:r>
            <w:r>
              <w:br/>
            </w:r>
            <w:r>
              <w:rPr>
                <w:rFonts w:ascii="DejaVu Sans Mono" w:hAnsi="DejaVu Sans Mono"/>
                <w:color w:val="DCE3EF"/>
                <w:sz w:val="16"/>
              </w:rPr>
              <w:t xml:space="preserve">  root stack</w:t>
            </w:r>
            <w:r>
              <w:br/>
            </w:r>
            <w:r>
              <w:rPr>
                <w:rFonts w:ascii="DejaVu Sans Mono" w:hAnsi="DejaVu Sans Mono"/>
                <w:color w:val="DCE3EF"/>
                <w:sz w:val="16"/>
              </w:rPr>
              <w:t xml:space="preserve">  registered routes</w:t>
            </w:r>
            <w:r>
              <w:br/>
            </w:r>
            <w:r>
              <w:rPr>
                <w:rFonts w:ascii="DejaVu Sans Mono" w:hAnsi="DejaVu Sans Mono"/>
                <w:color w:val="DCE3EF"/>
                <w:sz w:val="16"/>
              </w:rPr>
              <w:t xml:space="preserve">  dependencies / bridges</w:t>
            </w:r>
            <w:r>
              <w:br/>
            </w:r>
            <w:r>
              <w:rPr>
                <w:rFonts w:ascii="DejaVu Sans Mono" w:hAnsi="DejaVu Sans Mono"/>
                <w:color w:val="DCE3EF"/>
                <w:sz w:val="16"/>
              </w:rPr>
              <w:t xml:space="preserve">  permission-relevant structural slice</w:t>
            </w:r>
          </w:p>
        </w:tc>
      </w:tr>
    </w:tbl>
    <w:p>
      <w:pPr>
        <w:spacing w:after="20"/>
      </w:pPr>
    </w:p>
    <w:p>
      <w:pPr>
        <w:pStyle w:val="Heading2"/>
        <w:keepNext/>
        <w:spacing w:before="180" w:after="100"/>
      </w:pPr>
      <w:r>
        <w:rPr>
          <w:rFonts w:ascii="Liberation Sans" w:hAnsi="Liberation Sans"/>
          <w:b/>
          <w:color w:val="80E8FF"/>
          <w:sz w:val="27"/>
        </w:rPr>
        <w:t>5.3 Topology versus task-bounded traversal</w:t>
      </w:r>
    </w:p>
    <w:p>
      <w:pPr>
        <w:spacing w:after="140" w:line="259" w:lineRule="auto"/>
      </w:pPr>
      <w:r>
        <w:rPr>
          <w:rFonts w:ascii="Liberation Sans" w:hAnsi="Liberation Sans"/>
          <w:i w:val="0"/>
          <w:color w:val="DCE3EF"/>
          <w:sz w:val="20"/>
        </w:rPr>
        <w:t>The same persistent structural graph can support different routes for different tasks. A human may browse from BRAIN through BIGFOOT into Reader structures. An AI that already holds an exact registered Table identity may route directly to that target. A migration process may systematically walk Root Stack -&gt; Stack -&gt; Table -&gt; SPD. These are different traversals over one structural graph.</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80E8FF"/>
              <w:left w:val="single" w:sz="18" w:color="80E8FF"/>
              <w:bottom w:val="single" w:sz="18" w:color="80E8FF"/>
              <w:right w:val="single" w:sz="18" w:color="80E8FF"/>
              <w:insideH w:val="single" w:sz="18" w:color="80E8FF"/>
              <w:insideV w:val="single" w:sz="18" w:color="80E8FF"/>
            </w:tcBorders>
            <w:tcMar>
              <w:top w:w="140" w:type="dxa"/>
              <w:start w:w="180" w:type="dxa"/>
              <w:bottom w:w="140" w:type="dxa"/>
              <w:end w:w="180" w:type="dxa"/>
            </w:tcMar>
          </w:tcPr>
          <w:p>
            <w:pPr>
              <w:spacing w:before="0" w:after="0"/>
              <w:jc w:val="center"/>
            </w:pPr>
            <w:r>
              <w:rPr>
                <w:rFonts w:ascii="Liberation Sans" w:hAnsi="Liberation Sans"/>
                <w:b/>
                <w:i w:val="0"/>
                <w:color w:val="F0F4FF"/>
                <w:sz w:val="22"/>
              </w:rPr>
              <w:t>TOPOLOGY PERSISTS  •  TRAVERSAL IS TASK-BOUNDED  •  ROUTE != AUTHORITY</w:t>
            </w:r>
          </w:p>
        </w:tc>
      </w:tr>
    </w:tbl>
    <w:p>
      <w:pPr>
        <w:spacing w:after="40"/>
      </w:pPr>
    </w:p>
    <w:p>
      <w:pPr>
        <w:keepNext/>
        <w:spacing w:before="80" w:after="60"/>
        <w:jc w:val="center"/>
      </w:pPr>
      <w:r>
        <w:rPr>
          <w:color w:val="DCE3EF"/>
        </w:rPr>
        <w:drawing>
          <wp:inline xmlns:a="http://schemas.openxmlformats.org/drawingml/2006/main" xmlns:pic="http://schemas.openxmlformats.org/drawingml/2006/picture">
            <wp:extent cx="6446520" cy="4297680"/>
            <wp:docPr id="6" name="Picture 6" descr="Figure 5. One Structural Graph, Several Traversal Paths"/>
            <wp:cNvGraphicFramePr>
              <a:graphicFrameLocks noChangeAspect="1"/>
            </wp:cNvGraphicFramePr>
            <a:graphic>
              <a:graphicData uri="http://schemas.openxmlformats.org/drawingml/2006/picture">
                <pic:pic>
                  <pic:nvPicPr>
                    <pic:cNvPr id="0" name="wide_infographic_style_sci_fi_technical_diagram_p.png"/>
                    <pic:cNvPicPr/>
                  </pic:nvPicPr>
                  <pic:blipFill>
                    <a:blip r:embed="rId30"/>
                    <a:stretch>
                      <a:fillRect/>
                    </a:stretch>
                  </pic:blipFill>
                  <pic:spPr>
                    <a:xfrm>
                      <a:off x="0" y="0"/>
                      <a:ext cx="6446520" cy="4297680"/>
                    </a:xfrm>
                    <a:prstGeom prst="rect"/>
                  </pic:spPr>
                </pic:pic>
              </a:graphicData>
            </a:graphic>
          </wp:inline>
        </w:drawing>
      </w:r>
    </w:p>
    <w:p>
      <w:pPr>
        <w:pStyle w:val="Caption"/>
        <w:keepNext w:val="0"/>
        <w:spacing w:after="160"/>
        <w:jc w:val="center"/>
      </w:pPr>
      <w:r>
        <w:rPr>
          <w:rFonts w:ascii="Liberation Sans" w:hAnsi="Liberation Sans"/>
          <w:color w:val="80E8FF"/>
          <w:sz w:val="16"/>
        </w:rPr>
        <w:t>Figure 5. One Structural Graph, Several Traversal Paths. Human orientation, exact AI routing, and migration traversal can use different valid paths through one persistent topology. The route overlay changes with the task; the structural graph does not.</w:t>
      </w:r>
    </w:p>
    <w:p>
      <w:pPr>
        <w:pStyle w:val="Heading1"/>
        <w:keepNext/>
        <w:spacing w:before="240" w:after="140"/>
      </w:pPr>
      <w:r>
        <w:rPr>
          <w:rFonts w:ascii="Liberation Sans" w:hAnsi="Liberation Sans"/>
          <w:b/>
          <w:color w:val="39BFFF"/>
          <w:sz w:val="38"/>
        </w:rPr>
        <w:t>6. Topology and Navigation Projection</w:t>
      </w:r>
    </w:p>
    <w:p>
      <w:pPr>
        <w:spacing w:after="140" w:line="259" w:lineRule="auto"/>
      </w:pPr>
      <w:r>
        <w:rPr>
          <w:rFonts w:ascii="Liberation Sans" w:hAnsi="Liberation Sans"/>
          <w:i w:val="0"/>
          <w:color w:val="DCE3EF"/>
          <w:sz w:val="20"/>
        </w:rPr>
        <w:t>A structural relationship is not interface geometry. The fact that a Table belongs to a Stack or that one Table routes to another does not prescribe whether a user must see a tree, a breadcrumb, a graph, a card hierarchy, or no visual representation at all. Geometry and presentation belong to the projection. The registered relationship remains part of the structural source.</w:t>
      </w:r>
    </w:p>
    <w:p>
      <w:pPr>
        <w:pStyle w:val="Heading2"/>
        <w:keepNext/>
        <w:spacing w:before="180" w:after="100"/>
      </w:pPr>
      <w:r>
        <w:rPr>
          <w:rFonts w:ascii="Liberation Sans" w:hAnsi="Liberation Sans"/>
          <w:b/>
          <w:color w:val="80E8FF"/>
          <w:sz w:val="27"/>
        </w:rPr>
        <w:t>6.1 One topology, many views</w:t>
      </w:r>
    </w:p>
    <w:p>
      <w:pPr>
        <w:spacing w:after="140" w:line="259" w:lineRule="auto"/>
      </w:pPr>
      <w:r>
        <w:rPr>
          <w:rFonts w:ascii="Liberation Sans" w:hAnsi="Liberation Sans"/>
          <w:i w:val="0"/>
          <w:color w:val="DCE3EF"/>
          <w:sz w:val="20"/>
        </w:rPr>
        <w:t>Humans and machines can consume the same structural truth through different forms. A human-facing projection may emphasize hierarchy or current location. A relationship explorer may emphasize lateral connections. A machine-facing context packet may expose stable IDs, parent references, relation types, Root-Stack identity, and bounded routes. Different projections do not create different Bases.</w:t>
      </w:r>
    </w:p>
    <w:p>
      <w:pPr>
        <w:pStyle w:val="ListBullet"/>
        <w:spacing w:after="60"/>
        <w:ind w:left="259" w:hanging="173"/>
      </w:pPr>
      <w:r>
        <w:rPr>
          <w:rFonts w:ascii="Liberation Sans" w:hAnsi="Liberation Sans"/>
          <w:color w:val="DCE3EF"/>
          <w:sz w:val="19"/>
        </w:rPr>
        <w:t>Tree View - useful for browsing nested containment.</w:t>
      </w:r>
    </w:p>
    <w:p>
      <w:pPr>
        <w:pStyle w:val="ListBullet"/>
        <w:spacing w:after="60"/>
        <w:ind w:left="259" w:hanging="173"/>
      </w:pPr>
      <w:r>
        <w:rPr>
          <w:rFonts w:ascii="Liberation Sans" w:hAnsi="Liberation Sans"/>
          <w:color w:val="DCE3EF"/>
          <w:sz w:val="19"/>
        </w:rPr>
        <w:t>Breadcrumb - useful for compact current-path orientation.</w:t>
      </w:r>
    </w:p>
    <w:p>
      <w:pPr>
        <w:pStyle w:val="ListBullet"/>
        <w:spacing w:after="60"/>
        <w:ind w:left="259" w:hanging="173"/>
      </w:pPr>
      <w:r>
        <w:rPr>
          <w:rFonts w:ascii="Liberation Sans" w:hAnsi="Liberation Sans"/>
          <w:color w:val="DCE3EF"/>
          <w:sz w:val="19"/>
        </w:rPr>
        <w:t>Relationship Explorer - useful for lateral and cross-Stack relations.</w:t>
      </w:r>
    </w:p>
    <w:p>
      <w:pPr>
        <w:pStyle w:val="ListBullet"/>
        <w:spacing w:after="60"/>
        <w:ind w:left="259" w:hanging="173"/>
      </w:pPr>
      <w:r>
        <w:rPr>
          <w:rFonts w:ascii="Liberation Sans" w:hAnsi="Liberation Sans"/>
          <w:color w:val="DCE3EF"/>
          <w:sz w:val="19"/>
        </w:rPr>
        <w:t>AI Structural Context - useful for direct, machine-readable orientation and routing.</w:t>
      </w:r>
    </w:p>
    <w:p>
      <w:pPr>
        <w:pStyle w:val="Heading2"/>
        <w:keepNext/>
        <w:spacing w:before="180" w:after="100"/>
      </w:pPr>
      <w:r>
        <w:rPr>
          <w:rFonts w:ascii="Liberation Sans" w:hAnsi="Liberation Sans"/>
          <w:b/>
          <w:color w:val="80E8FF"/>
          <w:sz w:val="27"/>
        </w:rPr>
        <w:t>6.2 Permission-pruned structural views</w:t>
      </w:r>
    </w:p>
    <w:p>
      <w:pPr>
        <w:spacing w:after="140" w:line="259" w:lineRule="auto"/>
      </w:pPr>
      <w:r>
        <w:rPr>
          <w:rFonts w:ascii="Liberation Sans" w:hAnsi="Liberation Sans"/>
          <w:i w:val="0"/>
          <w:color w:val="DCE3EF"/>
          <w:sz w:val="20"/>
        </w:rPr>
        <w:t>Structural information can itself disclose protected information through labels, counts, breadcrumbs, route hints, empty placeholders, or visible relationship endpoints. The authorized structural slice should therefore be determined before a projection is manifested. Hiding a forbidden node after constructing the complete view can still leak the existence or shape of restricted structure.</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39BFFF"/>
              <w:left w:val="single" w:sz="18" w:color="39BFFF"/>
              <w:bottom w:val="single" w:sz="18" w:color="39BFFF"/>
              <w:right w:val="single" w:sz="18" w:color="39BFFF"/>
              <w:insideH w:val="single" w:sz="18" w:color="39BFFF"/>
              <w:insideV w:val="single" w:sz="18" w:color="39BFFF"/>
            </w:tcBorders>
            <w:tcMar>
              <w:top w:w="140" w:type="dxa"/>
              <w:start w:w="180" w:type="dxa"/>
              <w:bottom w:w="140" w:type="dxa"/>
              <w:end w:w="180" w:type="dxa"/>
            </w:tcMar>
          </w:tcPr>
          <w:p>
            <w:pPr>
              <w:spacing w:before="0" w:after="0"/>
              <w:jc w:val="center"/>
            </w:pPr>
            <w:r>
              <w:rPr>
                <w:rFonts w:ascii="Liberation Sans" w:hAnsi="Liberation Sans"/>
                <w:b/>
                <w:i w:val="0"/>
                <w:color w:val="F0F4FF"/>
                <w:sz w:val="22"/>
              </w:rPr>
              <w:t>TOPOLOGY != NAVIGATION PROJECTION  |  STRUCTURAL KNOWLEDGE != STRUCTURAL WIDGET</w:t>
            </w:r>
          </w:p>
        </w:tc>
      </w:tr>
    </w:tbl>
    <w:p>
      <w:pPr>
        <w:spacing w:after="40"/>
      </w:pPr>
    </w:p>
    <w:p>
      <w:pPr>
        <w:keepNext/>
        <w:spacing w:before="80" w:after="60"/>
        <w:jc w:val="center"/>
      </w:pPr>
      <w:r>
        <w:rPr>
          <w:color w:val="DCE3EF"/>
        </w:rPr>
        <w:drawing>
          <wp:inline xmlns:a="http://schemas.openxmlformats.org/drawingml/2006/main" xmlns:pic="http://schemas.openxmlformats.org/drawingml/2006/picture">
            <wp:extent cx="6446520" cy="4297680"/>
            <wp:docPr id="7" name="Picture 7" descr="Figure 6. Structural Truth and Navigation Projection"/>
            <wp:cNvGraphicFramePr>
              <a:graphicFrameLocks noChangeAspect="1"/>
            </wp:cNvGraphicFramePr>
            <a:graphic>
              <a:graphicData uri="http://schemas.openxmlformats.org/drawingml/2006/picture">
                <pic:pic>
                  <pic:nvPicPr>
                    <pic:cNvPr id="0" name="wide_futuristic_infographic_poster_with_a_dark_sci.png"/>
                    <pic:cNvPicPr/>
                  </pic:nvPicPr>
                  <pic:blipFill>
                    <a:blip r:embed="rId31"/>
                    <a:stretch>
                      <a:fillRect/>
                    </a:stretch>
                  </pic:blipFill>
                  <pic:spPr>
                    <a:xfrm>
                      <a:off x="0" y="0"/>
                      <a:ext cx="6446520" cy="4297680"/>
                    </a:xfrm>
                    <a:prstGeom prst="rect"/>
                  </pic:spPr>
                </pic:pic>
              </a:graphicData>
            </a:graphic>
          </wp:inline>
        </w:drawing>
      </w:r>
    </w:p>
    <w:p>
      <w:pPr>
        <w:pStyle w:val="Caption"/>
        <w:keepNext w:val="0"/>
        <w:spacing w:after="160"/>
        <w:jc w:val="center"/>
      </w:pPr>
      <w:r>
        <w:rPr>
          <w:rFonts w:ascii="Liberation Sans" w:hAnsi="Liberation Sans"/>
          <w:color w:val="80E8FF"/>
          <w:sz w:val="16"/>
        </w:rPr>
        <w:t>Figure 6. Structural Truth and Navigation Projection. A tree, breadcrumb, relationship explorer, or AI context packet can be derived from one persistent VISOR topology. The projection is disposable; the registered structure remains.</w:t>
      </w:r>
    </w:p>
    <w:p>
      <w:pPr>
        <w:pStyle w:val="Heading1"/>
        <w:keepNext/>
        <w:spacing w:before="240" w:after="140"/>
      </w:pPr>
      <w:r>
        <w:rPr>
          <w:rFonts w:ascii="Liberation Sans" w:hAnsi="Liberation Sans"/>
          <w:b/>
          <w:color w:val="39BFFF"/>
          <w:sz w:val="38"/>
        </w:rPr>
        <w:t>7. Ownership and System Handoffs</w:t>
      </w:r>
    </w:p>
    <w:p>
      <w:pPr>
        <w:spacing w:after="140" w:line="259" w:lineRule="auto"/>
      </w:pPr>
      <w:r>
        <w:rPr>
          <w:rFonts w:ascii="Liberation Sans" w:hAnsi="Liberation Sans"/>
          <w:i w:val="0"/>
          <w:color w:val="DCE3EF"/>
          <w:sz w:val="20"/>
        </w:rPr>
        <w:t>VISOR is intentionally broad in visibility but narrow in authority. It may know that a Table belongs to BIGFOOT, that a SOLAR Table is structurally reachable, that a QUIVER binding points toward a registered Table, or that DARTBOARD may need a structural route for the current task. None of those observations transfers semantic ownership to VISOR.</w:t>
      </w:r>
    </w:p>
    <w:p>
      <w:pPr>
        <w:pStyle w:val="Heading2"/>
        <w:keepNext/>
        <w:spacing w:before="180" w:after="100"/>
      </w:pPr>
      <w:r>
        <w:rPr>
          <w:rFonts w:ascii="Liberation Sans" w:hAnsi="Liberation Sans"/>
          <w:b/>
          <w:color w:val="80E8FF"/>
          <w:sz w:val="27"/>
        </w:rPr>
        <w:t>7.1 Ownership matrix</w:t>
      </w:r>
    </w:p>
    <w:tbl>
      <w:tblPr>
        <w:tblW w:type="auto" w:w="0"/>
        <w:jc w:val="center"/>
        <w:tblLayout w:type="fixed"/>
        <w:tblLook w:firstColumn="1" w:firstRow="1" w:lastColumn="0" w:lastRow="0" w:noHBand="0" w:noVBand="1" w:val="04A0"/>
      </w:tblPr>
      <w:tblGrid>
        <w:gridCol w:w="3427"/>
        <w:gridCol w:w="3427"/>
        <w:gridCol w:w="3427"/>
      </w:tblGrid>
      <w:tr>
        <w:trPr>
          <w:tblHeader w:val="true"/>
        </w:trPr>
        <w:tc>
          <w:tcPr>
            <w:tcW w:type="dxa" w:w="1728"/>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5"/>
              </w:rPr>
              <w:t>Architecture</w:t>
            </w:r>
          </w:p>
        </w:tc>
        <w:tc>
          <w:tcPr>
            <w:tcW w:type="dxa" w:w="4032"/>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5"/>
              </w:rPr>
              <w:t>Owns</w:t>
            </w:r>
          </w:p>
        </w:tc>
        <w:tc>
          <w:tcPr>
            <w:tcW w:type="dxa" w:w="3888"/>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5"/>
              </w:rPr>
              <w:t>Does not own</w:t>
            </w:r>
          </w:p>
        </w:tc>
      </w:tr>
      <w:tr>
        <w:trPr>
          <w:cantSplit/>
        </w:trPr>
        <w:tc>
          <w:tcPr>
            <w:tcW w:type="dxa" w:w="172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VISOR</w:t>
            </w:r>
          </w:p>
        </w:tc>
        <w:tc>
          <w:tcPr>
            <w:tcW w:type="dxa" w:w="403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Structural registration, orientation, topology, routes, structural relationships, reconstruction context.</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Domain semantics merely because they are mapped; active manifestation; mutation authority.</w:t>
            </w:r>
          </w:p>
        </w:tc>
      </w:tr>
      <w:tr>
        <w:trPr>
          <w:cantSplit/>
        </w:trPr>
        <w:tc>
          <w:tcPr>
            <w:tcW w:type="dxa" w:w="172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BRAIN / Root owners</w:t>
            </w:r>
          </w:p>
        </w:tc>
        <w:tc>
          <w:tcPr>
            <w:tcW w:type="dxa" w:w="403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Functional territory and the system capability represented by each Root Stack.</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Every structural relation visible through VISOR.</w:t>
            </w:r>
          </w:p>
        </w:tc>
      </w:tr>
      <w:tr>
        <w:trPr>
          <w:cantSplit/>
        </w:trPr>
        <w:tc>
          <w:tcPr>
            <w:tcW w:type="dxa" w:w="172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BIGFOOT / Readers</w:t>
            </w:r>
          </w:p>
        </w:tc>
        <w:tc>
          <w:tcPr>
            <w:tcW w:type="dxa" w:w="403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Exact semantic structures, encoded state, and bounded Reader interpretation.</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VISOR structural geography or runtime interface manifestation.</w:t>
            </w:r>
          </w:p>
        </w:tc>
      </w:tr>
      <w:tr>
        <w:trPr>
          <w:cantSplit/>
        </w:trPr>
        <w:tc>
          <w:tcPr>
            <w:tcW w:type="dxa" w:w="172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BOSS</w:t>
            </w:r>
          </w:p>
        </w:tc>
        <w:tc>
          <w:tcPr>
            <w:tcW w:type="dxa" w:w="403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Governed symbolic language and symbolic use.</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Structural location or Table/Stack topology.</w:t>
            </w:r>
          </w:p>
        </w:tc>
      </w:tr>
      <w:tr>
        <w:trPr>
          <w:cantSplit/>
        </w:trPr>
        <w:tc>
          <w:tcPr>
            <w:tcW w:type="dxa" w:w="172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SOLAR</w:t>
            </w:r>
          </w:p>
        </w:tc>
        <w:tc>
          <w:tcPr>
            <w:tcW w:type="dxa" w:w="403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Lexical addressability and registered first-hop routes.</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VISOR topology or target semantic meaning.</w:t>
            </w:r>
          </w:p>
        </w:tc>
      </w:tr>
      <w:tr>
        <w:trPr>
          <w:cantSplit/>
        </w:trPr>
        <w:tc>
          <w:tcPr>
            <w:tcW w:type="dxa" w:w="172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QUIVER</w:t>
            </w:r>
          </w:p>
        </w:tc>
        <w:tc>
          <w:tcPr>
            <w:tcW w:type="dxa" w:w="403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Registered representation possibility and construction bindings.</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Canonical structural geography or active runtime manifestation.</w:t>
            </w:r>
          </w:p>
        </w:tc>
      </w:tr>
      <w:tr>
        <w:trPr>
          <w:cantSplit/>
        </w:trPr>
        <w:tc>
          <w:tcPr>
            <w:tcW w:type="dxa" w:w="172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DARTBOARD</w:t>
            </w:r>
          </w:p>
        </w:tc>
        <w:tc>
          <w:tcPr>
            <w:tcW w:type="dxa" w:w="403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Exact active task-bounded manifestation.</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Source structural truth or reusable semantic definitions.</w:t>
            </w:r>
          </w:p>
        </w:tc>
      </w:tr>
      <w:tr>
        <w:trPr>
          <w:cantSplit/>
        </w:trPr>
        <w:tc>
          <w:tcPr>
            <w:tcW w:type="dxa" w:w="172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CERBERUS Shell</w:t>
            </w:r>
          </w:p>
        </w:tc>
        <w:tc>
          <w:tcPr>
            <w:tcW w:type="dxa" w:w="403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Stable application territory.</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VISOR topology, semantic ownership, or representation scope.</w:t>
            </w:r>
          </w:p>
        </w:tc>
      </w:tr>
      <w:tr>
        <w:trPr>
          <w:cantSplit/>
        </w:trPr>
        <w:tc>
          <w:tcPr>
            <w:tcW w:type="dxa" w:w="172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Action / Authority</w:t>
            </w:r>
          </w:p>
        </w:tc>
        <w:tc>
          <w:tcPr>
            <w:tcW w:type="dxa" w:w="4032"/>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Permission to perform governed mutations.</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Structural meaning simply because a target is visible.</w:t>
            </w:r>
          </w:p>
        </w:tc>
      </w:tr>
    </w:tbl>
    <w:p>
      <w:pPr>
        <w:spacing w:after="40"/>
      </w:pPr>
    </w:p>
    <w:p>
      <w:pPr>
        <w:pStyle w:val="Heading2"/>
        <w:keepNext/>
        <w:spacing w:before="180" w:after="100"/>
      </w:pPr>
      <w:r>
        <w:rPr>
          <w:rFonts w:ascii="Liberation Sans" w:hAnsi="Liberation Sans"/>
          <w:b/>
          <w:color w:val="80E8FF"/>
          <w:sz w:val="27"/>
        </w:rPr>
        <w:t>7.2 VISOR and QUIVER</w:t>
      </w:r>
    </w:p>
    <w:p>
      <w:pPr>
        <w:spacing w:after="140" w:line="259" w:lineRule="auto"/>
      </w:pPr>
      <w:r>
        <w:rPr>
          <w:rFonts w:ascii="Liberation Sans" w:hAnsi="Liberation Sans"/>
          <w:i w:val="0"/>
          <w:color w:val="DCE3EF"/>
          <w:sz w:val="20"/>
        </w:rPr>
        <w:t>The mature boundary is simple: VISOR supplies structural terrain; QUIVER supplies governed representation capability over semantic structures located in that terrain. A breadcrumb or Stack explorer can be informed by VISOR because the structural route is known. The visible control or Panel that expresses that route does not have to be owned by VISOR. This removes the older ambiguity in which VISOR was described as a structural interface builder.</w:t>
      </w:r>
    </w:p>
    <w:p>
      <w:pPr>
        <w:pStyle w:val="Heading2"/>
        <w:keepNext/>
        <w:spacing w:before="180" w:after="100"/>
      </w:pPr>
      <w:r>
        <w:rPr>
          <w:rFonts w:ascii="Liberation Sans" w:hAnsi="Liberation Sans"/>
          <w:b/>
          <w:color w:val="80E8FF"/>
          <w:sz w:val="27"/>
        </w:rPr>
        <w:t>7.3 VISOR and DARTBOARD</w:t>
      </w:r>
    </w:p>
    <w:p>
      <w:pPr>
        <w:spacing w:after="140" w:line="259" w:lineRule="auto"/>
      </w:pPr>
      <w:r>
        <w:rPr>
          <w:rFonts w:ascii="Liberation Sans" w:hAnsi="Liberation Sans"/>
          <w:i w:val="0"/>
          <w:color w:val="DCE3EF"/>
          <w:sz w:val="20"/>
        </w:rPr>
        <w:t>DARTBOARD may consume VISOR context when resolving a task-bounded manifestation: where the target is, what contains it, which related structures are valid candidates, and which structural paths remain after permission pruning. DARTBOARD still owns the active manifestation, not VISOR. VISOR topology remains available even when no interface is currently active.</w:t>
      </w:r>
    </w:p>
    <w:p>
      <w:pPr>
        <w:pStyle w:val="Heading2"/>
        <w:keepNext/>
        <w:spacing w:before="180" w:after="100"/>
      </w:pPr>
      <w:r>
        <w:rPr>
          <w:rFonts w:ascii="Liberation Sans" w:hAnsi="Liberation Sans"/>
          <w:b/>
          <w:color w:val="80E8FF"/>
          <w:sz w:val="27"/>
        </w:rPr>
        <w:t>7.4 Structural visibility is not authority</w:t>
      </w:r>
    </w:p>
    <w:p>
      <w:pPr>
        <w:spacing w:after="140" w:line="259" w:lineRule="auto"/>
      </w:pPr>
      <w:r>
        <w:rPr>
          <w:rFonts w:ascii="Liberation Sans" w:hAnsi="Liberation Sans"/>
          <w:i w:val="0"/>
          <w:color w:val="DCE3EF"/>
          <w:sz w:val="20"/>
        </w:rPr>
        <w:t>Discovery, read, execution, and mutation are different capabilities. A user or AI may be permitted to know that a Table exists without being permitted to inspect its records. It may be permitted to read without being permitted to execute an Operator. It may be able to invoke an operation without being permitted to commit an unrestricted mutation. Structural reachability alone answers none of those authorization questions.</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80E8FF"/>
              <w:left w:val="single" w:sz="18" w:color="80E8FF"/>
              <w:bottom w:val="single" w:sz="18" w:color="80E8FF"/>
              <w:right w:val="single" w:sz="18" w:color="80E8FF"/>
              <w:insideH w:val="single" w:sz="18" w:color="80E8FF"/>
              <w:insideV w:val="single" w:sz="18" w:color="80E8FF"/>
            </w:tcBorders>
            <w:tcMar>
              <w:top w:w="140" w:type="dxa"/>
              <w:start w:w="180" w:type="dxa"/>
              <w:bottom w:w="140" w:type="dxa"/>
              <w:end w:w="180" w:type="dxa"/>
            </w:tcMar>
          </w:tcPr>
          <w:p>
            <w:pPr>
              <w:spacing w:before="0" w:after="0"/>
              <w:jc w:val="center"/>
            </w:pPr>
            <w:r>
              <w:rPr>
                <w:rFonts w:ascii="Liberation Sans" w:hAnsi="Liberation Sans"/>
                <w:b/>
                <w:i w:val="0"/>
                <w:color w:val="F0F4FF"/>
                <w:sz w:val="22"/>
              </w:rPr>
              <w:t>VISOR LOCATES  •  OWNERS DEFINE  •  QUIVER REPRESENTS  •  DARTBOARD MANIFESTS</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FF596D"/>
              <w:left w:val="single" w:sz="18" w:color="FF596D"/>
              <w:bottom w:val="single" w:sz="18" w:color="FF596D"/>
              <w:right w:val="single" w:sz="18" w:color="FF596D"/>
              <w:insideH w:val="single" w:sz="18" w:color="FF596D"/>
              <w:insideV w:val="single" w:sz="18" w:color="FF596D"/>
            </w:tcBorders>
            <w:tcMar>
              <w:top w:w="140" w:type="dxa"/>
              <w:start w:w="180" w:type="dxa"/>
              <w:bottom w:w="140" w:type="dxa"/>
              <w:end w:w="180" w:type="dxa"/>
            </w:tcMar>
          </w:tcPr>
          <w:p>
            <w:pPr>
              <w:spacing w:before="0" w:after="0"/>
              <w:jc w:val="center"/>
            </w:pPr>
            <w:r>
              <w:rPr>
                <w:rFonts w:ascii="Liberation Sans" w:hAnsi="Liberation Sans"/>
                <w:b/>
                <w:i w:val="0"/>
                <w:color w:val="F0F4FF"/>
                <w:sz w:val="22"/>
              </w:rPr>
              <w:t>REACHABILITY != AUTHORITY</w:t>
            </w:r>
          </w:p>
        </w:tc>
      </w:tr>
    </w:tbl>
    <w:p>
      <w:pPr>
        <w:spacing w:after="40"/>
      </w:pPr>
    </w:p>
    <w:p>
      <w:pPr>
        <w:keepNext/>
        <w:spacing w:before="80" w:after="60"/>
        <w:jc w:val="center"/>
      </w:pPr>
      <w:r>
        <w:rPr>
          <w:color w:val="DCE3EF"/>
        </w:rPr>
        <w:drawing>
          <wp:inline xmlns:a="http://schemas.openxmlformats.org/drawingml/2006/main" xmlns:pic="http://schemas.openxmlformats.org/drawingml/2006/picture">
            <wp:extent cx="6446520" cy="4297680"/>
            <wp:docPr id="8" name="Picture 8" descr="Figure 7. VISOR Ownership Boundary"/>
            <wp:cNvGraphicFramePr>
              <a:graphicFrameLocks noChangeAspect="1"/>
            </wp:cNvGraphicFramePr>
            <a:graphic>
              <a:graphicData uri="http://schemas.openxmlformats.org/drawingml/2006/picture">
                <pic:pic>
                  <pic:nvPicPr>
                    <pic:cNvPr id="0" name="a_high_tech_neon_cyberpunk_infographic_poster_wid.png"/>
                    <pic:cNvPicPr/>
                  </pic:nvPicPr>
                  <pic:blipFill>
                    <a:blip r:embed="rId32"/>
                    <a:stretch>
                      <a:fillRect/>
                    </a:stretch>
                  </pic:blipFill>
                  <pic:spPr>
                    <a:xfrm>
                      <a:off x="0" y="0"/>
                      <a:ext cx="6446520" cy="4297680"/>
                    </a:xfrm>
                    <a:prstGeom prst="rect"/>
                  </pic:spPr>
                </pic:pic>
              </a:graphicData>
            </a:graphic>
          </wp:inline>
        </w:drawing>
      </w:r>
    </w:p>
    <w:p>
      <w:pPr>
        <w:pStyle w:val="Caption"/>
        <w:keepNext w:val="0"/>
        <w:spacing w:after="160"/>
        <w:jc w:val="center"/>
      </w:pPr>
      <w:r>
        <w:rPr>
          <w:rFonts w:ascii="Liberation Sans" w:hAnsi="Liberation Sans"/>
          <w:color w:val="80E8FF"/>
          <w:sz w:val="16"/>
        </w:rPr>
        <w:t>Figure 7. VISOR Ownership Boundary. VISOR exposes structural terrain and handoffs while semantic owners, representation systems, runtime manifestation, and mutation authority remain distinct. Broad structural reachability is not a transfer of control.</w:t>
      </w:r>
    </w:p>
    <w:p>
      <w:pPr>
        <w:pStyle w:val="Heading1"/>
        <w:keepNext/>
        <w:spacing w:before="240" w:after="140"/>
      </w:pPr>
      <w:r>
        <w:rPr>
          <w:rFonts w:ascii="Liberation Sans" w:hAnsi="Liberation Sans"/>
          <w:b/>
          <w:color w:val="39BFFF"/>
          <w:sz w:val="38"/>
        </w:rPr>
        <w:t>8. AI Orientation and Recursive Self-Mapping</w:t>
      </w:r>
    </w:p>
    <w:p>
      <w:pPr>
        <w:spacing w:after="140" w:line="259" w:lineRule="auto"/>
      </w:pPr>
      <w:r>
        <w:rPr>
          <w:rFonts w:ascii="Liberation Sans" w:hAnsi="Liberation Sans"/>
          <w:i w:val="0"/>
          <w:color w:val="DCE3EF"/>
          <w:sz w:val="20"/>
        </w:rPr>
        <w:t>A major purpose of VISOR is to make unfamiliar structure legible to intelligence. An AI should not need to infer what a Table means from its name or from whichever screen happens to be open. VISOR gives it a deterministic structural route first; the owning system can then provide domain meaning at the correct destination.</w:t>
      </w:r>
    </w:p>
    <w:p>
      <w:pPr>
        <w:pStyle w:val="Heading2"/>
        <w:keepNext/>
        <w:spacing w:before="180" w:after="100"/>
      </w:pPr>
      <w:r>
        <w:rPr>
          <w:rFonts w:ascii="Liberation Sans" w:hAnsi="Liberation Sans"/>
          <w:b/>
          <w:color w:val="80E8FF"/>
          <w:sz w:val="27"/>
        </w:rPr>
        <w:t>8.1 Unknown-structure reconstruction</w:t>
      </w:r>
    </w:p>
    <w:p>
      <w:pPr>
        <w:spacing w:after="60"/>
        <w:ind w:left="317" w:hanging="317"/>
      </w:pPr>
      <w:r>
        <w:rPr>
          <w:rFonts w:ascii="Liberation Sans" w:hAnsi="Liberation Sans"/>
          <w:color w:val="DCE3EF"/>
          <w:sz w:val="19"/>
        </w:rPr>
        <w:t>1.  Locate the Table Registry record for the unfamiliar structural surface.</w:t>
      </w:r>
    </w:p>
    <w:p>
      <w:pPr>
        <w:spacing w:after="60"/>
        <w:ind w:left="317" w:hanging="317"/>
      </w:pPr>
      <w:r>
        <w:rPr>
          <w:rFonts w:ascii="Liberation Sans" w:hAnsi="Liberation Sans"/>
          <w:color w:val="DCE3EF"/>
          <w:sz w:val="19"/>
        </w:rPr>
        <w:t>2.  Resolve the containing Stack and the Table's local structural order and purpose.</w:t>
      </w:r>
    </w:p>
    <w:p>
      <w:pPr>
        <w:spacing w:after="60"/>
        <w:ind w:left="317" w:hanging="317"/>
      </w:pPr>
      <w:r>
        <w:rPr>
          <w:rFonts w:ascii="Liberation Sans" w:hAnsi="Liberation Sans"/>
          <w:color w:val="DCE3EF"/>
          <w:sz w:val="19"/>
        </w:rPr>
        <w:t>3.  Inspect parent/child Stack topology until the relevant Root Stack is known.</w:t>
      </w:r>
    </w:p>
    <w:p>
      <w:pPr>
        <w:spacing w:after="60"/>
        <w:ind w:left="317" w:hanging="317"/>
      </w:pPr>
      <w:r>
        <w:rPr>
          <w:rFonts w:ascii="Liberation Sans" w:hAnsi="Liberation Sans"/>
          <w:color w:val="DCE3EF"/>
          <w:sz w:val="19"/>
        </w:rPr>
        <w:t>4.  Use BRAIN for top-level system orientation when the Root-Stack boundary is reached.</w:t>
      </w:r>
    </w:p>
    <w:p>
      <w:pPr>
        <w:spacing w:after="60"/>
        <w:ind w:left="317" w:hanging="317"/>
      </w:pPr>
      <w:r>
        <w:rPr>
          <w:rFonts w:ascii="Liberation Sans" w:hAnsi="Liberation Sans"/>
          <w:color w:val="DCE3EF"/>
          <w:sz w:val="19"/>
        </w:rPr>
        <w:t>5.  Follow explicit relations for siblings, dependencies, bridges, and valid lateral routes rather than inferring them from labels or proximity.</w:t>
      </w:r>
    </w:p>
    <w:p>
      <w:pPr>
        <w:spacing w:after="60"/>
        <w:ind w:left="317" w:hanging="317"/>
      </w:pPr>
      <w:r>
        <w:rPr>
          <w:rFonts w:ascii="Liberation Sans" w:hAnsi="Liberation Sans"/>
          <w:color w:val="DCE3EF"/>
          <w:sz w:val="19"/>
        </w:rPr>
        <w:t>6.  Route to the owning system for semantic meaning, to QUIVER for representation possibility, to DARTBOARD for active manifestation, or to SPD when deeper implementation structure is required.</w:t>
      </w:r>
    </w:p>
    <w:p>
      <w:pPr>
        <w:pStyle w:val="Heading2"/>
        <w:keepNext/>
        <w:spacing w:before="180" w:after="100"/>
      </w:pPr>
      <w:r>
        <w:rPr>
          <w:rFonts w:ascii="Liberation Sans" w:hAnsi="Liberation Sans"/>
          <w:b/>
          <w:color w:val="80E8FF"/>
          <w:sz w:val="27"/>
        </w:rPr>
        <w:t>8.2 VISOR can map itself</w:t>
      </w:r>
    </w:p>
    <w:p>
      <w:pPr>
        <w:spacing w:after="140" w:line="259" w:lineRule="auto"/>
      </w:pPr>
      <w:r>
        <w:rPr>
          <w:rFonts w:ascii="Liberation Sans" w:hAnsi="Liberation Sans"/>
          <w:i w:val="0"/>
          <w:color w:val="DCE3EF"/>
          <w:sz w:val="20"/>
        </w:rPr>
        <w:t>The Stack Registry and Table Registry are themselves registered structural surfaces. VISOR can therefore orient around VISOR: locate the VISOR Stack, locate the Table Registry, resolve its surrounding structure, descend into SPD when needed, and expose the route to the very structures that define the map. This recursive self-description is useful for bootstrapping, diagnostics, and migration.</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39BFFF"/>
              <w:left w:val="single" w:sz="18" w:color="39BFFF"/>
              <w:bottom w:val="single" w:sz="18" w:color="39BFFF"/>
              <w:right w:val="single" w:sz="18" w:color="39BFFF"/>
              <w:insideH w:val="single" w:sz="18" w:color="39BFFF"/>
              <w:insideV w:val="single" w:sz="18" w:color="39BFFF"/>
            </w:tcBorders>
            <w:tcMar>
              <w:top w:w="140" w:type="dxa"/>
              <w:start w:w="180" w:type="dxa"/>
              <w:bottom w:w="140" w:type="dxa"/>
              <w:end w:w="180" w:type="dxa"/>
            </w:tcMar>
          </w:tcPr>
          <w:p>
            <w:pPr>
              <w:spacing w:before="0" w:after="0"/>
              <w:jc w:val="center"/>
            </w:pPr>
            <w:r>
              <w:rPr>
                <w:rFonts w:ascii="Liberation Sans" w:hAnsi="Liberation Sans"/>
                <w:b/>
                <w:i w:val="0"/>
                <w:color w:val="F0F4FF"/>
                <w:sz w:val="22"/>
              </w:rPr>
              <w:t>SELF-DESCRIPTION != SELF-AUTHORIZATION</w:t>
            </w:r>
          </w:p>
        </w:tc>
      </w:tr>
    </w:tbl>
    <w:p>
      <w:pPr>
        <w:spacing w:after="40"/>
      </w:pPr>
    </w:p>
    <w:p>
      <w:pPr>
        <w:pStyle w:val="Heading2"/>
        <w:keepNext/>
        <w:spacing w:before="180" w:after="100"/>
      </w:pPr>
      <w:r>
        <w:rPr>
          <w:rFonts w:ascii="Liberation Sans" w:hAnsi="Liberation Sans"/>
          <w:b/>
          <w:color w:val="80E8FF"/>
          <w:sz w:val="27"/>
        </w:rPr>
        <w:t>8.3 Scaling law</w:t>
      </w:r>
    </w:p>
    <w:p>
      <w:pPr>
        <w:spacing w:after="140" w:line="259" w:lineRule="auto"/>
      </w:pPr>
      <w:r>
        <w:rPr>
          <w:rFonts w:ascii="Liberation Sans" w:hAnsi="Liberation Sans"/>
          <w:i w:val="0"/>
          <w:color w:val="DCE3EF"/>
          <w:sz w:val="20"/>
        </w:rPr>
        <w:t>VISOR scales by registering more structure, not by inventing a new navigation theory for every domain. More Tables add registered surfaces. More Stacks add bounded groupings. Deeper organization adds parent/child topology. New cross-domain needs add explicit routes or bridges. The graph grows, while the core questions remain stable: what exists, where does it belong, how is it connected, and how deeply must it be resolved?</w:t>
      </w:r>
    </w:p>
    <w:p>
      <w:pPr>
        <w:pStyle w:val="Heading1"/>
        <w:keepNext/>
        <w:spacing w:before="240" w:after="140"/>
      </w:pPr>
      <w:r>
        <w:rPr>
          <w:rFonts w:ascii="Liberation Sans" w:hAnsi="Liberation Sans"/>
          <w:b/>
          <w:color w:val="39BFFF"/>
          <w:sz w:val="38"/>
        </w:rPr>
        <w:t>9. Native Reconstruction Architecture</w:t>
      </w:r>
    </w:p>
    <w:p>
      <w:pPr>
        <w:spacing w:after="140" w:line="259" w:lineRule="auto"/>
      </w:pPr>
      <w:r>
        <w:rPr>
          <w:rFonts w:ascii="Liberation Sans" w:hAnsi="Liberation Sans"/>
          <w:i w:val="0"/>
          <w:color w:val="DCE3EF"/>
          <w:sz w:val="20"/>
        </w:rPr>
        <w:t>Native migration is where VISOR becomes more than a navigation convenience. A reconstructable Base must be able to separate architectural meaning from the material implementation that currently realizes it. Airtable can remain valuable as the source construction environment and evidence surface, but the Native Personal Core must be able to rebuild the structural system without treating Airtable record IDs, field widgets, or table UI as the architecture itself.</w:t>
      </w:r>
    </w:p>
    <w:p>
      <w:pPr>
        <w:pStyle w:val="Heading2"/>
        <w:keepNext/>
        <w:spacing w:before="180" w:after="100"/>
      </w:pPr>
      <w:r>
        <w:rPr>
          <w:rFonts w:ascii="Liberation Sans" w:hAnsi="Liberation Sans"/>
          <w:b/>
          <w:color w:val="80E8FF"/>
          <w:sz w:val="27"/>
        </w:rPr>
        <w:t>9.1 Reconstruction dependency</w:t>
      </w:r>
    </w:p>
    <w:tbl>
      <w:tblPr>
        <w:tblW w:type="auto" w:w="0"/>
        <w:jc w:val="center"/>
        <w:tblLayout w:type="fixed"/>
        <w:tblLook w:firstColumn="1" w:firstRow="1" w:lastColumn="0" w:lastRow="0" w:noHBand="0" w:noVBand="1" w:val="04A0"/>
      </w:tblPr>
      <w:tblGrid>
        <w:gridCol w:w="10282"/>
      </w:tblGrid>
      <w:tr>
        <w:trPr>
          <w:cantSplit/>
        </w:trPr>
        <w:tc>
          <w:tcPr>
            <w:tcW w:type="dxa" w:w="10282"/>
            <w:shd w:fill="101827"/>
            <w:tcBorders>
              <w:top w:val="single" w:sz="9" w:color="80E8FF"/>
              <w:left w:val="single" w:sz="9" w:color="80E8FF"/>
              <w:bottom w:val="single" w:sz="9" w:color="80E8FF"/>
              <w:right w:val="single" w:sz="9" w:color="80E8FF"/>
              <w:insideH w:val="single" w:sz="9" w:color="80E8FF"/>
              <w:insideV w:val="single" w:sz="9" w:color="80E8FF"/>
            </w:tcBorders>
            <w:tcMar>
              <w:top w:w="120" w:type="dxa"/>
              <w:start w:w="130" w:type="dxa"/>
              <w:bottom w:w="120" w:type="dxa"/>
              <w:end w:w="130" w:type="dxa"/>
            </w:tcMar>
          </w:tcPr>
          <w:p>
            <w:pPr>
              <w:spacing w:after="0" w:line="240" w:lineRule="auto"/>
            </w:pPr>
            <w:r>
              <w:rPr>
                <w:rFonts w:ascii="DejaVu Sans Mono" w:hAnsi="DejaVu Sans Mono"/>
                <w:color w:val="DCE3EF"/>
                <w:sz w:val="16"/>
              </w:rPr>
              <w:t>FROZEN SOURCE RECONSTRUCTION RELEASE</w:t>
            </w:r>
            <w:r>
              <w:br/>
            </w:r>
            <w:r>
              <w:rPr>
                <w:rFonts w:ascii="DejaVu Sans Mono" w:hAnsi="DejaVu Sans Mono"/>
                <w:color w:val="DCE3EF"/>
                <w:sz w:val="16"/>
              </w:rPr>
              <w:t xml:space="preserve">  VISOR -&gt; B1-B12 Root Stacks + Stacks + complete Table surface</w:t>
            </w:r>
            <w:r>
              <w:br/>
            </w:r>
            <w:r>
              <w:rPr>
                <w:rFonts w:ascii="DejaVu Sans Mono" w:hAnsi="DejaVu Sans Mono"/>
                <w:color w:val="DCE3EF"/>
                <w:sz w:val="16"/>
              </w:rPr>
              <w:t xml:space="preserve">  SPD   -&gt; Fields + types + links + cardinality + derivations + classifications</w:t>
            </w:r>
            <w:r>
              <w:br/>
            </w:r>
            <w:r>
              <w:rPr>
                <w:rFonts w:ascii="DejaVu Sans Mono" w:hAnsi="DejaVu Sans Mono"/>
                <w:color w:val="DCE3EF"/>
                <w:sz w:val="16"/>
              </w:rPr>
              <w:t xml:space="preserve">  PORT  -&gt; translate implementation material where necessary</w:t>
            </w:r>
            <w:r>
              <w:br/>
            </w:r>
            <w:r>
              <w:rPr>
                <w:rFonts w:ascii="DejaVu Sans Mono" w:hAnsi="DejaVu Sans Mono"/>
                <w:color w:val="DCE3EF"/>
                <w:sz w:val="16"/>
              </w:rPr>
            </w:r>
            <w:r>
              <w:br/>
            </w:r>
            <w:r>
              <w:rPr>
                <w:rFonts w:ascii="DejaVu Sans Mono" w:hAnsi="DejaVu Sans Mono"/>
                <w:color w:val="DCE3EF"/>
                <w:sz w:val="16"/>
              </w:rPr>
              <w:t>NATIVE PERSONAL CORE</w:t>
            </w:r>
            <w:r>
              <w:br/>
            </w:r>
            <w:r>
              <w:rPr>
                <w:rFonts w:ascii="DejaVu Sans Mono" w:hAnsi="DejaVu Sans Mono"/>
                <w:color w:val="DCE3EF"/>
                <w:sz w:val="16"/>
              </w:rPr>
              <w:t xml:space="preserve">  -&gt; construct structural graph</w:t>
            </w:r>
            <w:r>
              <w:br/>
            </w:r>
            <w:r>
              <w:rPr>
                <w:rFonts w:ascii="DejaVu Sans Mono" w:hAnsi="DejaVu Sans Mono"/>
                <w:color w:val="DCE3EF"/>
                <w:sz w:val="16"/>
              </w:rPr>
              <w:t xml:space="preserve">  -&gt; observe native graph independently</w:t>
            </w:r>
            <w:r>
              <w:br/>
            </w:r>
            <w:r>
              <w:rPr>
                <w:rFonts w:ascii="DejaVu Sans Mono" w:hAnsi="DejaVu Sans Mono"/>
                <w:color w:val="DCE3EF"/>
                <w:sz w:val="16"/>
              </w:rPr>
              <w:t xml:space="preserve">  -&gt; compare against frozen source</w:t>
            </w:r>
            <w:r>
              <w:br/>
            </w:r>
            <w:r>
              <w:rPr>
                <w:rFonts w:ascii="DejaVu Sans Mono" w:hAnsi="DejaVu Sans Mono"/>
                <w:color w:val="DCE3EF"/>
                <w:sz w:val="16"/>
              </w:rPr>
              <w:t xml:space="preserve">  -&gt; resolve discrepancies</w:t>
            </w:r>
            <w:r>
              <w:br/>
            </w:r>
            <w:r>
              <w:rPr>
                <w:rFonts w:ascii="DejaVu Sans Mono" w:hAnsi="DejaVu Sans Mono"/>
                <w:color w:val="DCE3EF"/>
                <w:sz w:val="16"/>
              </w:rPr>
              <w:t xml:space="preserve">  -&gt; verify structural parity</w:t>
            </w:r>
            <w:r>
              <w:br/>
            </w:r>
            <w:r>
              <w:rPr>
                <w:rFonts w:ascii="DejaVu Sans Mono" w:hAnsi="DejaVu Sans Mono"/>
                <w:color w:val="DCE3EF"/>
                <w:sz w:val="16"/>
              </w:rPr>
              <w:t xml:space="preserve">  -&gt; populate records only after the graph is verified</w:t>
            </w:r>
          </w:p>
        </w:tc>
      </w:tr>
    </w:tbl>
    <w:p>
      <w:pPr>
        <w:spacing w:after="20"/>
      </w:pPr>
    </w:p>
    <w:p>
      <w:pPr>
        <w:pStyle w:val="Heading2"/>
        <w:keepNext/>
        <w:spacing w:before="180" w:after="100"/>
      </w:pPr>
      <w:r>
        <w:rPr>
          <w:rFonts w:ascii="Liberation Sans" w:hAnsi="Liberation Sans"/>
          <w:b/>
          <w:color w:val="80E8FF"/>
          <w:sz w:val="27"/>
        </w:rPr>
        <w:t>9.2 VISOR builds the skeleton</w:t>
      </w:r>
    </w:p>
    <w:p>
      <w:pPr>
        <w:spacing w:after="140" w:line="259" w:lineRule="auto"/>
      </w:pPr>
      <w:r>
        <w:rPr>
          <w:rFonts w:ascii="Liberation Sans" w:hAnsi="Liberation Sans"/>
          <w:i w:val="0"/>
          <w:color w:val="DCE3EF"/>
          <w:sz w:val="20"/>
        </w:rPr>
        <w:t>The first structural pass creates the major territory: B1-B12 Root Stacks, subordinate Stacks, and the complete Table surface. That skeleton must exist before the native Base can safely accept its records because record meaning often depends on relationships whose targets and constraints need to exist first.</w:t>
      </w:r>
    </w:p>
    <w:p>
      <w:pPr>
        <w:pStyle w:val="Heading2"/>
        <w:keepNext/>
        <w:spacing w:before="180" w:after="100"/>
      </w:pPr>
      <w:r>
        <w:rPr>
          <w:rFonts w:ascii="Liberation Sans" w:hAnsi="Liberation Sans"/>
          <w:b/>
          <w:color w:val="80E8FF"/>
          <w:sz w:val="27"/>
        </w:rPr>
        <w:t>9.3 SPD resolves the implementation anatomy</w:t>
      </w:r>
    </w:p>
    <w:p>
      <w:pPr>
        <w:spacing w:after="140" w:line="259" w:lineRule="auto"/>
      </w:pPr>
      <w:r>
        <w:rPr>
          <w:rFonts w:ascii="Liberation Sans" w:hAnsi="Liberation Sans"/>
          <w:i w:val="0"/>
          <w:color w:val="DCE3EF"/>
          <w:sz w:val="20"/>
        </w:rPr>
        <w:t>After the Table surface exists, SPD supplies the deeper schema description required to recreate Fields, Field types, links, cardinalities, derivations, classifications, and other structural behavior. A new database may realize these concepts with different material primitives. Structural equivalence is measured by whether the same governed relationships and behaviors are reconstructed, not whether the destination looks like Airtable.</w:t>
      </w:r>
    </w:p>
    <w:p>
      <w:pPr>
        <w:pStyle w:val="Heading2"/>
        <w:keepNext/>
        <w:spacing w:before="180" w:after="100"/>
      </w:pPr>
      <w:r>
        <w:rPr>
          <w:rFonts w:ascii="Liberation Sans" w:hAnsi="Liberation Sans"/>
          <w:b/>
          <w:color w:val="80E8FF"/>
          <w:sz w:val="27"/>
        </w:rPr>
        <w:t>9.4 Observe before promotion</w:t>
      </w:r>
    </w:p>
    <w:p>
      <w:pPr>
        <w:spacing w:after="140" w:line="259" w:lineRule="auto"/>
      </w:pPr>
      <w:r>
        <w:rPr>
          <w:rFonts w:ascii="Liberation Sans" w:hAnsi="Liberation Sans"/>
          <w:i w:val="0"/>
          <w:color w:val="DCE3EF"/>
          <w:sz w:val="20"/>
        </w:rPr>
        <w:t>A native structure is not authoritative merely because the code runs. The reconstructed graph must be observed independently, compared against the frozen source, and checked for missing or altered Stacks, Tables, Fields, links, cardinalities, derivations, and classifications. A discrepancy remains a discrepancy until the correct owner resolves it. Successful execution is evidence of implementation, not proof of architectural parity.</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58FF9D"/>
              <w:left w:val="single" w:sz="18" w:color="58FF9D"/>
              <w:bottom w:val="single" w:sz="18" w:color="58FF9D"/>
              <w:right w:val="single" w:sz="18" w:color="58FF9D"/>
              <w:insideH w:val="single" w:sz="18" w:color="58FF9D"/>
              <w:insideV w:val="single" w:sz="18" w:color="58FF9D"/>
            </w:tcBorders>
            <w:tcMar>
              <w:top w:w="140" w:type="dxa"/>
              <w:start w:w="180" w:type="dxa"/>
              <w:bottom w:w="140" w:type="dxa"/>
              <w:end w:w="180" w:type="dxa"/>
            </w:tcMar>
          </w:tcPr>
          <w:p>
            <w:pPr>
              <w:spacing w:before="0" w:after="0"/>
              <w:jc w:val="center"/>
            </w:pPr>
            <w:r>
              <w:rPr>
                <w:rFonts w:ascii="Liberation Sans" w:hAnsi="Liberation Sans"/>
                <w:b/>
                <w:i w:val="0"/>
                <w:color w:val="F0F4FF"/>
                <w:sz w:val="22"/>
              </w:rPr>
              <w:t>RECONSTRUCT STRUCTURE -&gt; OBSERVE -&gt; COMPARE -&gt; VERIFY -&gt; THEN POPULATE</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39BFFF"/>
              <w:left w:val="single" w:sz="18" w:color="39BFFF"/>
              <w:bottom w:val="single" w:sz="18" w:color="39BFFF"/>
              <w:right w:val="single" w:sz="18" w:color="39BFFF"/>
              <w:insideH w:val="single" w:sz="18" w:color="39BFFF"/>
              <w:insideV w:val="single" w:sz="18" w:color="39BFFF"/>
            </w:tcBorders>
            <w:tcMar>
              <w:top w:w="140" w:type="dxa"/>
              <w:start w:w="180" w:type="dxa"/>
              <w:bottom w:w="140" w:type="dxa"/>
              <w:end w:w="180" w:type="dxa"/>
            </w:tcMar>
          </w:tcPr>
          <w:p>
            <w:pPr>
              <w:spacing w:before="0" w:after="0"/>
              <w:jc w:val="center"/>
            </w:pPr>
            <w:r>
              <w:rPr>
                <w:rFonts w:ascii="Liberation Sans" w:hAnsi="Liberation Sans"/>
                <w:b/>
                <w:i w:val="0"/>
                <w:color w:val="F0F4FF"/>
                <w:sz w:val="22"/>
              </w:rPr>
              <w:t>RECONSTRUCTABLE STRUCTURE != COPIED IMPLEMENTATION</w:t>
            </w:r>
          </w:p>
        </w:tc>
      </w:tr>
    </w:tbl>
    <w:p>
      <w:pPr>
        <w:spacing w:after="40"/>
      </w:pPr>
    </w:p>
    <w:p>
      <w:pPr>
        <w:keepNext/>
        <w:spacing w:before="80" w:after="60"/>
        <w:jc w:val="center"/>
      </w:pPr>
      <w:r>
        <w:rPr>
          <w:color w:val="DCE3EF"/>
        </w:rPr>
        <w:drawing>
          <wp:inline xmlns:a="http://schemas.openxmlformats.org/drawingml/2006/main" xmlns:pic="http://schemas.openxmlformats.org/drawingml/2006/picture">
            <wp:extent cx="6446520" cy="4297680"/>
            <wp:docPr id="9" name="Picture 9" descr="Figure 8. VISOR Native Reconstruction"/>
            <wp:cNvGraphicFramePr>
              <a:graphicFrameLocks noChangeAspect="1"/>
            </wp:cNvGraphicFramePr>
            <a:graphic>
              <a:graphicData uri="http://schemas.openxmlformats.org/drawingml/2006/picture">
                <pic:pic>
                  <pic:nvPicPr>
                    <pic:cNvPr id="0" name="a_wide_neon_tech_infographic_poster_in_a_dark_sci.png"/>
                    <pic:cNvPicPr/>
                  </pic:nvPicPr>
                  <pic:blipFill>
                    <a:blip r:embed="rId33"/>
                    <a:stretch>
                      <a:fillRect/>
                    </a:stretch>
                  </pic:blipFill>
                  <pic:spPr>
                    <a:xfrm>
                      <a:off x="0" y="0"/>
                      <a:ext cx="6446520" cy="4297680"/>
                    </a:xfrm>
                    <a:prstGeom prst="rect"/>
                  </pic:spPr>
                </pic:pic>
              </a:graphicData>
            </a:graphic>
          </wp:inline>
        </w:drawing>
      </w:r>
    </w:p>
    <w:p>
      <w:pPr>
        <w:pStyle w:val="Caption"/>
        <w:keepNext w:val="0"/>
        <w:spacing w:after="160"/>
        <w:jc w:val="center"/>
      </w:pPr>
      <w:r>
        <w:rPr>
          <w:rFonts w:ascii="Liberation Sans" w:hAnsi="Liberation Sans"/>
          <w:color w:val="80E8FF"/>
          <w:sz w:val="16"/>
        </w:rPr>
        <w:t>Figure 8. VISOR Native Reconstruction. VISOR recreates Root-Stack, Stack, and Table structure; SPD provides deeper Field-level reconstruction; PORT translates implementation material; independent comparison must verify the native relational graph before record population.</w:t>
      </w:r>
    </w:p>
    <w:p>
      <w:pPr>
        <w:pStyle w:val="Heading1"/>
        <w:keepNext/>
        <w:spacing w:before="240" w:after="140"/>
      </w:pPr>
      <w:r>
        <w:rPr>
          <w:rFonts w:ascii="Liberation Sans" w:hAnsi="Liberation Sans"/>
          <w:b/>
          <w:color w:val="39BFFF"/>
          <w:sz w:val="38"/>
        </w:rPr>
        <w:t>10. Development Boundaries</w:t>
      </w:r>
    </w:p>
    <w:p>
      <w:pPr>
        <w:spacing w:after="140" w:line="259" w:lineRule="auto"/>
      </w:pPr>
      <w:r>
        <w:rPr>
          <w:rFonts w:ascii="Liberation Sans" w:hAnsi="Liberation Sans"/>
          <w:i w:val="0"/>
          <w:color w:val="DCE3EF"/>
          <w:sz w:val="20"/>
        </w:rPr>
        <w:t>A structurally self-describing Base becomes easier to repair because a failure can be routed to the system that actually owns the missing capability. VISOR should expose enough evidence to locate the structural problem without absorbing every development mechanism into itself.</w:t>
      </w:r>
    </w:p>
    <w:tbl>
      <w:tblPr>
        <w:tblW w:type="auto" w:w="0"/>
        <w:jc w:val="center"/>
        <w:tblLayout w:type="fixed"/>
        <w:tblLook w:firstColumn="1" w:firstRow="1" w:lastColumn="0" w:lastRow="0" w:noHBand="0" w:noVBand="1" w:val="04A0"/>
      </w:tblPr>
      <w:tblGrid>
        <w:gridCol w:w="3427"/>
        <w:gridCol w:w="3427"/>
        <w:gridCol w:w="3427"/>
      </w:tblGrid>
      <w:tr>
        <w:trPr>
          <w:tblHeader w:val="true"/>
        </w:trPr>
        <w:tc>
          <w:tcPr>
            <w:tcW w:type="dxa" w:w="1440"/>
            <w:shd w:fill="80E8FF"/>
            <w:tcBorders>
              <w:top w:val="single" w:sz="6" w:color="80E8FF"/>
              <w:left w:val="single" w:sz="6" w:color="80E8FF"/>
              <w:bottom w:val="single" w:sz="6" w:color="80E8FF"/>
              <w:right w:val="single" w:sz="6" w:color="80E8FF"/>
              <w:insideH w:val="single" w:sz="6" w:color="80E8FF"/>
              <w:insideV w:val="single" w:sz="6" w:color="80E8FF"/>
            </w:tcBorders>
            <w:tcMar>
              <w:top w:w="100" w:type="dxa"/>
              <w:start w:w="110" w:type="dxa"/>
              <w:bottom w:w="100" w:type="dxa"/>
              <w:end w:w="110" w:type="dxa"/>
            </w:tcMar>
            <w:vAlign w:val="center"/>
          </w:tcPr>
          <w:p>
            <w:pPr>
              <w:jc w:val="center"/>
            </w:pPr>
            <w:r>
              <w:rPr>
                <w:rFonts w:ascii="Liberation Sans" w:hAnsi="Liberation Sans"/>
                <w:b/>
                <w:color w:val="F0F4FF"/>
                <w:sz w:val="15"/>
              </w:rPr>
              <w:t>System</w:t>
            </w:r>
          </w:p>
        </w:tc>
        <w:tc>
          <w:tcPr>
            <w:tcW w:type="dxa" w:w="3888"/>
            <w:shd w:fill="80E8FF"/>
            <w:tcBorders>
              <w:top w:val="single" w:sz="6" w:color="80E8FF"/>
              <w:left w:val="single" w:sz="6" w:color="80E8FF"/>
              <w:bottom w:val="single" w:sz="6" w:color="80E8FF"/>
              <w:right w:val="single" w:sz="6" w:color="80E8FF"/>
              <w:insideH w:val="single" w:sz="6" w:color="80E8FF"/>
              <w:insideV w:val="single" w:sz="6" w:color="80E8FF"/>
            </w:tcBorders>
            <w:tcMar>
              <w:top w:w="100" w:type="dxa"/>
              <w:start w:w="110" w:type="dxa"/>
              <w:bottom w:w="100" w:type="dxa"/>
              <w:end w:w="110" w:type="dxa"/>
            </w:tcMar>
            <w:vAlign w:val="center"/>
          </w:tcPr>
          <w:p>
            <w:pPr>
              <w:jc w:val="center"/>
            </w:pPr>
            <w:r>
              <w:rPr>
                <w:rFonts w:ascii="Liberation Sans" w:hAnsi="Liberation Sans"/>
                <w:b/>
                <w:color w:val="F0F4FF"/>
                <w:sz w:val="15"/>
              </w:rPr>
              <w:t>Question answered</w:t>
            </w:r>
          </w:p>
        </w:tc>
        <w:tc>
          <w:tcPr>
            <w:tcW w:type="dxa" w:w="4320"/>
            <w:shd w:fill="80E8FF"/>
            <w:tcBorders>
              <w:top w:val="single" w:sz="6" w:color="80E8FF"/>
              <w:left w:val="single" w:sz="6" w:color="80E8FF"/>
              <w:bottom w:val="single" w:sz="6" w:color="80E8FF"/>
              <w:right w:val="single" w:sz="6" w:color="80E8FF"/>
              <w:insideH w:val="single" w:sz="6" w:color="80E8FF"/>
              <w:insideV w:val="single" w:sz="6" w:color="80E8FF"/>
            </w:tcBorders>
            <w:tcMar>
              <w:top w:w="100" w:type="dxa"/>
              <w:start w:w="110" w:type="dxa"/>
              <w:bottom w:w="100" w:type="dxa"/>
              <w:end w:w="110" w:type="dxa"/>
            </w:tcMar>
            <w:vAlign w:val="center"/>
          </w:tcPr>
          <w:p>
            <w:pPr>
              <w:jc w:val="center"/>
            </w:pPr>
            <w:r>
              <w:rPr>
                <w:rFonts w:ascii="Liberation Sans" w:hAnsi="Liberation Sans"/>
                <w:b/>
                <w:color w:val="F0F4FF"/>
                <w:sz w:val="15"/>
              </w:rPr>
              <w:t>Boundary</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VISOR</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What structure exists, where does it belong, and how is it connected?</w:t>
            </w:r>
          </w:p>
        </w:tc>
        <w:tc>
          <w:tcPr>
            <w:tcW w:type="dxa" w:w="432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Maps and routes structure; does not invent missing semantic meaning or perform mutation.</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SPD</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What exact implementation structure realizes this Table or Stack?</w:t>
            </w:r>
          </w:p>
        </w:tc>
        <w:tc>
          <w:tcPr>
            <w:tcW w:type="dxa" w:w="432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Describes Fields, types, links, cardinality, derivation, classification, and implementation meaning.</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PORT</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How can the preserved operational structure be represented in another material?</w:t>
            </w:r>
          </w:p>
        </w:tc>
        <w:tc>
          <w:tcPr>
            <w:tcW w:type="dxa" w:w="432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Translates material implementation; does not redefine source architectural meaning.</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PATCH</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What existing structure is broken, ambiguous, redundant, or invalid?</w:t>
            </w:r>
          </w:p>
        </w:tc>
        <w:tc>
          <w:tcPr>
            <w:tcW w:type="dxa" w:w="432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Temporary repair/refinement scaffold; canonical owners perform approved changes.</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BUILD</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What required structure does not yet exist?</w:t>
            </w:r>
          </w:p>
        </w:tc>
        <w:tc>
          <w:tcPr>
            <w:tcW w:type="dxa" w:w="432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Uses bounded structural precedent to propose candidate construction; proposal is not authority.</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QUIVER</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How may governed semantics be represented?</w:t>
            </w:r>
          </w:p>
        </w:tc>
        <w:tc>
          <w:tcPr>
            <w:tcW w:type="dxa" w:w="432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Representation possibility, not structural geography.</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DARTBOARD</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What exact valid manifestation is active now?</w:t>
            </w:r>
          </w:p>
        </w:tc>
        <w:tc>
          <w:tcPr>
            <w:tcW w:type="dxa" w:w="432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Task-bounded actuality, not persistent structural source.</w:t>
            </w:r>
          </w:p>
        </w:tc>
      </w:tr>
      <w:tr>
        <w:trPr>
          <w:cantSplit/>
        </w:trPr>
        <w:tc>
          <w:tcPr>
            <w:tcW w:type="dxa" w:w="144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center"/>
            </w:pPr>
            <w:r>
              <w:rPr>
                <w:rFonts w:ascii="Liberation Sans" w:hAnsi="Liberation Sans"/>
                <w:color w:val="DCE3EF"/>
                <w:sz w:val="15"/>
              </w:rPr>
              <w:t>Shell</w:t>
            </w:r>
          </w:p>
        </w:tc>
        <w:tc>
          <w:tcPr>
            <w:tcW w:type="dxa" w:w="388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Where does the active application experience live?</w:t>
            </w:r>
          </w:p>
        </w:tc>
        <w:tc>
          <w:tcPr>
            <w:tcW w:type="dxa" w:w="432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5"/>
              </w:rPr>
              <w:t>Stable territory, not structural ontology.</w:t>
            </w:r>
          </w:p>
        </w:tc>
      </w:tr>
    </w:tbl>
    <w:p>
      <w:pPr>
        <w:spacing w:after="40"/>
      </w:pPr>
    </w:p>
    <w:p>
      <w:pPr>
        <w:pStyle w:val="Heading2"/>
        <w:keepNext/>
        <w:spacing w:before="180" w:after="100"/>
      </w:pPr>
      <w:r>
        <w:rPr>
          <w:rFonts w:ascii="Liberation Sans" w:hAnsi="Liberation Sans"/>
          <w:b/>
          <w:color w:val="80E8FF"/>
          <w:sz w:val="27"/>
        </w:rPr>
        <w:t>10.1 Structural gaps</w:t>
      </w:r>
    </w:p>
    <w:p>
      <w:pPr>
        <w:spacing w:after="140" w:line="259" w:lineRule="auto"/>
      </w:pPr>
      <w:r>
        <w:rPr>
          <w:rFonts w:ascii="Liberation Sans" w:hAnsi="Liberation Sans"/>
          <w:i w:val="0"/>
          <w:color w:val="DCE3EF"/>
          <w:sz w:val="20"/>
        </w:rPr>
        <w:t>A structural gap is useful evidence. If VISOR registers a Table but cannot resolve its Stack, the structure is incomplete. If SPD says a Field links to a target that does not exist, the implementation description and observed Base disagree. If a source relation has no faithful target representation, PORT has a material translation gap. If the existing structure is wrong, PATCH is appropriate. If required structure does not exist, BUILD may be appropriate.</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FF596D"/>
              <w:left w:val="single" w:sz="18" w:color="FF596D"/>
              <w:bottom w:val="single" w:sz="18" w:color="FF596D"/>
              <w:right w:val="single" w:sz="18" w:color="FF596D"/>
              <w:insideH w:val="single" w:sz="18" w:color="FF596D"/>
              <w:insideV w:val="single" w:sz="18" w:color="FF596D"/>
            </w:tcBorders>
            <w:tcMar>
              <w:top w:w="140" w:type="dxa"/>
              <w:start w:w="180" w:type="dxa"/>
              <w:bottom w:w="140" w:type="dxa"/>
              <w:end w:w="180" w:type="dxa"/>
            </w:tcMar>
          </w:tcPr>
          <w:p>
            <w:pPr>
              <w:spacing w:before="0" w:after="0"/>
              <w:jc w:val="center"/>
            </w:pPr>
            <w:r>
              <w:rPr>
                <w:rFonts w:ascii="Liberation Sans" w:hAnsi="Liberation Sans"/>
                <w:b/>
                <w:i w:val="0"/>
                <w:color w:val="F0F4FF"/>
                <w:sz w:val="22"/>
              </w:rPr>
              <w:t>STRUCTURAL GAP != PERMISSION TO INVENT</w:t>
            </w:r>
          </w:p>
        </w:tc>
      </w:tr>
    </w:tbl>
    <w:p>
      <w:pPr>
        <w:spacing w:after="40"/>
      </w:pPr>
    </w:p>
    <w:p>
      <w:pPr>
        <w:pStyle w:val="Heading2"/>
        <w:keepNext/>
        <w:spacing w:before="180" w:after="100"/>
      </w:pPr>
      <w:r>
        <w:rPr>
          <w:rFonts w:ascii="Liberation Sans" w:hAnsi="Liberation Sans"/>
          <w:b/>
          <w:color w:val="80E8FF"/>
          <w:sz w:val="27"/>
        </w:rPr>
        <w:t>10.2 Repair without category collapse</w:t>
      </w:r>
    </w:p>
    <w:p>
      <w:pPr>
        <w:spacing w:after="140" w:line="259" w:lineRule="auto"/>
      </w:pPr>
      <w:r>
        <w:rPr>
          <w:rFonts w:ascii="Liberation Sans" w:hAnsi="Liberation Sans"/>
          <w:i w:val="0"/>
          <w:color w:val="DCE3EF"/>
          <w:sz w:val="20"/>
        </w:rPr>
        <w:t>The purpose of these boundaries is not bureaucracy. They localize change. VISOR remains a reliable map because it does not silently become a repair engine, a schema generator, a representation engine, or a runtime manifestation layer whenever something is missing. The correct owner can change while the structural evidence remains inspectable.</w:t>
      </w:r>
    </w:p>
    <w:p>
      <w:pPr>
        <w:pStyle w:val="Heading1"/>
        <w:keepNext/>
        <w:spacing w:before="240" w:after="140"/>
      </w:pPr>
      <w:r>
        <w:rPr>
          <w:rFonts w:ascii="Liberation Sans" w:hAnsi="Liberation Sans"/>
          <w:b/>
          <w:color w:val="39BFFF"/>
          <w:sz w:val="38"/>
        </w:rPr>
        <w:t>11. Formal Invariant Registry</w:t>
      </w:r>
    </w:p>
    <w:p>
      <w:pPr>
        <w:spacing w:after="140" w:line="259" w:lineRule="auto"/>
      </w:pPr>
      <w:r>
        <w:rPr>
          <w:rFonts w:ascii="Liberation Sans" w:hAnsi="Liberation Sans"/>
          <w:i w:val="0"/>
          <w:color w:val="DCE3EF"/>
          <w:sz w:val="20"/>
        </w:rPr>
        <w:t>The following laws are intended to survive database migration, interface redesign, graph growth, and future refinement. When an implementation contradicts one of them, either the implementation has drifted or an explicit architectural revision is required.</w:t>
      </w: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39BFFF"/>
              <w:left w:val="single" w:sz="18" w:color="39BFFF"/>
              <w:bottom w:val="single" w:sz="18" w:color="39BFFF"/>
              <w:right w:val="single" w:sz="18" w:color="39BFFF"/>
              <w:insideH w:val="single" w:sz="18" w:color="39BFFF"/>
              <w:insideV w:val="single" w:sz="18" w:color="39BF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TABLE != STACK != ROOT STACK != BRAIN</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39BFFF"/>
              <w:left w:val="single" w:sz="18" w:color="39BFFF"/>
              <w:bottom w:val="single" w:sz="18" w:color="39BFFF"/>
              <w:right w:val="single" w:sz="18" w:color="39BFFF"/>
              <w:insideH w:val="single" w:sz="18" w:color="39BFFF"/>
              <w:insideV w:val="single" w:sz="18" w:color="39BF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IDENTITY != STRUCTURAL ADDRESS</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39BFFF"/>
              <w:left w:val="single" w:sz="18" w:color="39BFFF"/>
              <w:bottom w:val="single" w:sz="18" w:color="39BFFF"/>
              <w:right w:val="single" w:sz="18" w:color="39BFFF"/>
              <w:insideH w:val="single" w:sz="18" w:color="39BFFF"/>
              <w:insideV w:val="single" w:sz="18" w:color="39BF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STRUCTURAL ADDRESS != NAVIGATION POSITION</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58FF9D"/>
              <w:left w:val="single" w:sz="18" w:color="58FF9D"/>
              <w:bottom w:val="single" w:sz="18" w:color="58FF9D"/>
              <w:right w:val="single" w:sz="18" w:color="58FF9D"/>
              <w:insideH w:val="single" w:sz="18" w:color="58FF9D"/>
              <w:insideV w:val="single" w:sz="18" w:color="58FF9D"/>
            </w:tcBorders>
            <w:tcMar>
              <w:top w:w="140" w:type="dxa"/>
              <w:start w:w="180" w:type="dxa"/>
              <w:bottom w:w="140" w:type="dxa"/>
              <w:end w:w="180" w:type="dxa"/>
            </w:tcMar>
          </w:tcPr>
          <w:p>
            <w:pPr>
              <w:spacing w:before="0" w:after="0"/>
              <w:jc w:val="center"/>
            </w:pPr>
            <w:r>
              <w:rPr>
                <w:rFonts w:ascii="Liberation Sans" w:hAnsi="Liberation Sans"/>
                <w:b/>
                <w:i w:val="0"/>
                <w:color w:val="F0F4FF"/>
                <w:sz w:val="19"/>
              </w:rPr>
              <w:t>STRUCTURAL KNOWLEDGE != SEMANTIC OWNERSHIP</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58FF9D"/>
              <w:left w:val="single" w:sz="18" w:color="58FF9D"/>
              <w:bottom w:val="single" w:sz="18" w:color="58FF9D"/>
              <w:right w:val="single" w:sz="18" w:color="58FF9D"/>
              <w:insideH w:val="single" w:sz="18" w:color="58FF9D"/>
              <w:insideV w:val="single" w:sz="18" w:color="58FF9D"/>
            </w:tcBorders>
            <w:tcMar>
              <w:top w:w="140" w:type="dxa"/>
              <w:start w:w="180" w:type="dxa"/>
              <w:bottom w:w="140" w:type="dxa"/>
              <w:end w:w="180" w:type="dxa"/>
            </w:tcMar>
          </w:tcPr>
          <w:p>
            <w:pPr>
              <w:spacing w:before="0" w:after="0"/>
              <w:jc w:val="center"/>
            </w:pPr>
            <w:r>
              <w:rPr>
                <w:rFonts w:ascii="Liberation Sans" w:hAnsi="Liberation Sans"/>
                <w:b/>
                <w:i w:val="0"/>
                <w:color w:val="F0F4FF"/>
                <w:sz w:val="19"/>
              </w:rPr>
              <w:t>STACK MEMBERSHIP != SEMANTIC OWNERSHIP</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80E8FF"/>
              <w:left w:val="single" w:sz="18" w:color="80E8FF"/>
              <w:bottom w:val="single" w:sz="18" w:color="80E8FF"/>
              <w:right w:val="single" w:sz="18" w:color="80E8FF"/>
              <w:insideH w:val="single" w:sz="18" w:color="80E8FF"/>
              <w:insideV w:val="single" w:sz="18" w:color="80E8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CONTAINMENT != DEPENDENCY != ROUTE != BRIDGE</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80E8FF"/>
              <w:left w:val="single" w:sz="18" w:color="80E8FF"/>
              <w:bottom w:val="single" w:sz="18" w:color="80E8FF"/>
              <w:right w:val="single" w:sz="18" w:color="80E8FF"/>
              <w:insideH w:val="single" w:sz="18" w:color="80E8FF"/>
              <w:insideV w:val="single" w:sz="18" w:color="80E8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TOPOLOGY != TRAVERSAL</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80E8FF"/>
              <w:left w:val="single" w:sz="18" w:color="80E8FF"/>
              <w:bottom w:val="single" w:sz="18" w:color="80E8FF"/>
              <w:right w:val="single" w:sz="18" w:color="80E8FF"/>
              <w:insideH w:val="single" w:sz="18" w:color="80E8FF"/>
              <w:insideV w:val="single" w:sz="18" w:color="80E8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TRAVERSAL != DISPLAY</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80E8FF"/>
              <w:left w:val="single" w:sz="18" w:color="80E8FF"/>
              <w:bottom w:val="single" w:sz="18" w:color="80E8FF"/>
              <w:right w:val="single" w:sz="18" w:color="80E8FF"/>
              <w:insideH w:val="single" w:sz="18" w:color="80E8FF"/>
              <w:insideV w:val="single" w:sz="18" w:color="80E8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STRUCTURAL RELATION != INTERFACE GEOMETRY</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FF596D"/>
              <w:left w:val="single" w:sz="18" w:color="FF596D"/>
              <w:bottom w:val="single" w:sz="18" w:color="FF596D"/>
              <w:right w:val="single" w:sz="18" w:color="FF596D"/>
              <w:insideH w:val="single" w:sz="18" w:color="FF596D"/>
              <w:insideV w:val="single" w:sz="18" w:color="FF596D"/>
            </w:tcBorders>
            <w:tcMar>
              <w:top w:w="140" w:type="dxa"/>
              <w:start w:w="180" w:type="dxa"/>
              <w:bottom w:w="140" w:type="dxa"/>
              <w:end w:w="180" w:type="dxa"/>
            </w:tcMar>
          </w:tcPr>
          <w:p>
            <w:pPr>
              <w:spacing w:before="0" w:after="0"/>
              <w:jc w:val="center"/>
            </w:pPr>
            <w:r>
              <w:rPr>
                <w:rFonts w:ascii="Liberation Sans" w:hAnsi="Liberation Sans"/>
                <w:b/>
                <w:i w:val="0"/>
                <w:color w:val="F0F4FF"/>
                <w:sz w:val="19"/>
              </w:rPr>
              <w:t>REACHABILITY != AUTHORITY</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FF596D"/>
              <w:left w:val="single" w:sz="18" w:color="FF596D"/>
              <w:bottom w:val="single" w:sz="18" w:color="FF596D"/>
              <w:right w:val="single" w:sz="18" w:color="FF596D"/>
              <w:insideH w:val="single" w:sz="18" w:color="FF596D"/>
              <w:insideV w:val="single" w:sz="18" w:color="FF596D"/>
            </w:tcBorders>
            <w:tcMar>
              <w:top w:w="140" w:type="dxa"/>
              <w:start w:w="180" w:type="dxa"/>
              <w:bottom w:w="140" w:type="dxa"/>
              <w:end w:w="180" w:type="dxa"/>
            </w:tcMar>
          </w:tcPr>
          <w:p>
            <w:pPr>
              <w:spacing w:before="0" w:after="0"/>
              <w:jc w:val="center"/>
            </w:pPr>
            <w:r>
              <w:rPr>
                <w:rFonts w:ascii="Liberation Sans" w:hAnsi="Liberation Sans"/>
                <w:b/>
                <w:i w:val="0"/>
                <w:color w:val="F0F4FF"/>
                <w:sz w:val="19"/>
              </w:rPr>
              <w:t>VISIBLE != WRITABLE</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FF596D"/>
              <w:left w:val="single" w:sz="18" w:color="FF596D"/>
              <w:bottom w:val="single" w:sz="18" w:color="FF596D"/>
              <w:right w:val="single" w:sz="18" w:color="FF596D"/>
              <w:insideH w:val="single" w:sz="18" w:color="FF596D"/>
              <w:insideV w:val="single" w:sz="18" w:color="FF596D"/>
            </w:tcBorders>
            <w:tcMar>
              <w:top w:w="140" w:type="dxa"/>
              <w:start w:w="180" w:type="dxa"/>
              <w:bottom w:w="140" w:type="dxa"/>
              <w:end w:w="180" w:type="dxa"/>
            </w:tcMar>
          </w:tcPr>
          <w:p>
            <w:pPr>
              <w:spacing w:before="0" w:after="0"/>
              <w:jc w:val="center"/>
            </w:pPr>
            <w:r>
              <w:rPr>
                <w:rFonts w:ascii="Liberation Sans" w:hAnsi="Liberation Sans"/>
                <w:b/>
                <w:i w:val="0"/>
                <w:color w:val="F0F4FF"/>
                <w:sz w:val="19"/>
              </w:rPr>
              <w:t>DISCOVER != READ != EXECUTE != MUTATE</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C54CFF"/>
              <w:left w:val="single" w:sz="18" w:color="C54CFF"/>
              <w:bottom w:val="single" w:sz="18" w:color="C54CFF"/>
              <w:right w:val="single" w:sz="18" w:color="C54CFF"/>
              <w:insideH w:val="single" w:sz="18" w:color="C54CFF"/>
              <w:insideV w:val="single" w:sz="18" w:color="C54C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FIELD INVENTORY != SPD</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C54CFF"/>
              <w:left w:val="single" w:sz="18" w:color="C54CFF"/>
              <w:bottom w:val="single" w:sz="18" w:color="C54CFF"/>
              <w:right w:val="single" w:sz="18" w:color="C54CFF"/>
              <w:insideH w:val="single" w:sz="18" w:color="C54CFF"/>
              <w:insideV w:val="single" w:sz="18" w:color="C54C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PLATFORM IMPLEMENTATION != CANONICAL STRUCTURAL MEANING</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C54CFF"/>
              <w:left w:val="single" w:sz="18" w:color="C54CFF"/>
              <w:bottom w:val="single" w:sz="18" w:color="C54CFF"/>
              <w:right w:val="single" w:sz="18" w:color="C54CFF"/>
              <w:insideH w:val="single" w:sz="18" w:color="C54CFF"/>
              <w:insideV w:val="single" w:sz="18" w:color="C54C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IMPLEMENTATION RELATION != RELATIONSHIP MEANING</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C54CFF"/>
              <w:left w:val="single" w:sz="18" w:color="C54CFF"/>
              <w:bottom w:val="single" w:sz="18" w:color="C54CFF"/>
              <w:right w:val="single" w:sz="18" w:color="C54CFF"/>
              <w:insideH w:val="single" w:sz="18" w:color="C54CFF"/>
              <w:insideV w:val="single" w:sz="18" w:color="C54CFF"/>
            </w:tcBorders>
            <w:tcMar>
              <w:top w:w="140" w:type="dxa"/>
              <w:start w:w="180" w:type="dxa"/>
              <w:bottom w:w="140" w:type="dxa"/>
              <w:end w:w="180" w:type="dxa"/>
            </w:tcMar>
          </w:tcPr>
          <w:p>
            <w:pPr>
              <w:spacing w:before="0" w:after="0"/>
              <w:jc w:val="center"/>
            </w:pPr>
            <w:r>
              <w:rPr>
                <w:rFonts w:ascii="Liberation Sans" w:hAnsi="Liberation Sans"/>
                <w:b/>
                <w:i w:val="0"/>
                <w:color w:val="F0F4FF"/>
                <w:sz w:val="19"/>
              </w:rPr>
              <w:t>STRUCTURAL PROJECTION != STRUCTURAL SOURCE</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58FF9D"/>
              <w:left w:val="single" w:sz="18" w:color="58FF9D"/>
              <w:bottom w:val="single" w:sz="18" w:color="58FF9D"/>
              <w:right w:val="single" w:sz="18" w:color="58FF9D"/>
              <w:insideH w:val="single" w:sz="18" w:color="58FF9D"/>
              <w:insideV w:val="single" w:sz="18" w:color="58FF9D"/>
            </w:tcBorders>
            <w:tcMar>
              <w:top w:w="140" w:type="dxa"/>
              <w:start w:w="180" w:type="dxa"/>
              <w:bottom w:w="140" w:type="dxa"/>
              <w:end w:w="180" w:type="dxa"/>
            </w:tcMar>
          </w:tcPr>
          <w:p>
            <w:pPr>
              <w:spacing w:before="0" w:after="0"/>
              <w:jc w:val="center"/>
            </w:pPr>
            <w:r>
              <w:rPr>
                <w:rFonts w:ascii="Liberation Sans" w:hAnsi="Liberation Sans"/>
                <w:b/>
                <w:i w:val="0"/>
                <w:color w:val="F0F4FF"/>
                <w:sz w:val="19"/>
              </w:rPr>
              <w:t>RECONSTRUCTABLE STRUCTURE != COPIED IMPLEMENTATION</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FF596D"/>
              <w:left w:val="single" w:sz="18" w:color="FF596D"/>
              <w:bottom w:val="single" w:sz="18" w:color="FF596D"/>
              <w:right w:val="single" w:sz="18" w:color="FF596D"/>
              <w:insideH w:val="single" w:sz="18" w:color="FF596D"/>
              <w:insideV w:val="single" w:sz="18" w:color="FF596D"/>
            </w:tcBorders>
            <w:tcMar>
              <w:top w:w="140" w:type="dxa"/>
              <w:start w:w="180" w:type="dxa"/>
              <w:bottom w:w="140" w:type="dxa"/>
              <w:end w:w="180" w:type="dxa"/>
            </w:tcMar>
          </w:tcPr>
          <w:p>
            <w:pPr>
              <w:spacing w:before="0" w:after="0"/>
              <w:jc w:val="center"/>
            </w:pPr>
            <w:r>
              <w:rPr>
                <w:rFonts w:ascii="Liberation Sans" w:hAnsi="Liberation Sans"/>
                <w:b/>
                <w:i w:val="0"/>
                <w:color w:val="F0F4FF"/>
                <w:sz w:val="19"/>
              </w:rPr>
              <w:t>VISOR DESCRIPTION != CANONICAL MUTATION</w:t>
            </w:r>
          </w:p>
        </w:tc>
      </w:tr>
    </w:tbl>
    <w:p>
      <w:pPr>
        <w:spacing w:after="40"/>
      </w:pPr>
    </w:p>
    <w:tbl>
      <w:tblPr>
        <w:tblW w:type="auto" w:w="0"/>
        <w:jc w:val="center"/>
        <w:tblLayout w:type="fixed"/>
        <w:tblLook w:firstColumn="1" w:firstRow="1" w:lastColumn="0" w:lastRow="0" w:noHBand="0" w:noVBand="1" w:val="04A0"/>
      </w:tblPr>
      <w:tblGrid>
        <w:gridCol w:w="10282"/>
      </w:tblGrid>
      <w:tr>
        <w:trPr>
          <w:cantSplit/>
        </w:trPr>
        <w:tc>
          <w:tcPr>
            <w:tcW w:type="dxa" w:w="10282"/>
            <w:shd w:fill="111725"/>
            <w:tcBorders>
              <w:top w:val="single" w:sz="18" w:color="FF596D"/>
              <w:left w:val="single" w:sz="18" w:color="FF596D"/>
              <w:bottom w:val="single" w:sz="18" w:color="FF596D"/>
              <w:right w:val="single" w:sz="18" w:color="FF596D"/>
              <w:insideH w:val="single" w:sz="18" w:color="FF596D"/>
              <w:insideV w:val="single" w:sz="18" w:color="FF596D"/>
            </w:tcBorders>
            <w:tcMar>
              <w:top w:w="140" w:type="dxa"/>
              <w:start w:w="180" w:type="dxa"/>
              <w:bottom w:w="140" w:type="dxa"/>
              <w:end w:w="180" w:type="dxa"/>
            </w:tcMar>
          </w:tcPr>
          <w:p>
            <w:pPr>
              <w:spacing w:before="0" w:after="0"/>
              <w:jc w:val="center"/>
            </w:pPr>
            <w:r>
              <w:rPr>
                <w:rFonts w:ascii="Liberation Sans" w:hAnsi="Liberation Sans"/>
                <w:b/>
                <w:i w:val="0"/>
                <w:color w:val="F0F4FF"/>
                <w:sz w:val="19"/>
              </w:rPr>
              <w:t>SELF-DESCRIPTION != SELF-AUTHORIZATION</w:t>
            </w:r>
          </w:p>
        </w:tc>
      </w:tr>
    </w:tbl>
    <w:p>
      <w:pPr>
        <w:spacing w:after="40"/>
      </w:pPr>
    </w:p>
    <w:p>
      <w:pPr>
        <w:pStyle w:val="Heading1"/>
        <w:keepNext/>
        <w:spacing w:before="240" w:after="140"/>
      </w:pPr>
      <w:r>
        <w:rPr>
          <w:rFonts w:ascii="Liberation Sans" w:hAnsi="Liberation Sans"/>
          <w:b/>
          <w:color w:val="39BFFF"/>
          <w:sz w:val="38"/>
        </w:rPr>
        <w:t>12. Native Verification Checklist</w:t>
      </w:r>
    </w:p>
    <w:p>
      <w:pPr>
        <w:spacing w:after="140" w:line="259" w:lineRule="auto"/>
      </w:pPr>
      <w:r>
        <w:rPr>
          <w:rFonts w:ascii="Liberation Sans" w:hAnsi="Liberation Sans"/>
          <w:i w:val="0"/>
          <w:color w:val="DCE3EF"/>
          <w:sz w:val="20"/>
        </w:rPr>
        <w:t>A native VISOR implementation earns authority after independent observation and verification. The tests below are intentionally structural. They do not prove every domain semantic; they prove that the map, hierarchy, relationships, and reconstruction boundaries have survived.</w:t>
      </w:r>
    </w:p>
    <w:p>
      <w:pPr>
        <w:pStyle w:val="Heading2"/>
        <w:keepNext/>
        <w:spacing w:before="180" w:after="100"/>
      </w:pPr>
      <w:r>
        <w:rPr>
          <w:rFonts w:ascii="Liberation Sans" w:hAnsi="Liberation Sans"/>
          <w:b/>
          <w:color w:val="80E8FF"/>
          <w:sz w:val="27"/>
        </w:rPr>
        <w:t>12.1 Root-Stack and Stack verification</w:t>
      </w:r>
    </w:p>
    <w:p>
      <w:pPr>
        <w:pStyle w:val="ListBullet"/>
        <w:spacing w:after="60"/>
        <w:ind w:left="259" w:hanging="173"/>
      </w:pPr>
      <w:r>
        <w:rPr>
          <w:rFonts w:ascii="Liberation Sans" w:hAnsi="Liberation Sans"/>
          <w:color w:val="DCE3EF"/>
          <w:sz w:val="19"/>
        </w:rPr>
        <w:t>Exactly the governed B1-B12 Root-Stack identities are reconstructed.</w:t>
      </w:r>
    </w:p>
    <w:p>
      <w:pPr>
        <w:pStyle w:val="ListBullet"/>
        <w:spacing w:after="60"/>
        <w:ind w:left="259" w:hanging="173"/>
      </w:pPr>
      <w:r>
        <w:rPr>
          <w:rFonts w:ascii="Liberation Sans" w:hAnsi="Liberation Sans"/>
          <w:color w:val="DCE3EF"/>
          <w:sz w:val="19"/>
        </w:rPr>
        <w:t>Root-Stack numeric position remains orientation rather than execution order.</w:t>
      </w:r>
    </w:p>
    <w:p>
      <w:pPr>
        <w:pStyle w:val="ListBullet"/>
        <w:spacing w:after="60"/>
        <w:ind w:left="259" w:hanging="173"/>
      </w:pPr>
      <w:r>
        <w:rPr>
          <w:rFonts w:ascii="Liberation Sans" w:hAnsi="Liberation Sans"/>
          <w:color w:val="DCE3EF"/>
          <w:sz w:val="19"/>
        </w:rPr>
        <w:t>Stack identities, purposes, ordering, and parent/child relationships survive migration.</w:t>
      </w:r>
    </w:p>
    <w:p>
      <w:pPr>
        <w:pStyle w:val="ListBullet"/>
        <w:spacing w:after="60"/>
        <w:ind w:left="259" w:hanging="173"/>
      </w:pPr>
      <w:r>
        <w:rPr>
          <w:rFonts w:ascii="Liberation Sans" w:hAnsi="Liberation Sans"/>
          <w:color w:val="DCE3EF"/>
          <w:sz w:val="19"/>
        </w:rPr>
        <w:t>Subordinate Stacks do not become Root Stacks merely because they are structurally deep or important.</w:t>
      </w:r>
    </w:p>
    <w:p>
      <w:pPr>
        <w:pStyle w:val="ListBullet"/>
        <w:spacing w:after="60"/>
        <w:ind w:left="259" w:hanging="173"/>
      </w:pPr>
      <w:r>
        <w:rPr>
          <w:rFonts w:ascii="Liberation Sans" w:hAnsi="Liberation Sans"/>
          <w:color w:val="DCE3EF"/>
          <w:sz w:val="19"/>
        </w:rPr>
        <w:t>Stack membership does not alter the semantic identity of member Tables.</w:t>
      </w:r>
    </w:p>
    <w:p>
      <w:pPr>
        <w:pStyle w:val="Heading2"/>
        <w:keepNext/>
        <w:spacing w:before="180" w:after="100"/>
      </w:pPr>
      <w:r>
        <w:rPr>
          <w:rFonts w:ascii="Liberation Sans" w:hAnsi="Liberation Sans"/>
          <w:b/>
          <w:color w:val="80E8FF"/>
          <w:sz w:val="27"/>
        </w:rPr>
        <w:t>12.2 Table verification</w:t>
      </w:r>
    </w:p>
    <w:p>
      <w:pPr>
        <w:pStyle w:val="ListBullet"/>
        <w:spacing w:after="60"/>
        <w:ind w:left="259" w:hanging="173"/>
      </w:pPr>
      <w:r>
        <w:rPr>
          <w:rFonts w:ascii="Liberation Sans" w:hAnsi="Liberation Sans"/>
          <w:color w:val="DCE3EF"/>
          <w:sz w:val="19"/>
        </w:rPr>
        <w:t>Every in-scope source Table has one resolvable native structural identity or an explicit documented exception.</w:t>
      </w:r>
    </w:p>
    <w:p>
      <w:pPr>
        <w:pStyle w:val="ListBullet"/>
        <w:spacing w:after="60"/>
        <w:ind w:left="259" w:hanging="173"/>
      </w:pPr>
      <w:r>
        <w:rPr>
          <w:rFonts w:ascii="Liberation Sans" w:hAnsi="Liberation Sans"/>
          <w:color w:val="DCE3EF"/>
          <w:sz w:val="19"/>
        </w:rPr>
        <w:t>Table-to-Stack membership is preserved.</w:t>
      </w:r>
    </w:p>
    <w:p>
      <w:pPr>
        <w:pStyle w:val="ListBullet"/>
        <w:spacing w:after="60"/>
        <w:ind w:left="259" w:hanging="173"/>
      </w:pPr>
      <w:r>
        <w:rPr>
          <w:rFonts w:ascii="Liberation Sans" w:hAnsi="Liberation Sans"/>
          <w:color w:val="DCE3EF"/>
          <w:sz w:val="19"/>
        </w:rPr>
        <w:t>Table purpose and lifecycle metadata remain distinguishable from Table contents.</w:t>
      </w:r>
    </w:p>
    <w:p>
      <w:pPr>
        <w:pStyle w:val="ListBullet"/>
        <w:spacing w:after="60"/>
        <w:ind w:left="259" w:hanging="173"/>
      </w:pPr>
      <w:r>
        <w:rPr>
          <w:rFonts w:ascii="Liberation Sans" w:hAnsi="Liberation Sans"/>
          <w:color w:val="DCE3EF"/>
          <w:sz w:val="19"/>
        </w:rPr>
        <w:t>Cross-Table structural relationships resolve to the intended native targets.</w:t>
      </w:r>
    </w:p>
    <w:p>
      <w:pPr>
        <w:pStyle w:val="ListBullet"/>
        <w:spacing w:after="60"/>
        <w:ind w:left="259" w:hanging="173"/>
      </w:pPr>
      <w:r>
        <w:rPr>
          <w:rFonts w:ascii="Liberation Sans" w:hAnsi="Liberation Sans"/>
          <w:color w:val="DCE3EF"/>
          <w:sz w:val="19"/>
        </w:rPr>
        <w:t>No Table relationship is inferred solely from naming similarity or visual adjacency.</w:t>
      </w:r>
    </w:p>
    <w:p>
      <w:pPr>
        <w:pStyle w:val="Heading2"/>
        <w:keepNext/>
        <w:spacing w:before="180" w:after="100"/>
      </w:pPr>
      <w:r>
        <w:rPr>
          <w:rFonts w:ascii="Liberation Sans" w:hAnsi="Liberation Sans"/>
          <w:b/>
          <w:color w:val="80E8FF"/>
          <w:sz w:val="27"/>
        </w:rPr>
        <w:t>12.3 SPD verification</w:t>
      </w:r>
    </w:p>
    <w:p>
      <w:pPr>
        <w:pStyle w:val="ListBullet"/>
        <w:spacing w:after="60"/>
        <w:ind w:left="259" w:hanging="173"/>
      </w:pPr>
      <w:r>
        <w:rPr>
          <w:rFonts w:ascii="Liberation Sans" w:hAnsi="Liberation Sans"/>
          <w:color w:val="DCE3EF"/>
          <w:sz w:val="19"/>
        </w:rPr>
        <w:t>Field order and identity can be reconstructed where order is meaningful.</w:t>
      </w:r>
    </w:p>
    <w:p>
      <w:pPr>
        <w:pStyle w:val="ListBullet"/>
        <w:spacing w:after="60"/>
        <w:ind w:left="259" w:hanging="173"/>
      </w:pPr>
      <w:r>
        <w:rPr>
          <w:rFonts w:ascii="Liberation Sans" w:hAnsi="Liberation Sans"/>
          <w:color w:val="DCE3EF"/>
          <w:sz w:val="19"/>
        </w:rPr>
        <w:t>Field types have faithful native representations or explicit PORT gaps.</w:t>
      </w:r>
    </w:p>
    <w:p>
      <w:pPr>
        <w:pStyle w:val="ListBullet"/>
        <w:spacing w:after="60"/>
        <w:ind w:left="259" w:hanging="173"/>
      </w:pPr>
      <w:r>
        <w:rPr>
          <w:rFonts w:ascii="Liberation Sans" w:hAnsi="Liberation Sans"/>
          <w:color w:val="DCE3EF"/>
          <w:sz w:val="19"/>
        </w:rPr>
        <w:t>Link targets and cardinalities are preserved.</w:t>
      </w:r>
    </w:p>
    <w:p>
      <w:pPr>
        <w:pStyle w:val="ListBullet"/>
        <w:spacing w:after="60"/>
        <w:ind w:left="259" w:hanging="173"/>
      </w:pPr>
      <w:r>
        <w:rPr>
          <w:rFonts w:ascii="Liberation Sans" w:hAnsi="Liberation Sans"/>
          <w:color w:val="DCE3EF"/>
          <w:sz w:val="19"/>
        </w:rPr>
        <w:t>Derived Fields remain derived rather than silently becoming manually authored state.</w:t>
      </w:r>
    </w:p>
    <w:p>
      <w:pPr>
        <w:pStyle w:val="ListBullet"/>
        <w:spacing w:after="60"/>
        <w:ind w:left="259" w:hanging="173"/>
      </w:pPr>
      <w:r>
        <w:rPr>
          <w:rFonts w:ascii="Liberation Sans" w:hAnsi="Liberation Sans"/>
          <w:color w:val="DCE3EF"/>
          <w:sz w:val="19"/>
        </w:rPr>
        <w:t>Classifications and bounded list/code metadata retain their operational meaning.</w:t>
      </w:r>
    </w:p>
    <w:p>
      <w:pPr>
        <w:pStyle w:val="ListBullet"/>
        <w:spacing w:after="60"/>
        <w:ind w:left="259" w:hanging="173"/>
      </w:pPr>
      <w:r>
        <w:rPr>
          <w:rFonts w:ascii="Liberation Sans" w:hAnsi="Liberation Sans"/>
          <w:color w:val="DCE3EF"/>
          <w:sz w:val="19"/>
        </w:rPr>
        <w:t>Field Inventory observations do not override governed SPD description without reconciliation.</w:t>
      </w:r>
    </w:p>
    <w:p>
      <w:pPr>
        <w:pStyle w:val="Heading2"/>
        <w:keepNext/>
        <w:spacing w:before="180" w:after="100"/>
      </w:pPr>
      <w:r>
        <w:rPr>
          <w:rFonts w:ascii="Liberation Sans" w:hAnsi="Liberation Sans"/>
          <w:b/>
          <w:color w:val="80E8FF"/>
          <w:sz w:val="27"/>
        </w:rPr>
        <w:t>12.4 Topology and routing verification</w:t>
      </w:r>
    </w:p>
    <w:p>
      <w:pPr>
        <w:pStyle w:val="ListBullet"/>
        <w:spacing w:after="60"/>
        <w:ind w:left="259" w:hanging="173"/>
      </w:pPr>
      <w:r>
        <w:rPr>
          <w:rFonts w:ascii="Liberation Sans" w:hAnsi="Liberation Sans"/>
          <w:color w:val="DCE3EF"/>
          <w:sz w:val="19"/>
        </w:rPr>
        <w:t>Containment, dependency, route, bridge, and order remain distinguishable relation meanings.</w:t>
      </w:r>
    </w:p>
    <w:p>
      <w:pPr>
        <w:pStyle w:val="ListBullet"/>
        <w:spacing w:after="60"/>
        <w:ind w:left="259" w:hanging="173"/>
      </w:pPr>
      <w:r>
        <w:rPr>
          <w:rFonts w:ascii="Liberation Sans" w:hAnsi="Liberation Sans"/>
          <w:color w:val="DCE3EF"/>
          <w:sz w:val="19"/>
        </w:rPr>
        <w:t>Human and machine projections can differ without changing the source topology.</w:t>
      </w:r>
    </w:p>
    <w:p>
      <w:pPr>
        <w:pStyle w:val="ListBullet"/>
        <w:spacing w:after="60"/>
        <w:ind w:left="259" w:hanging="173"/>
      </w:pPr>
      <w:r>
        <w:rPr>
          <w:rFonts w:ascii="Liberation Sans" w:hAnsi="Liberation Sans"/>
          <w:color w:val="DCE3EF"/>
          <w:sz w:val="19"/>
        </w:rPr>
        <w:t>Task-bounded traversal does not create or delete structural relationships.</w:t>
      </w:r>
    </w:p>
    <w:p>
      <w:pPr>
        <w:pStyle w:val="ListBullet"/>
        <w:spacing w:after="60"/>
        <w:ind w:left="259" w:hanging="173"/>
      </w:pPr>
      <w:r>
        <w:rPr>
          <w:rFonts w:ascii="Liberation Sans" w:hAnsi="Liberation Sans"/>
          <w:color w:val="DCE3EF"/>
          <w:sz w:val="19"/>
        </w:rPr>
        <w:t>Permission pruning occurs before protected structure is exposed through a projection.</w:t>
      </w:r>
    </w:p>
    <w:p>
      <w:pPr>
        <w:pStyle w:val="ListBullet"/>
        <w:spacing w:after="60"/>
        <w:ind w:left="259" w:hanging="173"/>
      </w:pPr>
      <w:r>
        <w:rPr>
          <w:rFonts w:ascii="Liberation Sans" w:hAnsi="Liberation Sans"/>
          <w:color w:val="DCE3EF"/>
          <w:sz w:val="19"/>
        </w:rPr>
        <w:t>VISOR can derive a structural context around a selected Table without guessing missing edges.</w:t>
      </w:r>
    </w:p>
    <w:p>
      <w:pPr>
        <w:pStyle w:val="Heading2"/>
        <w:keepNext/>
        <w:spacing w:before="180" w:after="100"/>
      </w:pPr>
      <w:r>
        <w:rPr>
          <w:rFonts w:ascii="Liberation Sans" w:hAnsi="Liberation Sans"/>
          <w:b/>
          <w:color w:val="80E8FF"/>
          <w:sz w:val="27"/>
        </w:rPr>
        <w:t>12.5 Ownership verification</w:t>
      </w:r>
    </w:p>
    <w:p>
      <w:pPr>
        <w:pStyle w:val="ListBullet"/>
        <w:spacing w:after="60"/>
        <w:ind w:left="259" w:hanging="173"/>
      </w:pPr>
      <w:r>
        <w:rPr>
          <w:rFonts w:ascii="Liberation Sans" w:hAnsi="Liberation Sans"/>
          <w:color w:val="DCE3EF"/>
          <w:sz w:val="19"/>
        </w:rPr>
        <w:t>VISOR can locate BIGFOOT, BOSS, SOLAR, QUIVER, DARTBOARD, and other systems without taking ownership of their semantics.</w:t>
      </w:r>
    </w:p>
    <w:p>
      <w:pPr>
        <w:pStyle w:val="ListBullet"/>
        <w:spacing w:after="60"/>
        <w:ind w:left="259" w:hanging="173"/>
      </w:pPr>
      <w:r>
        <w:rPr>
          <w:rFonts w:ascii="Liberation Sans" w:hAnsi="Liberation Sans"/>
          <w:color w:val="DCE3EF"/>
          <w:sz w:val="19"/>
        </w:rPr>
        <w:t>QUIVER remains representation capability rather than VISOR topology.</w:t>
      </w:r>
    </w:p>
    <w:p>
      <w:pPr>
        <w:pStyle w:val="ListBullet"/>
        <w:spacing w:after="60"/>
        <w:ind w:left="259" w:hanging="173"/>
      </w:pPr>
      <w:r>
        <w:rPr>
          <w:rFonts w:ascii="Liberation Sans" w:hAnsi="Liberation Sans"/>
          <w:color w:val="DCE3EF"/>
          <w:sz w:val="19"/>
        </w:rPr>
        <w:t>DARTBOARD remains active manifestation rather than persistent structural source.</w:t>
      </w:r>
    </w:p>
    <w:p>
      <w:pPr>
        <w:pStyle w:val="ListBullet"/>
        <w:spacing w:after="60"/>
        <w:ind w:left="259" w:hanging="173"/>
      </w:pPr>
      <w:r>
        <w:rPr>
          <w:rFonts w:ascii="Liberation Sans" w:hAnsi="Liberation Sans"/>
          <w:color w:val="DCE3EF"/>
          <w:sz w:val="19"/>
        </w:rPr>
        <w:t>Visible structural controls do not grant mutation authority.</w:t>
      </w:r>
    </w:p>
    <w:p>
      <w:pPr>
        <w:pStyle w:val="ListBullet"/>
        <w:spacing w:after="60"/>
        <w:ind w:left="259" w:hanging="173"/>
      </w:pPr>
      <w:r>
        <w:rPr>
          <w:rFonts w:ascii="Liberation Sans" w:hAnsi="Liberation Sans"/>
          <w:color w:val="DCE3EF"/>
          <w:sz w:val="19"/>
        </w:rPr>
        <w:t>VISOR can map its own registries without gaining unrestricted self-modification authority.</w:t>
      </w:r>
    </w:p>
    <w:p>
      <w:pPr>
        <w:pStyle w:val="Heading2"/>
        <w:keepNext/>
        <w:spacing w:before="180" w:after="100"/>
      </w:pPr>
      <w:r>
        <w:rPr>
          <w:rFonts w:ascii="Liberation Sans" w:hAnsi="Liberation Sans"/>
          <w:b/>
          <w:color w:val="80E8FF"/>
          <w:sz w:val="27"/>
        </w:rPr>
        <w:t>12.6 Reconstruction gate</w:t>
      </w:r>
    </w:p>
    <w:tbl>
      <w:tblPr>
        <w:tblW w:type="auto" w:w="0"/>
        <w:jc w:val="center"/>
        <w:tblLayout w:type="fixed"/>
        <w:tblLook w:firstColumn="1" w:firstRow="1" w:lastColumn="0" w:lastRow="0" w:noHBand="0" w:noVBand="1" w:val="04A0"/>
      </w:tblPr>
      <w:tblGrid>
        <w:gridCol w:w="5141"/>
        <w:gridCol w:w="5141"/>
      </w:tblGrid>
      <w:tr>
        <w:trPr>
          <w:tblHeader w:val="true"/>
        </w:trPr>
        <w:tc>
          <w:tcPr>
            <w:tcW w:type="dxa" w:w="3600"/>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6"/>
              </w:rPr>
              <w:t>Observed state</w:t>
            </w:r>
          </w:p>
        </w:tc>
        <w:tc>
          <w:tcPr>
            <w:tcW w:type="dxa" w:w="6048"/>
            <w:shd w:fill="39BFFF"/>
            <w:tcBorders>
              <w:top w:val="single" w:sz="6" w:color="39BFFF"/>
              <w:left w:val="single" w:sz="6" w:color="39BFFF"/>
              <w:bottom w:val="single" w:sz="6" w:color="39BFFF"/>
              <w:right w:val="single" w:sz="6" w:color="39BFFF"/>
              <w:insideH w:val="single" w:sz="6" w:color="39BFFF"/>
              <w:insideV w:val="single" w:sz="6" w:color="39BFFF"/>
            </w:tcBorders>
            <w:tcMar>
              <w:top w:w="100" w:type="dxa"/>
              <w:start w:w="110" w:type="dxa"/>
              <w:bottom w:w="100" w:type="dxa"/>
              <w:end w:w="110" w:type="dxa"/>
            </w:tcMar>
            <w:vAlign w:val="center"/>
          </w:tcPr>
          <w:p>
            <w:pPr>
              <w:jc w:val="center"/>
            </w:pPr>
            <w:r>
              <w:rPr>
                <w:rFonts w:ascii="Liberation Sans" w:hAnsi="Liberation Sans"/>
                <w:b/>
                <w:color w:val="F0F4FF"/>
                <w:sz w:val="16"/>
              </w:rPr>
              <w:t>Required response</w:t>
            </w:r>
          </w:p>
        </w:tc>
      </w:tr>
      <w:tr>
        <w:trPr>
          <w:cantSplit/>
        </w:trPr>
        <w:tc>
          <w:tcPr>
            <w:tcW w:type="dxa" w:w="360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Source and native graphs match at required structural resolution.</w:t>
            </w:r>
          </w:p>
        </w:tc>
        <w:tc>
          <w:tcPr>
            <w:tcW w:type="dxa" w:w="604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PASS structural parity and proceed toward record population.</w:t>
            </w:r>
          </w:p>
        </w:tc>
      </w:tr>
      <w:tr>
        <w:trPr>
          <w:cantSplit/>
        </w:trPr>
        <w:tc>
          <w:tcPr>
            <w:tcW w:type="dxa" w:w="360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A relationship is missing or points to the wrong target.</w:t>
            </w:r>
          </w:p>
        </w:tc>
        <w:tc>
          <w:tcPr>
            <w:tcW w:type="dxa" w:w="604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STOP population for the affected scope; route discrepancy to the correct owner.</w:t>
            </w:r>
          </w:p>
        </w:tc>
      </w:tr>
      <w:tr>
        <w:trPr>
          <w:cantSplit/>
        </w:trPr>
        <w:tc>
          <w:tcPr>
            <w:tcW w:type="dxa" w:w="360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Source relation has no faithful native material representation.</w:t>
            </w:r>
          </w:p>
        </w:tc>
        <w:tc>
          <w:tcPr>
            <w:tcW w:type="dxa" w:w="604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Record a PORT gap; do not silently approximate.</w:t>
            </w:r>
          </w:p>
        </w:tc>
      </w:tr>
      <w:tr>
        <w:trPr>
          <w:cantSplit/>
        </w:trPr>
        <w:tc>
          <w:tcPr>
            <w:tcW w:type="dxa" w:w="360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Existing source structure is invalid or obsolete.</w:t>
            </w:r>
          </w:p>
        </w:tc>
        <w:tc>
          <w:tcPr>
            <w:tcW w:type="dxa" w:w="604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Use PATCH and owner review before freezing or promoting the corrected structure.</w:t>
            </w:r>
          </w:p>
        </w:tc>
      </w:tr>
      <w:tr>
        <w:trPr>
          <w:cantSplit/>
        </w:trPr>
        <w:tc>
          <w:tcPr>
            <w:tcW w:type="dxa" w:w="360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Required structure does not exist in source architecture.</w:t>
            </w:r>
          </w:p>
        </w:tc>
        <w:tc>
          <w:tcPr>
            <w:tcW w:type="dxa" w:w="604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Use BUILD to propose candidate structure; verify before promotion.</w:t>
            </w:r>
          </w:p>
        </w:tc>
      </w:tr>
      <w:tr>
        <w:trPr>
          <w:cantSplit/>
        </w:trPr>
        <w:tc>
          <w:tcPr>
            <w:tcW w:type="dxa" w:w="3600"/>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Evidence is insufficient.</w:t>
            </w:r>
          </w:p>
        </w:tc>
        <w:tc>
          <w:tcPr>
            <w:tcW w:type="dxa" w:w="6048"/>
            <w:shd w:fill="111725"/>
            <w:tcBorders>
              <w:top w:val="single" w:sz="5" w:color="2B3C56"/>
              <w:left w:val="single" w:sz="5" w:color="2B3C56"/>
              <w:bottom w:val="single" w:sz="5" w:color="2B3C56"/>
              <w:right w:val="single" w:sz="5" w:color="2B3C56"/>
              <w:insideH w:val="single" w:sz="5" w:color="2B3C56"/>
              <w:insideV w:val="single" w:sz="5" w:color="2B3C56"/>
            </w:tcBorders>
            <w:tcMar>
              <w:top w:w="95" w:type="dxa"/>
              <w:start w:w="110" w:type="dxa"/>
              <w:bottom w:w="95" w:type="dxa"/>
              <w:end w:w="110" w:type="dxa"/>
            </w:tcMar>
            <w:vAlign w:val="center"/>
          </w:tcPr>
          <w:p>
            <w:pPr>
              <w:jc w:val="left"/>
            </w:pPr>
            <w:r>
              <w:rPr>
                <w:rFonts w:ascii="Liberation Sans" w:hAnsi="Liberation Sans"/>
                <w:color w:val="DCE3EF"/>
                <w:sz w:val="16"/>
              </w:rPr>
              <w:t>Remain UNRESOLVED rather than inventing a plausible topology.</w:t>
            </w:r>
          </w:p>
        </w:tc>
      </w:tr>
    </w:tbl>
    <w:p>
      <w:pPr>
        <w:spacing w:after="40"/>
      </w:pPr>
    </w:p>
    <w:p>
      <w:pPr>
        <w:pStyle w:val="Heading2"/>
        <w:keepNext/>
        <w:spacing w:before="180" w:after="100"/>
      </w:pPr>
      <w:r>
        <w:rPr>
          <w:rFonts w:ascii="Liberation Sans" w:hAnsi="Liberation Sans"/>
          <w:b/>
          <w:color w:val="80E8FF"/>
          <w:sz w:val="27"/>
        </w:rPr>
        <w:t>12.7 Reconstruction questions</w:t>
      </w:r>
    </w:p>
    <w:p>
      <w:pPr>
        <w:spacing w:after="60"/>
        <w:ind w:left="317" w:hanging="317"/>
      </w:pPr>
      <w:r>
        <w:rPr>
          <w:rFonts w:ascii="Liberation Sans" w:hAnsi="Liberation Sans"/>
          <w:color w:val="DCE3EF"/>
          <w:sz w:val="19"/>
        </w:rPr>
        <w:t>1.  What does VISOR own, and what remains outside VISOR authority?</w:t>
      </w:r>
    </w:p>
    <w:p>
      <w:pPr>
        <w:spacing w:after="60"/>
        <w:ind w:left="317" w:hanging="317"/>
      </w:pPr>
      <w:r>
        <w:rPr>
          <w:rFonts w:ascii="Liberation Sans" w:hAnsi="Liberation Sans"/>
          <w:color w:val="DCE3EF"/>
          <w:sz w:val="19"/>
        </w:rPr>
        <w:t>2.  What is the difference between a Table, Stack, Root Stack, and BRAIN?</w:t>
      </w:r>
    </w:p>
    <w:p>
      <w:pPr>
        <w:spacing w:after="60"/>
        <w:ind w:left="317" w:hanging="317"/>
      </w:pPr>
      <w:r>
        <w:rPr>
          <w:rFonts w:ascii="Liberation Sans" w:hAnsi="Liberation Sans"/>
          <w:color w:val="DCE3EF"/>
          <w:sz w:val="19"/>
        </w:rPr>
        <w:t>3.  What does the Stack Registry contribute that the Table Registry does not?</w:t>
      </w:r>
    </w:p>
    <w:p>
      <w:pPr>
        <w:spacing w:after="60"/>
        <w:ind w:left="317" w:hanging="317"/>
      </w:pPr>
      <w:r>
        <w:rPr>
          <w:rFonts w:ascii="Liberation Sans" w:hAnsi="Liberation Sans"/>
          <w:color w:val="DCE3EF"/>
          <w:sz w:val="19"/>
        </w:rPr>
        <w:t>4.  What does the Table Registry contribute that SPD does not?</w:t>
      </w:r>
    </w:p>
    <w:p>
      <w:pPr>
        <w:spacing w:after="60"/>
        <w:ind w:left="317" w:hanging="317"/>
      </w:pPr>
      <w:r>
        <w:rPr>
          <w:rFonts w:ascii="Liberation Sans" w:hAnsi="Liberation Sans"/>
          <w:color w:val="DCE3EF"/>
          <w:sz w:val="19"/>
        </w:rPr>
        <w:t>5.  When is Field-level SPD resolution actually required?</w:t>
      </w:r>
    </w:p>
    <w:p>
      <w:pPr>
        <w:spacing w:after="60"/>
        <w:ind w:left="317" w:hanging="317"/>
      </w:pPr>
      <w:r>
        <w:rPr>
          <w:rFonts w:ascii="Liberation Sans" w:hAnsi="Liberation Sans"/>
          <w:color w:val="DCE3EF"/>
          <w:sz w:val="19"/>
        </w:rPr>
        <w:t>6.  Why is Field Inventory not equivalent to SPD?</w:t>
      </w:r>
    </w:p>
    <w:p>
      <w:pPr>
        <w:spacing w:after="60"/>
        <w:ind w:left="317" w:hanging="317"/>
      </w:pPr>
      <w:r>
        <w:rPr>
          <w:rFonts w:ascii="Liberation Sans" w:hAnsi="Liberation Sans"/>
          <w:color w:val="DCE3EF"/>
          <w:sz w:val="19"/>
        </w:rPr>
        <w:t>7.  Why is structural address different from semantic identity?</w:t>
      </w:r>
    </w:p>
    <w:p>
      <w:pPr>
        <w:spacing w:after="60"/>
        <w:ind w:left="317" w:hanging="317"/>
      </w:pPr>
      <w:r>
        <w:rPr>
          <w:rFonts w:ascii="Liberation Sans" w:hAnsi="Liberation Sans"/>
          <w:color w:val="DCE3EF"/>
          <w:sz w:val="19"/>
        </w:rPr>
        <w:t>8.  How are containment, dependency, route, bridge, and ordering kept distinct?</w:t>
      </w:r>
    </w:p>
    <w:p>
      <w:pPr>
        <w:spacing w:after="60"/>
        <w:ind w:left="317" w:hanging="317"/>
      </w:pPr>
      <w:r>
        <w:rPr>
          <w:rFonts w:ascii="Liberation Sans" w:hAnsi="Liberation Sans"/>
          <w:color w:val="DCE3EF"/>
          <w:sz w:val="19"/>
        </w:rPr>
        <w:t>9.  Why can a navigation tree change without changing VISOR topology?</w:t>
      </w:r>
    </w:p>
    <w:p>
      <w:pPr>
        <w:spacing w:after="60"/>
        <w:ind w:left="317" w:hanging="317"/>
      </w:pPr>
      <w:r>
        <w:rPr>
          <w:rFonts w:ascii="Liberation Sans" w:hAnsi="Liberation Sans"/>
          <w:color w:val="DCE3EF"/>
          <w:sz w:val="19"/>
        </w:rPr>
        <w:t>10.  Why does exact AI routing not imply permission?</w:t>
      </w:r>
    </w:p>
    <w:p>
      <w:pPr>
        <w:spacing w:after="60"/>
        <w:ind w:left="317" w:hanging="317"/>
      </w:pPr>
      <w:r>
        <w:rPr>
          <w:rFonts w:ascii="Liberation Sans" w:hAnsi="Liberation Sans"/>
          <w:color w:val="DCE3EF"/>
          <w:sz w:val="19"/>
        </w:rPr>
        <w:t>11.  What changed in VISOR's relationship to QUIVER compared with the older interface-builder framing?</w:t>
      </w:r>
    </w:p>
    <w:p>
      <w:pPr>
        <w:spacing w:after="60"/>
        <w:ind w:left="317" w:hanging="317"/>
      </w:pPr>
      <w:r>
        <w:rPr>
          <w:rFonts w:ascii="Liberation Sans" w:hAnsi="Liberation Sans"/>
          <w:color w:val="DCE3EF"/>
          <w:sz w:val="19"/>
        </w:rPr>
        <w:t>12.  How can VISOR map itself without gaining self-authorizing mutation power?</w:t>
      </w:r>
    </w:p>
    <w:p>
      <w:pPr>
        <w:spacing w:after="60"/>
        <w:ind w:left="317" w:hanging="317"/>
      </w:pPr>
      <w:r>
        <w:rPr>
          <w:rFonts w:ascii="Liberation Sans" w:hAnsi="Liberation Sans"/>
          <w:color w:val="DCE3EF"/>
          <w:sz w:val="19"/>
        </w:rPr>
        <w:t>13.  What part does VISOR play in Native Personal Core reconstruction?</w:t>
      </w:r>
    </w:p>
    <w:p>
      <w:pPr>
        <w:spacing w:after="60"/>
        <w:ind w:left="317" w:hanging="317"/>
      </w:pPr>
      <w:r>
        <w:rPr>
          <w:rFonts w:ascii="Liberation Sans" w:hAnsi="Liberation Sans"/>
          <w:color w:val="DCE3EF"/>
          <w:sz w:val="19"/>
        </w:rPr>
        <w:t>14.  Why must the native relational graph be verified before record population?</w:t>
      </w:r>
    </w:p>
    <w:p>
      <w:pPr>
        <w:spacing w:after="60"/>
        <w:ind w:left="317" w:hanging="317"/>
      </w:pPr>
      <w:r>
        <w:rPr>
          <w:rFonts w:ascii="Liberation Sans" w:hAnsi="Liberation Sans"/>
          <w:color w:val="DCE3EF"/>
          <w:sz w:val="19"/>
        </w:rPr>
        <w:t>15.  What should happen when a required structural relationship cannot be proven?</w:t>
      </w:r>
    </w:p>
    <w:p>
      <w:pPr>
        <w:pStyle w:val="Heading1"/>
        <w:keepNext/>
        <w:spacing w:before="240" w:after="140"/>
      </w:pPr>
      <w:r>
        <w:rPr>
          <w:rFonts w:ascii="Liberation Sans" w:hAnsi="Liberation Sans"/>
          <w:b/>
          <w:color w:val="39BFFF"/>
          <w:sz w:val="38"/>
        </w:rPr>
        <w:t>13. Closing Orientation</w:t>
      </w:r>
    </w:p>
    <w:p>
      <w:pPr>
        <w:spacing w:after="140" w:line="259" w:lineRule="auto"/>
      </w:pPr>
      <w:r>
        <w:rPr>
          <w:rFonts w:ascii="Liberation Sans" w:hAnsi="Liberation Sans"/>
          <w:i w:val="0"/>
          <w:color w:val="DCE3EF"/>
          <w:sz w:val="20"/>
        </w:rPr>
        <w:t>VISOR is straightforward once its ownership boundary is clear. The Base registers structural surfaces, groups them into bounded Stacks, resolves those Stacks into current Root-Stack territory, and preserves explicit relationships that can be traversed without being confused with semantic ownership. When more detail is needed, SPD resolves the implementation structure beneath the Table boundary. When a projection is needed, the structural truth can be manifested through whatever authorized interface is appropriate without turning the projection into a second topology.</w:t>
      </w:r>
    </w:p>
    <w:p>
      <w:pPr>
        <w:spacing w:after="140" w:line="259" w:lineRule="auto"/>
      </w:pPr>
      <w:r>
        <w:rPr>
          <w:rFonts w:ascii="Liberation Sans" w:hAnsi="Liberation Sans"/>
          <w:i w:val="0"/>
          <w:color w:val="DCE3EF"/>
          <w:sz w:val="20"/>
        </w:rPr>
        <w:t>This architecture makes VISOR useful to humans, AI, development tooling, and migration for the same reason: the structure is explicit enough to inspect. A person can orient through a breadcrumb. An AI can receive a machine-readable structural context. PATCH can identify where existing structure is defective. BUILD can see where capability is missing. PORT can translate implementation material. Native reconstruction can rebuild the Root Stacks, Stacks, Tables, and Fields and then verify the resulting graph before data is allowed to move into it.</w:t>
      </w:r>
    </w:p>
    <w:p>
      <w:pPr>
        <w:pStyle w:val="Heading2"/>
        <w:keepNext/>
        <w:spacing w:before="180" w:after="100"/>
      </w:pPr>
      <w:r>
        <w:rPr>
          <w:rFonts w:ascii="Liberation Sans" w:hAnsi="Liberation Sans"/>
          <w:b/>
          <w:color w:val="80E8FF"/>
          <w:sz w:val="27"/>
        </w:rPr>
        <w:t>13.1 Compressed architecture</w:t>
      </w:r>
    </w:p>
    <w:tbl>
      <w:tblPr>
        <w:tblW w:type="auto" w:w="0"/>
        <w:jc w:val="center"/>
        <w:tblLayout w:type="fixed"/>
        <w:tblLook w:firstColumn="1" w:firstRow="1" w:lastColumn="0" w:lastRow="0" w:noHBand="0" w:noVBand="1" w:val="04A0"/>
      </w:tblPr>
      <w:tblGrid>
        <w:gridCol w:w="10282"/>
      </w:tblGrid>
      <w:tr>
        <w:trPr>
          <w:cantSplit/>
        </w:trPr>
        <w:tc>
          <w:tcPr>
            <w:tcW w:type="dxa" w:w="10282"/>
            <w:shd w:fill="101827"/>
            <w:tcBorders>
              <w:top w:val="single" w:sz="9" w:color="80E8FF"/>
              <w:left w:val="single" w:sz="9" w:color="80E8FF"/>
              <w:bottom w:val="single" w:sz="9" w:color="80E8FF"/>
              <w:right w:val="single" w:sz="9" w:color="80E8FF"/>
              <w:insideH w:val="single" w:sz="9" w:color="80E8FF"/>
              <w:insideV w:val="single" w:sz="9" w:color="80E8FF"/>
            </w:tcBorders>
            <w:tcMar>
              <w:top w:w="120" w:type="dxa"/>
              <w:start w:w="130" w:type="dxa"/>
              <w:bottom w:w="120" w:type="dxa"/>
              <w:end w:w="130" w:type="dxa"/>
            </w:tcMar>
          </w:tcPr>
          <w:p>
            <w:pPr>
              <w:spacing w:after="0" w:line="240" w:lineRule="auto"/>
            </w:pPr>
            <w:r>
              <w:rPr>
                <w:rFonts w:ascii="DejaVu Sans Mono" w:hAnsi="DejaVu Sans Mono"/>
                <w:color w:val="DCE3EF"/>
                <w:sz w:val="16"/>
              </w:rPr>
              <w:t>BRAIN</w:t>
            </w:r>
            <w:r>
              <w:br/>
            </w:r>
            <w:r>
              <w:rPr>
                <w:rFonts w:ascii="DejaVu Sans Mono" w:hAnsi="DejaVu Sans Mono"/>
                <w:color w:val="DCE3EF"/>
                <w:sz w:val="16"/>
              </w:rPr>
              <w:t xml:space="preserve">  + ROOT-STACK TERRITORY</w:t>
            </w:r>
            <w:r>
              <w:br/>
            </w:r>
            <w:r>
              <w:rPr>
                <w:rFonts w:ascii="DejaVu Sans Mono" w:hAnsi="DejaVu Sans Mono"/>
                <w:color w:val="DCE3EF"/>
                <w:sz w:val="16"/>
              </w:rPr>
              <w:t xml:space="preserve">  + STACK REGISTRY</w:t>
            </w:r>
            <w:r>
              <w:br/>
            </w:r>
            <w:r>
              <w:rPr>
                <w:rFonts w:ascii="DejaVu Sans Mono" w:hAnsi="DejaVu Sans Mono"/>
                <w:color w:val="DCE3EF"/>
                <w:sz w:val="16"/>
              </w:rPr>
              <w:t xml:space="preserve">  + TABLE REGISTRY</w:t>
            </w:r>
            <w:r>
              <w:br/>
            </w:r>
            <w:r>
              <w:rPr>
                <w:rFonts w:ascii="DejaVu Sans Mono" w:hAnsi="DejaVu Sans Mono"/>
                <w:color w:val="DCE3EF"/>
                <w:sz w:val="16"/>
              </w:rPr>
              <w:t xml:space="preserve">  + EXPLICIT STRUCTURAL RELATIONSHIPS</w:t>
            </w:r>
            <w:r>
              <w:br/>
            </w:r>
            <w:r>
              <w:rPr>
                <w:rFonts w:ascii="DejaVu Sans Mono" w:hAnsi="DejaVu Sans Mono"/>
                <w:color w:val="DCE3EF"/>
                <w:sz w:val="16"/>
              </w:rPr>
              <w:t xml:space="preserve">  + SPD WHEN DEEPER FIELD RESOLUTION IS REQUIRED</w:t>
            </w:r>
            <w:r>
              <w:br/>
            </w:r>
            <w:r>
              <w:rPr>
                <w:rFonts w:ascii="DejaVu Sans Mono" w:hAnsi="DejaVu Sans Mono"/>
                <w:color w:val="DCE3EF"/>
                <w:sz w:val="16"/>
              </w:rPr>
              <w:t xml:space="preserve">  -&gt; HUMAN / AI / SOFTWARE ORIENTATION</w:t>
            </w:r>
            <w:r>
              <w:br/>
            </w:r>
            <w:r>
              <w:rPr>
                <w:rFonts w:ascii="DejaVu Sans Mono" w:hAnsi="DejaVu Sans Mono"/>
                <w:color w:val="DCE3EF"/>
                <w:sz w:val="16"/>
              </w:rPr>
              <w:t xml:space="preserve">  -&gt; AUTHORIZED TRAVERSAL AND PROJECTION</w:t>
            </w:r>
            <w:r>
              <w:br/>
            </w:r>
            <w:r>
              <w:rPr>
                <w:rFonts w:ascii="DejaVu Sans Mono" w:hAnsi="DejaVu Sans Mono"/>
                <w:color w:val="DCE3EF"/>
                <w:sz w:val="16"/>
              </w:rPr>
              <w:t xml:space="preserve">  -&gt; NATIVE STRUCTURAL RECONSTRUCTION</w:t>
            </w:r>
            <w:r>
              <w:br/>
            </w:r>
            <w:r>
              <w:rPr>
                <w:rFonts w:ascii="DejaVu Sans Mono" w:hAnsi="DejaVu Sans Mono"/>
                <w:color w:val="DCE3EF"/>
                <w:sz w:val="16"/>
              </w:rPr>
              <w:t xml:space="preserve">  -&gt; INDEPENDENT VERIFICATION</w:t>
            </w:r>
            <w:r>
              <w:br/>
            </w:r>
            <w:r>
              <w:rPr>
                <w:rFonts w:ascii="DejaVu Sans Mono" w:hAnsi="DejaVu Sans Mono"/>
                <w:color w:val="DCE3EF"/>
                <w:sz w:val="16"/>
              </w:rPr>
              <w:t xml:space="preserve">  -&gt; RECORD POPULATION AFTER PARITY</w:t>
            </w:r>
          </w:p>
        </w:tc>
      </w:tr>
    </w:tbl>
    <w:p>
      <w:pPr>
        <w:spacing w:after="20"/>
      </w:pPr>
    </w:p>
    <w:p>
      <w:pPr>
        <w:pStyle w:val="Heading2"/>
        <w:keepNext/>
        <w:spacing w:before="180" w:after="100"/>
      </w:pPr>
      <w:r>
        <w:rPr>
          <w:rFonts w:ascii="Liberation Sans" w:hAnsi="Liberation Sans"/>
          <w:b/>
          <w:color w:val="80E8FF"/>
          <w:sz w:val="27"/>
        </w:rPr>
        <w:t>13.2 Reconstruction success test</w:t>
      </w:r>
    </w:p>
    <w:p>
      <w:pPr>
        <w:spacing w:after="140" w:line="259" w:lineRule="auto"/>
      </w:pPr>
      <w:r>
        <w:rPr>
          <w:rFonts w:ascii="Liberation Sans" w:hAnsi="Liberation Sans"/>
          <w:i w:val="0"/>
          <w:color w:val="DCE3EF"/>
          <w:sz w:val="20"/>
        </w:rPr>
        <w:t>A fresh human or AI has the core VISOR architecture when it can explain that BRAIN provides top-level territory; B1-B12 are the current Root Stacks; the Stack Registry organizes bounded groupings; the Table Registry registers structural surfaces; SPD resolves deeper Field-level implementation structure when required; explicit relationships preserve topology and routing; navigation views are derived projections rather than structural truth; ownership remains with the systems being mapped; and Native Personal Core reconstruction must recreate and independently verify this graph before record population.</w:t>
      </w:r>
    </w:p>
    <w:tbl>
      <w:tblPr>
        <w:tblW w:type="auto" w:w="0"/>
        <w:jc w:val="center"/>
        <w:tblLayout w:type="fixed"/>
        <w:tblLook w:firstColumn="1" w:firstRow="1" w:lastColumn="0" w:lastRow="0" w:noHBand="0" w:noVBand="1" w:val="04A0"/>
      </w:tblPr>
      <w:tblGrid>
        <w:gridCol w:w="10282"/>
      </w:tblGrid>
      <w:tr>
        <w:trPr>
          <w:cantSplit/>
        </w:trPr>
        <w:tc>
          <w:tcPr>
            <w:tcW w:type="dxa" w:w="10282"/>
            <w:shd w:fill="111825"/>
            <w:tcBorders>
              <w:top w:val="single" w:sz="18" w:color="39BFFF"/>
              <w:left w:val="single" w:sz="18" w:color="39BFFF"/>
              <w:bottom w:val="single" w:sz="18" w:color="39BFFF"/>
              <w:right w:val="single" w:sz="18" w:color="39BFFF"/>
              <w:insideH w:val="single" w:sz="18" w:color="39BFFF"/>
              <w:insideV w:val="single" w:sz="18" w:color="39BFFF"/>
            </w:tcBorders>
            <w:tcMar>
              <w:top w:w="140" w:type="dxa"/>
              <w:start w:w="180" w:type="dxa"/>
              <w:bottom w:w="140" w:type="dxa"/>
              <w:end w:w="180" w:type="dxa"/>
            </w:tcMar>
          </w:tcPr>
          <w:p>
            <w:pPr>
              <w:spacing w:before="0" w:after="0"/>
              <w:jc w:val="center"/>
            </w:pPr>
            <w:r>
              <w:rPr>
                <w:rFonts w:ascii="Liberation Sans" w:hAnsi="Liberation Sans"/>
                <w:b/>
                <w:i w:val="0"/>
                <w:color w:val="F0F4FF"/>
                <w:sz w:val="20"/>
              </w:rPr>
              <w:t>VISOR EXISTS SO CERBERUS STRUCTURE REMAINS EXPLICIT, TRAVERSABLE, INSPECTABLE, AND RECONSTRUCTABLE EVEN WHEN IMPLEMENTATION CHANGES.</w:t>
            </w:r>
          </w:p>
        </w:tc>
      </w:tr>
    </w:tbl>
    <w:p>
      <w:pPr>
        <w:spacing w:after="40"/>
      </w:pPr>
    </w:p>
    <w:p>
      <w:pPr>
        <w:spacing w:after="140" w:line="259" w:lineRule="auto"/>
      </w:pPr>
      <w:r>
        <w:rPr>
          <w:rFonts w:ascii="Liberation Sans" w:hAnsi="Liberation Sans"/>
          <w:i/>
          <w:color w:val="DCE3EF"/>
          <w:sz w:val="20"/>
        </w:rPr>
        <w:t>End of PASS 8 Verified Release.</w:t>
      </w:r>
    </w:p>
    <w:sectPr w:rsidR="00761924" w:rsidSect="00034616">
      <w:headerReference w:type="even" r:id="rId17"/>
      <w:headerReference w:type="default" r:id="rId18"/>
      <w:footerReference w:type="even" r:id="rId19"/>
      <w:footerReference w:type="default" r:id="rId20"/>
      <w:headerReference w:type="first" r:id="rId21"/>
      <w:footerReference w:type="first" r:id="rId22"/>
      <w:pgSz w:w="12240" w:h="15840"/>
      <w:pgMar w:top="835" w:right="979" w:bottom="864" w:left="979" w:header="36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14180" w14:textId="77777777" w:rsidR="00C52F83" w:rsidRDefault="00C52F83">
      <w:pPr>
        <w:spacing w:after="0" w:line="240" w:lineRule="auto"/>
        <w:rPr>
          <w:rFonts w:hint="eastAsia"/>
        </w:rPr>
      </w:pPr>
      <w:r>
        <w:separator/>
      </w:r>
    </w:p>
  </w:endnote>
  <w:endnote w:type="continuationSeparator" w:id="0">
    <w:p w14:paraId="0D878E09" w14:textId="77777777" w:rsidR="00C52F83" w:rsidRDefault="00C52F8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B782E" w14:textId="77777777" w:rsidR="00C52F83" w:rsidRDefault="00C52F83">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58C1B" w14:textId="77777777" w:rsidR="00761924" w:rsidRDefault="00C52F83">
    <w:pPr>
      <w:pStyle w:val="Footer"/>
      <w:jc w:val="right"/>
      <w:rPr>
        <w:rFonts w:hint="eastAsia"/>
      </w:rPr>
    </w:pPr>
    <w:r>
      <w:rPr>
        <w:rFonts w:ascii="Liberation Sans" w:hAnsi="Liberation Sans"/>
        <w:color w:val="98A5B8"/>
        <w:sz w:val="16"/>
      </w:rPr>
      <w:t xml:space="preserve">CERBERUS VISOR  |  v1.0  |  </w:t>
    </w:r>
    <w:r>
      <w:rPr>
        <w:color w:val="98A5B8"/>
        <w:sz w:val="17"/>
      </w:rPr>
      <w:fldChar w:fldCharType="begin"/>
    </w:r>
    <w:r>
      <w:rPr>
        <w:color w:val="98A5B8"/>
        <w:sz w:val="17"/>
      </w:rPr>
      <w:instrText xml:space="preserve"> PAGE </w:instrText>
    </w:r>
    <w:r>
      <w:rPr>
        <w:color w:val="98A5B8"/>
        <w:sz w:val="17"/>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F4D14" w14:textId="77777777" w:rsidR="00761924" w:rsidRDefault="00761924">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C29D8" w14:textId="77777777" w:rsidR="00C52F83" w:rsidRDefault="00C52F83">
      <w:pPr>
        <w:spacing w:after="0" w:line="240" w:lineRule="auto"/>
        <w:rPr>
          <w:rFonts w:hint="eastAsia"/>
        </w:rPr>
      </w:pPr>
      <w:r>
        <w:separator/>
      </w:r>
    </w:p>
  </w:footnote>
  <w:footnote w:type="continuationSeparator" w:id="0">
    <w:p w14:paraId="79125BBB" w14:textId="77777777" w:rsidR="00C52F83" w:rsidRDefault="00C52F83">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5B4E1" w14:textId="77777777" w:rsidR="00C52F83" w:rsidRDefault="00C52F83">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B322E" w14:textId="77777777" w:rsidR="00C52F83" w:rsidRDefault="00C52F83">
    <w:pPr>
      <w:pStyle w:val="Heade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1ABDB" w14:textId="77777777" w:rsidR="00C52F83" w:rsidRDefault="00C52F83">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382804">
    <w:abstractNumId w:val="8"/>
  </w:num>
  <w:num w:numId="2" w16cid:durableId="1158233681">
    <w:abstractNumId w:val="6"/>
  </w:num>
  <w:num w:numId="3" w16cid:durableId="1028533360">
    <w:abstractNumId w:val="5"/>
  </w:num>
  <w:num w:numId="4" w16cid:durableId="2051107112">
    <w:abstractNumId w:val="4"/>
  </w:num>
  <w:num w:numId="5" w16cid:durableId="392704995">
    <w:abstractNumId w:val="7"/>
  </w:num>
  <w:num w:numId="6" w16cid:durableId="834496783">
    <w:abstractNumId w:val="3"/>
  </w:num>
  <w:num w:numId="7" w16cid:durableId="132715708">
    <w:abstractNumId w:val="2"/>
  </w:num>
  <w:num w:numId="8" w16cid:durableId="345330502">
    <w:abstractNumId w:val="1"/>
  </w:num>
  <w:num w:numId="9" w16cid:durableId="603270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proofState w:spelling="clean"/>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61924"/>
    <w:rsid w:val="00AA1D8D"/>
    <w:rsid w:val="00B47730"/>
    <w:rsid w:val="00C52F83"/>
    <w:rsid w:val="00CA169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6DCD0F"/>
  <w14:defaultImageDpi w14:val="300"/>
  <w15:docId w15:val="{96015336-F781-6D4F-A83B-54A6FEF72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Liberation Sans" w:hAnsi="Liberation Sans"/>
      <w:color w:val="DCE3EF"/>
      <w:sz w:val="20"/>
    </w:rPr>
  </w:style>
  <w:style w:type="paragraph" w:styleId="Heading1">
    <w:name w:val="heading 1"/>
    <w:basedOn w:val="Normal"/>
    <w:next w:val="Normal"/>
    <w:link w:val="Heading1Char"/>
    <w:uiPriority w:val="9"/>
    <w:qFormat/>
    <w:rsid w:val="00FC693F"/>
    <w:pPr>
      <w:keepNext/>
      <w:keepLines/>
      <w:spacing w:after="180"/>
      <w:outlineLvl w:val="0"/>
    </w:pPr>
    <w:rPr>
      <w:rFonts w:asciiTheme="majorHAnsi" w:eastAsiaTheme="majorEastAsia" w:hAnsiTheme="majorHAnsi" w:cstheme="majorBidi" w:ascii="Liberation Sans" w:hAnsi="Liberation Sans"/>
      <w:b/>
      <w:bCs/>
      <w:color w:val="39BFFF"/>
      <w:sz w:val="38"/>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ascii="Liberation Sans" w:hAnsi="Liberation Sans"/>
      <w:b/>
      <w:bCs/>
      <w:color w:val="80E8FF"/>
      <w:sz w:val="27"/>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ascii="Liberation Sans" w:hAnsi="Liberation Sans"/>
      <w:b/>
      <w:bCs/>
      <w:color w:val="58FF9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F0F4FF"/>
      <w:spacing w:val="5"/>
      <w:kern w:val="28"/>
      <w:sz w:val="5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100" w:after="80"/>
    </w:pPr>
    <w:rPr>
      <w:rFonts w:ascii="Liberation Sans" w:hAnsi="Liberation Sans"/>
      <w:color w:val="80E8FF"/>
      <w:sz w:val="17"/>
    </w:rPr>
  </w:style>
  <w:style w:type="paragraph" w:customStyle="1" w:styleId="MonoBlock">
    <w:name w:val="Mono Block"/>
    <w:pPr>
      <w:spacing w:after="0" w:line="240" w:lineRule="auto"/>
    </w:pPr>
    <w:rPr>
      <w:rFonts w:ascii="DejaVu Sans Mono" w:hAnsi="DejaVu Sans Mono"/>
      <w:color w:val="F0F4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7510</Words>
  <Characters>42813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50223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B3 - CERBERUS VISOR: Structural Map and Reconstruction Architecture</dc:title>
  <dc:subject>VISOR structural map, routing, self-description, and native reconstruction architecture</dc:subject>
  <dc:creator>Shane Conrad</dc:creator>
  <cp:keywords>CERBERUS, VISOR, structural map, Stack Registry, Table Registry, SPD, native reconstruction</cp:keywords>
  <dc:description>OctoGroove Pass 8 Verified Release</dc:description>
  <cp:lastModifiedBy>Shane Conrad</cp:lastModifiedBy>
  <cp:revision>2</cp:revision>
  <dcterms:created xsi:type="dcterms:W3CDTF">2026-09-09T21:11:00Z</dcterms:created>
  <dcterms:modified xsi:type="dcterms:W3CDTF">2026-09-09T21:11:00Z</dcterms:modified>
  <cp:category/>
</cp:coreProperties>
</file>